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Default Extension="png" ContentType="image/png"/>
  <Override PartName="/word/footer1.xml" ContentType="application/vnd.openxmlformats-officedocument.wordprocessingml.footer+xml"/>
  <Override PartName="/word/footer2.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rFonts w:ascii="Times New Roman"/>
          <w:sz w:val="20"/>
        </w:rPr>
      </w:pPr>
      <w:r>
        <w:rPr/>
        <w:drawing>
          <wp:anchor distT="0" distB="0" distL="0" distR="0" allowOverlap="1" layoutInCell="1" locked="0" behindDoc="1" simplePos="0" relativeHeight="485568512">
            <wp:simplePos x="0" y="0"/>
            <wp:positionH relativeFrom="page">
              <wp:posOffset>0</wp:posOffset>
            </wp:positionH>
            <wp:positionV relativeFrom="page">
              <wp:posOffset>0</wp:posOffset>
            </wp:positionV>
            <wp:extent cx="5899452" cy="6857999"/>
            <wp:effectExtent l="0" t="0" r="0" b="0"/>
            <wp:wrapNone/>
            <wp:docPr id="1" name="image1.jpeg"/>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5899452" cy="6857999"/>
                    </a:xfrm>
                    <a:prstGeom prst="rect">
                      <a:avLst/>
                    </a:prstGeom>
                  </pic:spPr>
                </pic:pic>
              </a:graphicData>
            </a:graphic>
          </wp:anchor>
        </w:drawing>
      </w:r>
    </w:p>
    <w:p>
      <w:pPr>
        <w:pStyle w:val="BodyText"/>
        <w:rPr>
          <w:rFonts w:ascii="Times New Roman"/>
          <w:sz w:val="20"/>
        </w:rPr>
      </w:pPr>
    </w:p>
    <w:p>
      <w:pPr>
        <w:pStyle w:val="BodyText"/>
        <w:rPr>
          <w:rFonts w:ascii="Times New Roman"/>
          <w:sz w:val="20"/>
        </w:rPr>
      </w:pPr>
    </w:p>
    <w:p>
      <w:pPr>
        <w:pStyle w:val="BodyText"/>
        <w:spacing w:before="2"/>
        <w:rPr>
          <w:rFonts w:ascii="Times New Roman"/>
          <w:sz w:val="28"/>
        </w:rPr>
      </w:pPr>
    </w:p>
    <w:p>
      <w:pPr>
        <w:spacing w:line="103" w:lineRule="auto" w:before="195"/>
        <w:ind w:left="10556" w:right="796" w:firstLine="434"/>
        <w:jc w:val="right"/>
        <w:rPr>
          <w:rFonts w:ascii="Century Gothic"/>
          <w:b/>
          <w:sz w:val="80"/>
        </w:rPr>
      </w:pPr>
      <w:bookmarkStart w:name="Upcoming Agenda Item - Dallas Housing Re" w:id="1"/>
      <w:bookmarkEnd w:id="1"/>
      <w:r>
        <w:rPr/>
      </w:r>
      <w:bookmarkStart w:name="Slide Number 1" w:id="2"/>
      <w:bookmarkEnd w:id="2"/>
      <w:r>
        <w:rPr/>
      </w:r>
      <w:r>
        <w:rPr>
          <w:rFonts w:ascii="Century Gothic"/>
          <w:b/>
          <w:color w:val="003E87"/>
          <w:sz w:val="80"/>
        </w:rPr>
        <w:t>Upcoming</w:t>
      </w:r>
      <w:r>
        <w:rPr>
          <w:rFonts w:ascii="Century Gothic"/>
          <w:b/>
          <w:color w:val="003E87"/>
          <w:spacing w:val="-35"/>
          <w:sz w:val="80"/>
        </w:rPr>
        <w:t> </w:t>
      </w:r>
      <w:r>
        <w:rPr>
          <w:rFonts w:ascii="Century Gothic"/>
          <w:b/>
          <w:color w:val="003E87"/>
          <w:sz w:val="80"/>
        </w:rPr>
        <w:t>Agenda Item:</w:t>
      </w:r>
      <w:r>
        <w:rPr>
          <w:rFonts w:ascii="Century Gothic"/>
          <w:b/>
          <w:color w:val="003E87"/>
          <w:spacing w:val="-14"/>
          <w:sz w:val="80"/>
        </w:rPr>
        <w:t> </w:t>
      </w:r>
      <w:r>
        <w:rPr>
          <w:rFonts w:ascii="Century Gothic"/>
          <w:b/>
          <w:color w:val="003E87"/>
          <w:sz w:val="80"/>
        </w:rPr>
        <w:t>Dallas</w:t>
      </w:r>
      <w:r>
        <w:rPr>
          <w:rFonts w:ascii="Century Gothic"/>
          <w:b/>
          <w:color w:val="003E87"/>
          <w:spacing w:val="-18"/>
          <w:sz w:val="80"/>
        </w:rPr>
        <w:t> </w:t>
      </w:r>
      <w:r>
        <w:rPr>
          <w:rFonts w:ascii="Century Gothic"/>
          <w:b/>
          <w:color w:val="003E87"/>
          <w:sz w:val="80"/>
        </w:rPr>
        <w:t>Housing Resource Catalog</w:t>
      </w:r>
    </w:p>
    <w:p>
      <w:pPr>
        <w:spacing w:line="115" w:lineRule="auto" w:before="572"/>
        <w:ind w:left="12697" w:right="951" w:hanging="1796"/>
        <w:jc w:val="right"/>
        <w:rPr>
          <w:rFonts w:ascii="Century Gothic"/>
          <w:b/>
          <w:sz w:val="56"/>
        </w:rPr>
      </w:pPr>
      <w:r>
        <w:rPr>
          <w:rFonts w:ascii="Century Gothic"/>
          <w:b/>
          <w:color w:val="003E87"/>
          <w:sz w:val="56"/>
        </w:rPr>
        <w:t>Housing</w:t>
      </w:r>
      <w:r>
        <w:rPr>
          <w:rFonts w:ascii="Century Gothic"/>
          <w:b/>
          <w:color w:val="003E87"/>
          <w:spacing w:val="-19"/>
          <w:sz w:val="56"/>
        </w:rPr>
        <w:t> </w:t>
      </w:r>
      <w:r>
        <w:rPr>
          <w:rFonts w:ascii="Century Gothic"/>
          <w:b/>
          <w:color w:val="003E87"/>
          <w:sz w:val="56"/>
        </w:rPr>
        <w:t>and</w:t>
      </w:r>
      <w:r>
        <w:rPr>
          <w:rFonts w:ascii="Century Gothic"/>
          <w:b/>
          <w:color w:val="003E87"/>
          <w:spacing w:val="-22"/>
          <w:sz w:val="56"/>
        </w:rPr>
        <w:t> </w:t>
      </w:r>
      <w:r>
        <w:rPr>
          <w:rFonts w:ascii="Century Gothic"/>
          <w:b/>
          <w:color w:val="003E87"/>
          <w:sz w:val="56"/>
        </w:rPr>
        <w:t>Homelessness Solutions</w:t>
      </w:r>
      <w:r>
        <w:rPr>
          <w:rFonts w:ascii="Century Gothic"/>
          <w:b/>
          <w:color w:val="003E87"/>
          <w:spacing w:val="-40"/>
          <w:sz w:val="56"/>
        </w:rPr>
        <w:t> </w:t>
      </w:r>
      <w:r>
        <w:rPr>
          <w:rFonts w:ascii="Century Gothic"/>
          <w:b/>
          <w:color w:val="003E87"/>
          <w:sz w:val="56"/>
        </w:rPr>
        <w:t>Committee March 21, 2023</w:t>
      </w:r>
    </w:p>
    <w:p>
      <w:pPr>
        <w:pStyle w:val="BodyText"/>
        <w:spacing w:before="3"/>
        <w:rPr>
          <w:rFonts w:ascii="Century Gothic"/>
          <w:b/>
          <w:sz w:val="70"/>
        </w:rPr>
      </w:pPr>
    </w:p>
    <w:p>
      <w:pPr>
        <w:spacing w:line="278" w:lineRule="auto" w:before="0"/>
        <w:ind w:left="12597" w:right="798" w:firstLine="1507"/>
        <w:jc w:val="right"/>
        <w:rPr>
          <w:sz w:val="40"/>
        </w:rPr>
      </w:pPr>
      <w:r>
        <w:rPr>
          <w:color w:val="003E87"/>
          <w:sz w:val="40"/>
        </w:rPr>
        <w:t>David</w:t>
      </w:r>
      <w:r>
        <w:rPr>
          <w:color w:val="003E87"/>
          <w:spacing w:val="-13"/>
          <w:sz w:val="40"/>
        </w:rPr>
        <w:t> </w:t>
      </w:r>
      <w:r>
        <w:rPr>
          <w:color w:val="003E87"/>
          <w:sz w:val="40"/>
        </w:rPr>
        <w:t>Noguera,</w:t>
      </w:r>
      <w:r>
        <w:rPr>
          <w:color w:val="003E87"/>
          <w:spacing w:val="-21"/>
          <w:sz w:val="40"/>
        </w:rPr>
        <w:t> </w:t>
      </w:r>
      <w:r>
        <w:rPr>
          <w:color w:val="003E87"/>
          <w:sz w:val="40"/>
        </w:rPr>
        <w:t>Director Thor</w:t>
      </w:r>
      <w:r>
        <w:rPr>
          <w:color w:val="003E87"/>
          <w:spacing w:val="-3"/>
          <w:sz w:val="40"/>
        </w:rPr>
        <w:t> </w:t>
      </w:r>
      <w:r>
        <w:rPr>
          <w:color w:val="003E87"/>
          <w:sz w:val="40"/>
        </w:rPr>
        <w:t>Erickson,</w:t>
      </w:r>
      <w:r>
        <w:rPr>
          <w:color w:val="003E87"/>
          <w:spacing w:val="-31"/>
          <w:sz w:val="40"/>
        </w:rPr>
        <w:t> </w:t>
      </w:r>
      <w:r>
        <w:rPr>
          <w:color w:val="003E87"/>
          <w:sz w:val="40"/>
        </w:rPr>
        <w:t>Assistant</w:t>
      </w:r>
      <w:r>
        <w:rPr>
          <w:color w:val="003E87"/>
          <w:spacing w:val="-10"/>
          <w:sz w:val="40"/>
        </w:rPr>
        <w:t> </w:t>
      </w:r>
      <w:r>
        <w:rPr>
          <w:color w:val="003E87"/>
          <w:spacing w:val="-2"/>
          <w:sz w:val="40"/>
        </w:rPr>
        <w:t>Director</w:t>
      </w:r>
    </w:p>
    <w:p>
      <w:pPr>
        <w:spacing w:line="456" w:lineRule="exact" w:before="0"/>
        <w:ind w:left="0" w:right="797" w:firstLine="0"/>
        <w:jc w:val="right"/>
        <w:rPr>
          <w:sz w:val="40"/>
        </w:rPr>
      </w:pPr>
      <w:r>
        <w:rPr>
          <w:color w:val="003E87"/>
          <w:sz w:val="40"/>
        </w:rPr>
        <w:t>Department</w:t>
      </w:r>
      <w:r>
        <w:rPr>
          <w:color w:val="003E87"/>
          <w:spacing w:val="-13"/>
          <w:sz w:val="40"/>
        </w:rPr>
        <w:t> </w:t>
      </w:r>
      <w:r>
        <w:rPr>
          <w:color w:val="003E87"/>
          <w:sz w:val="40"/>
        </w:rPr>
        <w:t>of</w:t>
      </w:r>
      <w:r>
        <w:rPr>
          <w:color w:val="003E87"/>
          <w:spacing w:val="-6"/>
          <w:sz w:val="40"/>
        </w:rPr>
        <w:t> </w:t>
      </w:r>
      <w:r>
        <w:rPr>
          <w:color w:val="003E87"/>
          <w:sz w:val="40"/>
        </w:rPr>
        <w:t>Housing</w:t>
      </w:r>
      <w:r>
        <w:rPr>
          <w:color w:val="003E87"/>
          <w:spacing w:val="-6"/>
          <w:sz w:val="40"/>
        </w:rPr>
        <w:t> </w:t>
      </w:r>
      <w:r>
        <w:rPr>
          <w:color w:val="003E87"/>
          <w:sz w:val="40"/>
        </w:rPr>
        <w:t>&amp;</w:t>
      </w:r>
      <w:r>
        <w:rPr>
          <w:color w:val="003E87"/>
          <w:spacing w:val="-1"/>
          <w:sz w:val="40"/>
        </w:rPr>
        <w:t> </w:t>
      </w:r>
      <w:r>
        <w:rPr>
          <w:color w:val="003E87"/>
          <w:sz w:val="40"/>
        </w:rPr>
        <w:t>Neighborhood</w:t>
      </w:r>
      <w:r>
        <w:rPr>
          <w:color w:val="003E87"/>
          <w:spacing w:val="-11"/>
          <w:sz w:val="40"/>
        </w:rPr>
        <w:t> </w:t>
      </w:r>
      <w:r>
        <w:rPr>
          <w:color w:val="003E87"/>
          <w:spacing w:val="-2"/>
          <w:sz w:val="40"/>
        </w:rPr>
        <w:t>Revitalization</w:t>
      </w:r>
    </w:p>
    <w:p>
      <w:pPr>
        <w:spacing w:before="73"/>
        <w:ind w:left="0" w:right="799" w:firstLine="0"/>
        <w:jc w:val="right"/>
        <w:rPr>
          <w:sz w:val="40"/>
        </w:rPr>
      </w:pPr>
      <w:r>
        <w:rPr>
          <w:color w:val="003E87"/>
          <w:sz w:val="40"/>
        </w:rPr>
        <w:t>City</w:t>
      </w:r>
      <w:r>
        <w:rPr>
          <w:color w:val="003E87"/>
          <w:spacing w:val="-6"/>
          <w:sz w:val="40"/>
        </w:rPr>
        <w:t> </w:t>
      </w:r>
      <w:r>
        <w:rPr>
          <w:color w:val="003E87"/>
          <w:sz w:val="40"/>
        </w:rPr>
        <w:t>of</w:t>
      </w:r>
      <w:r>
        <w:rPr>
          <w:color w:val="003E87"/>
          <w:spacing w:val="-3"/>
          <w:sz w:val="40"/>
        </w:rPr>
        <w:t> </w:t>
      </w:r>
      <w:r>
        <w:rPr>
          <w:color w:val="003E87"/>
          <w:spacing w:val="-2"/>
          <w:sz w:val="40"/>
        </w:rPr>
        <w:t>Dallas</w:t>
      </w:r>
    </w:p>
    <w:p>
      <w:pPr>
        <w:spacing w:after="0"/>
        <w:jc w:val="right"/>
        <w:rPr>
          <w:sz w:val="40"/>
        </w:rPr>
        <w:sectPr>
          <w:type w:val="continuous"/>
          <w:pgSz w:w="19200" w:h="10800" w:orient="landscape"/>
          <w:pgMar w:top="0" w:bottom="0" w:left="0" w:right="0"/>
        </w:sectPr>
      </w:pPr>
    </w:p>
    <w:p>
      <w:pPr>
        <w:spacing w:line="1239" w:lineRule="exact" w:before="0"/>
        <w:ind w:left="1260" w:right="0" w:firstLine="0"/>
        <w:jc w:val="left"/>
        <w:rPr>
          <w:rFonts w:ascii="Century Gothic"/>
          <w:b/>
          <w:sz w:val="80"/>
        </w:rPr>
      </w:pPr>
      <w:r>
        <w:rPr/>
        <w:drawing>
          <wp:anchor distT="0" distB="0" distL="0" distR="0" allowOverlap="1" layoutInCell="1" locked="0" behindDoc="1" simplePos="0" relativeHeight="485569024">
            <wp:simplePos x="0" y="0"/>
            <wp:positionH relativeFrom="page">
              <wp:posOffset>0</wp:posOffset>
            </wp:positionH>
            <wp:positionV relativeFrom="page">
              <wp:posOffset>0</wp:posOffset>
            </wp:positionV>
            <wp:extent cx="12191998" cy="6754367"/>
            <wp:effectExtent l="0" t="0" r="0" b="0"/>
            <wp:wrapNone/>
            <wp:docPr id="3" name="image2.png"/>
            <wp:cNvGraphicFramePr>
              <a:graphicFrameLocks noChangeAspect="1"/>
            </wp:cNvGraphicFramePr>
            <a:graphic>
              <a:graphicData uri="http://schemas.openxmlformats.org/drawingml/2006/picture">
                <pic:pic>
                  <pic:nvPicPr>
                    <pic:cNvPr id="4" name="image2.png"/>
                    <pic:cNvPicPr/>
                  </pic:nvPicPr>
                  <pic:blipFill>
                    <a:blip r:embed="rId6" cstate="print"/>
                    <a:stretch>
                      <a:fillRect/>
                    </a:stretch>
                  </pic:blipFill>
                  <pic:spPr>
                    <a:xfrm>
                      <a:off x="0" y="0"/>
                      <a:ext cx="12191998" cy="6754367"/>
                    </a:xfrm>
                    <a:prstGeom prst="rect">
                      <a:avLst/>
                    </a:prstGeom>
                  </pic:spPr>
                </pic:pic>
              </a:graphicData>
            </a:graphic>
          </wp:anchor>
        </w:drawing>
      </w:r>
      <w:bookmarkStart w:name="Slide Number 2" w:id="3"/>
      <w:bookmarkEnd w:id="3"/>
      <w:r>
        <w:rPr/>
      </w:r>
      <w:r>
        <w:rPr>
          <w:rFonts w:ascii="Century Gothic"/>
          <w:b/>
          <w:color w:val="003E87"/>
          <w:sz w:val="80"/>
        </w:rPr>
        <w:t>Presentation</w:t>
      </w:r>
      <w:r>
        <w:rPr>
          <w:rFonts w:ascii="Century Gothic"/>
          <w:b/>
          <w:color w:val="003E87"/>
          <w:spacing w:val="-49"/>
          <w:sz w:val="80"/>
        </w:rPr>
        <w:t> </w:t>
      </w:r>
      <w:r>
        <w:rPr>
          <w:rFonts w:ascii="Century Gothic"/>
          <w:b/>
          <w:color w:val="003E87"/>
          <w:spacing w:val="-2"/>
          <w:sz w:val="80"/>
        </w:rPr>
        <w:t>Overview</w:t>
      </w:r>
    </w:p>
    <w:p>
      <w:pPr>
        <w:pStyle w:val="BodyText"/>
        <w:spacing w:before="22"/>
        <w:rPr>
          <w:rFonts w:ascii="Century Gothic"/>
          <w:b/>
          <w:sz w:val="21"/>
        </w:rPr>
      </w:pPr>
    </w:p>
    <w:p>
      <w:pPr>
        <w:pStyle w:val="ListParagraph"/>
        <w:numPr>
          <w:ilvl w:val="0"/>
          <w:numId w:val="1"/>
        </w:numPr>
        <w:tabs>
          <w:tab w:pos="1622" w:val="left" w:leader="none"/>
        </w:tabs>
        <w:spacing w:line="650" w:lineRule="exact" w:before="0" w:after="0"/>
        <w:ind w:left="1621" w:right="0" w:hanging="361"/>
        <w:jc w:val="left"/>
        <w:rPr>
          <w:color w:val="003E87"/>
          <w:sz w:val="66"/>
        </w:rPr>
      </w:pPr>
      <w:r>
        <w:rPr>
          <w:rFonts w:ascii="Century Gothic" w:hAnsi="Century Gothic"/>
          <w:color w:val="003E87"/>
          <w:spacing w:val="-2"/>
          <w:sz w:val="66"/>
        </w:rPr>
        <w:t>Background/History</w:t>
      </w:r>
    </w:p>
    <w:p>
      <w:pPr>
        <w:pStyle w:val="ListParagraph"/>
        <w:numPr>
          <w:ilvl w:val="0"/>
          <w:numId w:val="1"/>
        </w:numPr>
        <w:tabs>
          <w:tab w:pos="1622" w:val="left" w:leader="none"/>
        </w:tabs>
        <w:spacing w:line="834" w:lineRule="exact" w:before="0" w:after="0"/>
        <w:ind w:left="1621" w:right="0" w:hanging="361"/>
        <w:jc w:val="left"/>
        <w:rPr>
          <w:color w:val="003E87"/>
          <w:sz w:val="66"/>
        </w:rPr>
      </w:pPr>
      <w:r>
        <w:rPr>
          <w:rFonts w:ascii="Century Gothic" w:hAnsi="Century Gothic"/>
          <w:color w:val="003E87"/>
          <w:spacing w:val="-2"/>
          <w:sz w:val="66"/>
        </w:rPr>
        <w:t>Purpose</w:t>
      </w:r>
    </w:p>
    <w:p>
      <w:pPr>
        <w:pStyle w:val="ListParagraph"/>
        <w:numPr>
          <w:ilvl w:val="0"/>
          <w:numId w:val="1"/>
        </w:numPr>
        <w:tabs>
          <w:tab w:pos="1622" w:val="left" w:leader="none"/>
        </w:tabs>
        <w:spacing w:line="834" w:lineRule="exact" w:before="0" w:after="0"/>
        <w:ind w:left="1621" w:right="0" w:hanging="361"/>
        <w:jc w:val="left"/>
        <w:rPr>
          <w:color w:val="003E87"/>
          <w:sz w:val="66"/>
        </w:rPr>
      </w:pPr>
      <w:r>
        <w:rPr>
          <w:rFonts w:ascii="Century Gothic" w:hAnsi="Century Gothic"/>
          <w:color w:val="003E87"/>
          <w:sz w:val="66"/>
        </w:rPr>
        <w:t>Dallas</w:t>
      </w:r>
      <w:r>
        <w:rPr>
          <w:rFonts w:ascii="Century Gothic" w:hAnsi="Century Gothic"/>
          <w:color w:val="003E87"/>
          <w:spacing w:val="-10"/>
          <w:sz w:val="66"/>
        </w:rPr>
        <w:t> </w:t>
      </w:r>
      <w:r>
        <w:rPr>
          <w:rFonts w:ascii="Century Gothic" w:hAnsi="Century Gothic"/>
          <w:color w:val="003E87"/>
          <w:sz w:val="66"/>
        </w:rPr>
        <w:t>Housing</w:t>
      </w:r>
      <w:r>
        <w:rPr>
          <w:rFonts w:ascii="Century Gothic" w:hAnsi="Century Gothic"/>
          <w:color w:val="003E87"/>
          <w:spacing w:val="-5"/>
          <w:sz w:val="66"/>
        </w:rPr>
        <w:t> </w:t>
      </w:r>
      <w:r>
        <w:rPr>
          <w:rFonts w:ascii="Century Gothic" w:hAnsi="Century Gothic"/>
          <w:color w:val="003E87"/>
          <w:sz w:val="66"/>
        </w:rPr>
        <w:t>Resource</w:t>
      </w:r>
      <w:r>
        <w:rPr>
          <w:rFonts w:ascii="Century Gothic" w:hAnsi="Century Gothic"/>
          <w:color w:val="003E87"/>
          <w:spacing w:val="-7"/>
          <w:sz w:val="66"/>
        </w:rPr>
        <w:t> </w:t>
      </w:r>
      <w:r>
        <w:rPr>
          <w:rFonts w:ascii="Century Gothic" w:hAnsi="Century Gothic"/>
          <w:color w:val="003E87"/>
          <w:sz w:val="66"/>
        </w:rPr>
        <w:t>Catalog</w:t>
      </w:r>
      <w:r>
        <w:rPr>
          <w:rFonts w:ascii="Century Gothic" w:hAnsi="Century Gothic"/>
          <w:color w:val="003E87"/>
          <w:spacing w:val="-3"/>
          <w:sz w:val="66"/>
        </w:rPr>
        <w:t> </w:t>
      </w:r>
      <w:r>
        <w:rPr>
          <w:rFonts w:ascii="Century Gothic" w:hAnsi="Century Gothic"/>
          <w:color w:val="003E87"/>
          <w:spacing w:val="-2"/>
          <w:sz w:val="66"/>
        </w:rPr>
        <w:t>Structure</w:t>
      </w:r>
    </w:p>
    <w:p>
      <w:pPr>
        <w:pStyle w:val="ListParagraph"/>
        <w:numPr>
          <w:ilvl w:val="0"/>
          <w:numId w:val="1"/>
        </w:numPr>
        <w:tabs>
          <w:tab w:pos="1622" w:val="left" w:leader="none"/>
        </w:tabs>
        <w:spacing w:line="833" w:lineRule="exact" w:before="0" w:after="0"/>
        <w:ind w:left="1621" w:right="0" w:hanging="361"/>
        <w:jc w:val="left"/>
        <w:rPr>
          <w:color w:val="003E87"/>
          <w:sz w:val="66"/>
        </w:rPr>
      </w:pPr>
      <w:r>
        <w:rPr>
          <w:rFonts w:ascii="Century Gothic" w:hAnsi="Century Gothic"/>
          <w:color w:val="003E87"/>
          <w:sz w:val="66"/>
        </w:rPr>
        <w:t>Operational</w:t>
      </w:r>
      <w:r>
        <w:rPr>
          <w:rFonts w:ascii="Century Gothic" w:hAnsi="Century Gothic"/>
          <w:color w:val="003E87"/>
          <w:spacing w:val="-10"/>
          <w:sz w:val="66"/>
        </w:rPr>
        <w:t> </w:t>
      </w:r>
      <w:r>
        <w:rPr>
          <w:rFonts w:ascii="Century Gothic" w:hAnsi="Century Gothic"/>
          <w:color w:val="003E87"/>
          <w:spacing w:val="-2"/>
          <w:sz w:val="66"/>
        </w:rPr>
        <w:t>Process</w:t>
      </w:r>
    </w:p>
    <w:p>
      <w:pPr>
        <w:pStyle w:val="ListParagraph"/>
        <w:numPr>
          <w:ilvl w:val="0"/>
          <w:numId w:val="1"/>
        </w:numPr>
        <w:tabs>
          <w:tab w:pos="1622" w:val="left" w:leader="none"/>
        </w:tabs>
        <w:spacing w:line="834" w:lineRule="exact" w:before="0" w:after="0"/>
        <w:ind w:left="1621" w:right="0" w:hanging="361"/>
        <w:jc w:val="left"/>
        <w:rPr>
          <w:color w:val="003E87"/>
          <w:sz w:val="66"/>
        </w:rPr>
      </w:pPr>
      <w:r>
        <w:rPr>
          <w:rFonts w:ascii="Century Gothic" w:hAnsi="Century Gothic"/>
          <w:color w:val="003E87"/>
          <w:spacing w:val="-2"/>
          <w:sz w:val="66"/>
        </w:rPr>
        <w:t>Authority</w:t>
      </w:r>
    </w:p>
    <w:p>
      <w:pPr>
        <w:pStyle w:val="ListParagraph"/>
        <w:numPr>
          <w:ilvl w:val="0"/>
          <w:numId w:val="1"/>
        </w:numPr>
        <w:tabs>
          <w:tab w:pos="1622" w:val="left" w:leader="none"/>
        </w:tabs>
        <w:spacing w:line="834" w:lineRule="exact" w:before="0" w:after="0"/>
        <w:ind w:left="1621" w:right="0" w:hanging="361"/>
        <w:jc w:val="left"/>
        <w:rPr>
          <w:color w:val="003E87"/>
          <w:sz w:val="66"/>
        </w:rPr>
      </w:pPr>
      <w:r>
        <w:rPr>
          <w:rFonts w:ascii="Century Gothic" w:hAnsi="Century Gothic"/>
          <w:color w:val="003E87"/>
          <w:sz w:val="66"/>
        </w:rPr>
        <w:t>Community</w:t>
      </w:r>
      <w:r>
        <w:rPr>
          <w:rFonts w:ascii="Century Gothic" w:hAnsi="Century Gothic"/>
          <w:color w:val="003E87"/>
          <w:spacing w:val="-1"/>
          <w:sz w:val="66"/>
        </w:rPr>
        <w:t> </w:t>
      </w:r>
      <w:r>
        <w:rPr>
          <w:rFonts w:ascii="Century Gothic" w:hAnsi="Century Gothic"/>
          <w:color w:val="003E87"/>
          <w:spacing w:val="-2"/>
          <w:sz w:val="66"/>
        </w:rPr>
        <w:t>Engagement</w:t>
      </w:r>
    </w:p>
    <w:p>
      <w:pPr>
        <w:pStyle w:val="ListParagraph"/>
        <w:numPr>
          <w:ilvl w:val="0"/>
          <w:numId w:val="1"/>
        </w:numPr>
        <w:tabs>
          <w:tab w:pos="1622" w:val="left" w:leader="none"/>
        </w:tabs>
        <w:spacing w:line="833" w:lineRule="exact" w:before="0" w:after="0"/>
        <w:ind w:left="1621" w:right="0" w:hanging="361"/>
        <w:jc w:val="left"/>
        <w:rPr>
          <w:color w:val="003E87"/>
          <w:sz w:val="66"/>
        </w:rPr>
      </w:pPr>
      <w:r>
        <w:rPr>
          <w:rFonts w:ascii="Century Gothic" w:hAnsi="Century Gothic"/>
          <w:color w:val="003E87"/>
          <w:sz w:val="66"/>
        </w:rPr>
        <w:t>SMARTIE</w:t>
      </w:r>
      <w:r>
        <w:rPr>
          <w:rFonts w:ascii="Century Gothic" w:hAnsi="Century Gothic"/>
          <w:color w:val="003E87"/>
          <w:spacing w:val="-4"/>
          <w:sz w:val="66"/>
        </w:rPr>
        <w:t> </w:t>
      </w:r>
      <w:r>
        <w:rPr>
          <w:rFonts w:ascii="Century Gothic" w:hAnsi="Century Gothic"/>
          <w:color w:val="003E87"/>
          <w:spacing w:val="-2"/>
          <w:sz w:val="66"/>
        </w:rPr>
        <w:t>Goals</w:t>
      </w:r>
    </w:p>
    <w:p>
      <w:pPr>
        <w:pStyle w:val="ListParagraph"/>
        <w:numPr>
          <w:ilvl w:val="0"/>
          <w:numId w:val="1"/>
        </w:numPr>
        <w:tabs>
          <w:tab w:pos="1622" w:val="left" w:leader="none"/>
        </w:tabs>
        <w:spacing w:line="1245" w:lineRule="exact" w:before="0" w:after="0"/>
        <w:ind w:left="1621" w:right="0" w:hanging="361"/>
        <w:jc w:val="left"/>
        <w:rPr>
          <w:color w:val="003E87"/>
          <w:sz w:val="66"/>
        </w:rPr>
      </w:pPr>
      <w:r>
        <w:rPr>
          <w:rFonts w:ascii="Century Gothic" w:hAnsi="Century Gothic"/>
          <w:color w:val="003E87"/>
          <w:sz w:val="66"/>
        </w:rPr>
        <w:t>Staff</w:t>
      </w:r>
      <w:r>
        <w:rPr>
          <w:rFonts w:ascii="Century Gothic" w:hAnsi="Century Gothic"/>
          <w:color w:val="003E87"/>
          <w:spacing w:val="-7"/>
          <w:sz w:val="66"/>
        </w:rPr>
        <w:t> </w:t>
      </w:r>
      <w:r>
        <w:rPr>
          <w:rFonts w:ascii="Century Gothic" w:hAnsi="Century Gothic"/>
          <w:color w:val="003E87"/>
          <w:spacing w:val="-2"/>
          <w:sz w:val="66"/>
        </w:rPr>
        <w:t>Recommendation</w:t>
      </w:r>
    </w:p>
    <w:p>
      <w:pPr>
        <w:pStyle w:val="BodyText"/>
        <w:rPr>
          <w:rFonts w:ascii="Century Gothic"/>
          <w:sz w:val="20"/>
        </w:rPr>
      </w:pPr>
    </w:p>
    <w:p>
      <w:pPr>
        <w:pStyle w:val="BodyText"/>
        <w:spacing w:before="20"/>
        <w:rPr>
          <w:rFonts w:ascii="Century Gothic"/>
          <w:sz w:val="26"/>
        </w:rPr>
      </w:pPr>
    </w:p>
    <w:p>
      <w:pPr>
        <w:spacing w:before="27"/>
        <w:ind w:left="0" w:right="329" w:firstLine="0"/>
        <w:jc w:val="right"/>
        <w:rPr>
          <w:rFonts w:ascii="Calibri"/>
          <w:sz w:val="36"/>
        </w:rPr>
      </w:pPr>
      <w:r>
        <w:rPr>
          <w:rFonts w:ascii="Calibri"/>
          <w:color w:val="888888"/>
          <w:sz w:val="36"/>
        </w:rPr>
        <w:t>2</w:t>
      </w:r>
    </w:p>
    <w:p>
      <w:pPr>
        <w:spacing w:after="0"/>
        <w:jc w:val="right"/>
        <w:rPr>
          <w:rFonts w:ascii="Calibri"/>
          <w:sz w:val="36"/>
        </w:rPr>
        <w:sectPr>
          <w:pgSz w:w="19200" w:h="10800" w:orient="landscape"/>
          <w:pgMar w:top="340" w:bottom="0" w:left="0" w:right="0"/>
        </w:sectPr>
      </w:pPr>
    </w:p>
    <w:p>
      <w:pPr>
        <w:pStyle w:val="BodyText"/>
        <w:rPr>
          <w:rFonts w:ascii="Calibri"/>
          <w:sz w:val="20"/>
        </w:rPr>
      </w:pPr>
      <w:r>
        <w:rPr/>
        <w:pict>
          <v:group style="position:absolute;margin-left:0pt;margin-top:0pt;width:960pt;height:85.15pt;mso-position-horizontal-relative:page;mso-position-vertical-relative:page;z-index:15730176" id="docshapegroup1" coordorigin="0,0" coordsize="19200,1703">
            <v:shape style="position:absolute;left:0;top:0;width:19200;height:1703" type="#_x0000_t75" id="docshape2" stroked="false">
              <v:imagedata r:id="rId7" o:title=""/>
            </v:shape>
            <v:shapetype id="_x0000_t202" o:spt="202" coordsize="21600,21600" path="m,l,21600r21600,l21600,xe">
              <v:stroke joinstyle="miter"/>
              <v:path gradientshapeok="t" o:connecttype="rect"/>
            </v:shapetype>
            <v:shape style="position:absolute;left:0;top:0;width:19200;height:1703" type="#_x0000_t202" id="docshape3" filled="false" stroked="false">
              <v:textbox inset="0,0,0,0">
                <w:txbxContent>
                  <w:p>
                    <w:pPr>
                      <w:spacing w:line="1579" w:lineRule="exact" w:before="0"/>
                      <w:ind w:left="1260" w:right="0" w:firstLine="0"/>
                      <w:jc w:val="left"/>
                      <w:rPr>
                        <w:rFonts w:ascii="Century Gothic"/>
                        <w:b/>
                        <w:sz w:val="80"/>
                      </w:rPr>
                    </w:pPr>
                    <w:r>
                      <w:rPr>
                        <w:rFonts w:ascii="Century Gothic"/>
                        <w:b/>
                        <w:color w:val="003E87"/>
                        <w:spacing w:val="-2"/>
                        <w:sz w:val="80"/>
                      </w:rPr>
                      <w:t>Background/History</w:t>
                    </w:r>
                  </w:p>
                </w:txbxContent>
              </v:textbox>
              <w10:wrap type="none"/>
            </v:shape>
            <w10:wrap type="none"/>
          </v:group>
        </w:pict>
      </w: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spacing w:before="4"/>
        <w:rPr>
          <w:rFonts w:ascii="Calibri"/>
          <w:sz w:val="27"/>
        </w:rPr>
      </w:pPr>
    </w:p>
    <w:p>
      <w:pPr>
        <w:spacing w:before="91"/>
        <w:ind w:left="0" w:right="578" w:firstLine="0"/>
        <w:jc w:val="right"/>
        <w:rPr>
          <w:rFonts w:ascii="Times New Roman"/>
          <w:sz w:val="23"/>
        </w:rPr>
      </w:pPr>
      <w:r>
        <w:rPr/>
        <w:pict>
          <v:group style="position:absolute;margin-left:0pt;margin-top:-20.53727pt;width:958.1pt;height:372.45pt;mso-position-horizontal-relative:page;mso-position-vertical-relative:paragraph;z-index:-17745920" id="docshapegroup4" coordorigin="0,-411" coordsize="19162,7449">
            <v:shape style="position:absolute;left:0;top:-411;width:19162;height:7449" type="#_x0000_t75" id="docshape5" stroked="false">
              <v:imagedata r:id="rId8" o:title=""/>
            </v:shape>
            <v:line style="position:absolute" from="19138,2922" to="19138,2022" stroked="true" strokeweight="1.68168pt" strokecolor="#000000">
              <v:stroke dashstyle="solid"/>
            </v:line>
            <w10:wrap type="none"/>
          </v:group>
        </w:pict>
      </w:r>
      <w:bookmarkStart w:name="Slide Number 3" w:id="4"/>
      <w:bookmarkEnd w:id="4"/>
      <w:r>
        <w:rPr/>
      </w:r>
      <w:r>
        <w:rPr>
          <w:rFonts w:ascii="Times New Roman"/>
          <w:color w:val="330F05"/>
          <w:sz w:val="23"/>
        </w:rPr>
        <w:t>7</w:t>
      </w:r>
      <w:r>
        <w:rPr>
          <w:rFonts w:ascii="Times New Roman"/>
          <w:color w:val="330F05"/>
          <w:spacing w:val="17"/>
          <w:sz w:val="23"/>
        </w:rPr>
        <w:t> </w:t>
      </w:r>
      <w:r>
        <w:rPr>
          <w:rFonts w:ascii="Times New Roman"/>
          <w:color w:val="330F05"/>
          <w:spacing w:val="-2"/>
          <w:sz w:val="23"/>
        </w:rPr>
        <w:t>Pillars</w:t>
      </w:r>
    </w:p>
    <w:p>
      <w:pPr>
        <w:pStyle w:val="BodyText"/>
        <w:rPr>
          <w:rFonts w:ascii="Times New Roman"/>
          <w:sz w:val="26"/>
        </w:rPr>
      </w:pPr>
    </w:p>
    <w:p>
      <w:pPr>
        <w:pStyle w:val="BodyText"/>
        <w:rPr>
          <w:rFonts w:ascii="Times New Roman"/>
          <w:sz w:val="26"/>
        </w:rPr>
      </w:pPr>
    </w:p>
    <w:p>
      <w:pPr>
        <w:pStyle w:val="BodyText"/>
        <w:rPr>
          <w:rFonts w:ascii="Times New Roman"/>
          <w:sz w:val="26"/>
        </w:rPr>
      </w:pPr>
    </w:p>
    <w:p>
      <w:pPr>
        <w:pStyle w:val="BodyText"/>
        <w:rPr>
          <w:rFonts w:ascii="Times New Roman"/>
          <w:sz w:val="26"/>
        </w:rPr>
      </w:pPr>
    </w:p>
    <w:p>
      <w:pPr>
        <w:pStyle w:val="BodyText"/>
        <w:rPr>
          <w:rFonts w:ascii="Times New Roman"/>
          <w:sz w:val="26"/>
        </w:rPr>
      </w:pPr>
    </w:p>
    <w:p>
      <w:pPr>
        <w:pStyle w:val="BodyText"/>
        <w:rPr>
          <w:rFonts w:ascii="Times New Roman"/>
          <w:sz w:val="26"/>
        </w:rPr>
      </w:pPr>
    </w:p>
    <w:p>
      <w:pPr>
        <w:spacing w:line="235" w:lineRule="auto" w:before="233"/>
        <w:ind w:left="16424" w:right="0" w:firstLine="0"/>
        <w:jc w:val="left"/>
        <w:rPr>
          <w:rFonts w:ascii="Times New Roman"/>
          <w:sz w:val="49"/>
        </w:rPr>
      </w:pPr>
      <w:r>
        <w:rPr>
          <w:b/>
          <w:color w:val="080808"/>
          <w:w w:val="105"/>
          <w:sz w:val="44"/>
        </w:rPr>
        <w:t>Pillars</w:t>
      </w:r>
      <w:r>
        <w:rPr>
          <w:b/>
          <w:color w:val="080808"/>
          <w:spacing w:val="-19"/>
          <w:w w:val="105"/>
          <w:sz w:val="44"/>
        </w:rPr>
        <w:t> </w:t>
      </w:r>
      <w:r>
        <w:rPr>
          <w:b/>
          <w:color w:val="080808"/>
          <w:w w:val="105"/>
          <w:sz w:val="44"/>
        </w:rPr>
        <w:t>of </w:t>
      </w:r>
      <w:r>
        <w:rPr>
          <w:b/>
          <w:color w:val="080808"/>
          <w:spacing w:val="-2"/>
          <w:w w:val="105"/>
          <w:sz w:val="44"/>
        </w:rPr>
        <w:t>Housing </w:t>
      </w:r>
      <w:r>
        <w:rPr>
          <w:rFonts w:ascii="Times New Roman"/>
          <w:color w:val="080808"/>
          <w:spacing w:val="-2"/>
          <w:w w:val="105"/>
          <w:sz w:val="49"/>
        </w:rPr>
        <w:t>Equity</w:t>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7"/>
        <w:rPr>
          <w:rFonts w:ascii="Times New Roman"/>
          <w:sz w:val="18"/>
        </w:rPr>
      </w:pPr>
      <w:r>
        <w:rPr/>
        <w:pict>
          <v:group style="position:absolute;margin-left:12.49248pt;margin-top:11.899121pt;width:931.95pt;height:37.25pt;mso-position-horizontal-relative:page;mso-position-vertical-relative:paragraph;z-index:-15727616;mso-wrap-distance-left:0;mso-wrap-distance-right:0" id="docshapegroup6" coordorigin="250,238" coordsize="18639,745">
            <v:shape style="position:absolute;left:249;top:237;width:4094;height:712" type="#_x0000_t75" id="docshape7" stroked="false">
              <v:imagedata r:id="rId9" o:title=""/>
            </v:shape>
            <v:line style="position:absolute" from="4401,599" to="18854,599" stroked="true" strokeweight=".240427pt" strokecolor="#000000">
              <v:stroke dashstyle="solid"/>
            </v:line>
            <v:shape style="position:absolute;left:18685;top:622;width:203;height:360" type="#_x0000_t202" id="docshape8" filled="false" stroked="false">
              <v:textbox inset="0,0,0,0">
                <w:txbxContent>
                  <w:p>
                    <w:pPr>
                      <w:spacing w:line="360" w:lineRule="exact" w:before="0"/>
                      <w:ind w:left="0" w:right="0" w:firstLine="0"/>
                      <w:jc w:val="left"/>
                      <w:rPr>
                        <w:rFonts w:ascii="Calibri"/>
                        <w:sz w:val="36"/>
                      </w:rPr>
                    </w:pPr>
                    <w:r>
                      <w:rPr>
                        <w:rFonts w:ascii="Calibri"/>
                        <w:color w:val="888888"/>
                        <w:sz w:val="36"/>
                      </w:rPr>
                      <w:t>3</w:t>
                    </w:r>
                  </w:p>
                </w:txbxContent>
              </v:textbox>
              <w10:wrap type="none"/>
            </v:shape>
            <w10:wrap type="topAndBottom"/>
          </v:group>
        </w:pict>
      </w:r>
    </w:p>
    <w:p>
      <w:pPr>
        <w:spacing w:after="0"/>
        <w:rPr>
          <w:rFonts w:ascii="Times New Roman"/>
          <w:sz w:val="18"/>
        </w:rPr>
        <w:sectPr>
          <w:pgSz w:w="19200" w:h="10800" w:orient="landscape"/>
          <w:pgMar w:top="0" w:bottom="0" w:left="0" w:right="0"/>
        </w:sectPr>
      </w:pPr>
    </w:p>
    <w:p>
      <w:pPr>
        <w:spacing w:line="1176" w:lineRule="exact" w:before="0"/>
        <w:ind w:left="1260" w:right="0" w:firstLine="0"/>
        <w:jc w:val="left"/>
        <w:rPr>
          <w:rFonts w:ascii="Century Gothic"/>
          <w:b/>
          <w:sz w:val="80"/>
        </w:rPr>
      </w:pPr>
      <w:r>
        <w:rPr/>
        <w:drawing>
          <wp:anchor distT="0" distB="0" distL="0" distR="0" allowOverlap="1" layoutInCell="1" locked="0" behindDoc="1" simplePos="0" relativeHeight="485571072">
            <wp:simplePos x="0" y="0"/>
            <wp:positionH relativeFrom="page">
              <wp:posOffset>0</wp:posOffset>
            </wp:positionH>
            <wp:positionV relativeFrom="page">
              <wp:posOffset>0</wp:posOffset>
            </wp:positionV>
            <wp:extent cx="12191998" cy="6754367"/>
            <wp:effectExtent l="0" t="0" r="0" b="0"/>
            <wp:wrapNone/>
            <wp:docPr id="5" name="image6.png"/>
            <wp:cNvGraphicFramePr>
              <a:graphicFrameLocks noChangeAspect="1"/>
            </wp:cNvGraphicFramePr>
            <a:graphic>
              <a:graphicData uri="http://schemas.openxmlformats.org/drawingml/2006/picture">
                <pic:pic>
                  <pic:nvPicPr>
                    <pic:cNvPr id="6" name="image6.png"/>
                    <pic:cNvPicPr/>
                  </pic:nvPicPr>
                  <pic:blipFill>
                    <a:blip r:embed="rId10" cstate="print"/>
                    <a:stretch>
                      <a:fillRect/>
                    </a:stretch>
                  </pic:blipFill>
                  <pic:spPr>
                    <a:xfrm>
                      <a:off x="0" y="0"/>
                      <a:ext cx="12191998" cy="6754367"/>
                    </a:xfrm>
                    <a:prstGeom prst="rect">
                      <a:avLst/>
                    </a:prstGeom>
                  </pic:spPr>
                </pic:pic>
              </a:graphicData>
            </a:graphic>
          </wp:anchor>
        </w:drawing>
      </w:r>
      <w:bookmarkStart w:name="Slide Number 4" w:id="5"/>
      <w:bookmarkEnd w:id="5"/>
      <w:r>
        <w:rPr/>
      </w:r>
      <w:r>
        <w:rPr>
          <w:rFonts w:ascii="Century Gothic"/>
          <w:b/>
          <w:color w:val="003E87"/>
          <w:spacing w:val="-2"/>
          <w:sz w:val="80"/>
        </w:rPr>
        <w:t>Background/History</w:t>
      </w:r>
    </w:p>
    <w:p>
      <w:pPr>
        <w:pStyle w:val="ListParagraph"/>
        <w:numPr>
          <w:ilvl w:val="0"/>
          <w:numId w:val="1"/>
        </w:numPr>
        <w:tabs>
          <w:tab w:pos="1622" w:val="left" w:leader="none"/>
        </w:tabs>
        <w:spacing w:line="91" w:lineRule="auto" w:before="856" w:after="0"/>
        <w:ind w:left="1621" w:right="1876" w:hanging="360"/>
        <w:jc w:val="left"/>
        <w:rPr>
          <w:color w:val="003E87"/>
          <w:sz w:val="72"/>
        </w:rPr>
      </w:pPr>
      <w:r>
        <w:rPr>
          <w:rFonts w:ascii="Century Gothic" w:hAnsi="Century Gothic"/>
          <w:color w:val="003E87"/>
          <w:sz w:val="72"/>
        </w:rPr>
        <w:t>Dallas</w:t>
      </w:r>
      <w:r>
        <w:rPr>
          <w:rFonts w:ascii="Century Gothic" w:hAnsi="Century Gothic"/>
          <w:color w:val="003E87"/>
          <w:spacing w:val="-5"/>
          <w:sz w:val="72"/>
        </w:rPr>
        <w:t> </w:t>
      </w:r>
      <w:r>
        <w:rPr>
          <w:rFonts w:ascii="Century Gothic" w:hAnsi="Century Gothic"/>
          <w:color w:val="003E87"/>
          <w:sz w:val="72"/>
        </w:rPr>
        <w:t>Housing</w:t>
      </w:r>
      <w:r>
        <w:rPr>
          <w:rFonts w:ascii="Century Gothic" w:hAnsi="Century Gothic"/>
          <w:color w:val="003E87"/>
          <w:spacing w:val="-2"/>
          <w:sz w:val="72"/>
        </w:rPr>
        <w:t> </w:t>
      </w:r>
      <w:r>
        <w:rPr>
          <w:rFonts w:ascii="Century Gothic" w:hAnsi="Century Gothic"/>
          <w:color w:val="003E87"/>
          <w:sz w:val="72"/>
        </w:rPr>
        <w:t>Resource</w:t>
      </w:r>
      <w:r>
        <w:rPr>
          <w:rFonts w:ascii="Century Gothic" w:hAnsi="Century Gothic"/>
          <w:color w:val="003E87"/>
          <w:spacing w:val="-1"/>
          <w:sz w:val="72"/>
        </w:rPr>
        <w:t> </w:t>
      </w:r>
      <w:r>
        <w:rPr>
          <w:rFonts w:ascii="Century Gothic" w:hAnsi="Century Gothic"/>
          <w:color w:val="003E87"/>
          <w:sz w:val="72"/>
        </w:rPr>
        <w:t>Catalog</w:t>
      </w:r>
      <w:r>
        <w:rPr>
          <w:rFonts w:ascii="Century Gothic" w:hAnsi="Century Gothic"/>
          <w:color w:val="003E87"/>
          <w:spacing w:val="-4"/>
          <w:sz w:val="72"/>
        </w:rPr>
        <w:t> </w:t>
      </w:r>
      <w:r>
        <w:rPr>
          <w:rFonts w:ascii="Century Gothic" w:hAnsi="Century Gothic"/>
          <w:color w:val="003E87"/>
          <w:sz w:val="72"/>
        </w:rPr>
        <w:t>(DHRC)</w:t>
      </w:r>
      <w:r>
        <w:rPr>
          <w:rFonts w:ascii="Century Gothic" w:hAnsi="Century Gothic"/>
          <w:color w:val="003E87"/>
          <w:spacing w:val="-10"/>
          <w:sz w:val="72"/>
        </w:rPr>
        <w:t> </w:t>
      </w:r>
      <w:r>
        <w:rPr>
          <w:rFonts w:ascii="Century Gothic" w:hAnsi="Century Gothic"/>
          <w:color w:val="003E87"/>
          <w:sz w:val="72"/>
        </w:rPr>
        <w:t>is</w:t>
      </w:r>
      <w:r>
        <w:rPr>
          <w:rFonts w:ascii="Century Gothic" w:hAnsi="Century Gothic"/>
          <w:color w:val="003E87"/>
          <w:spacing w:val="-5"/>
          <w:sz w:val="72"/>
        </w:rPr>
        <w:t> </w:t>
      </w:r>
      <w:r>
        <w:rPr>
          <w:rFonts w:ascii="Century Gothic" w:hAnsi="Century Gothic"/>
          <w:color w:val="003E87"/>
          <w:sz w:val="72"/>
        </w:rPr>
        <w:t>a document that compiles Housing programs, corporations, compliance, and funding resources available</w:t>
      </w:r>
    </w:p>
    <w:p>
      <w:pPr>
        <w:pStyle w:val="ListParagraph"/>
        <w:numPr>
          <w:ilvl w:val="1"/>
          <w:numId w:val="1"/>
        </w:numPr>
        <w:tabs>
          <w:tab w:pos="2342" w:val="left" w:leader="none"/>
        </w:tabs>
        <w:spacing w:line="91" w:lineRule="auto" w:before="123" w:after="0"/>
        <w:ind w:left="2341" w:right="1838" w:hanging="361"/>
        <w:jc w:val="left"/>
        <w:rPr>
          <w:color w:val="003E87"/>
          <w:sz w:val="64"/>
        </w:rPr>
      </w:pPr>
      <w:r>
        <w:rPr>
          <w:rFonts w:ascii="Century Gothic" w:hAnsi="Century Gothic"/>
          <w:color w:val="003E87"/>
          <w:sz w:val="64"/>
        </w:rPr>
        <w:t>The first DHRC is an amended Comprehensive Housing</w:t>
      </w:r>
      <w:r>
        <w:rPr>
          <w:rFonts w:ascii="Century Gothic" w:hAnsi="Century Gothic"/>
          <w:color w:val="003E87"/>
          <w:spacing w:val="-6"/>
          <w:sz w:val="64"/>
        </w:rPr>
        <w:t> </w:t>
      </w:r>
      <w:r>
        <w:rPr>
          <w:rFonts w:ascii="Century Gothic" w:hAnsi="Century Gothic"/>
          <w:color w:val="003E87"/>
          <w:sz w:val="64"/>
        </w:rPr>
        <w:t>Policy</w:t>
      </w:r>
      <w:r>
        <w:rPr>
          <w:rFonts w:ascii="Century Gothic" w:hAnsi="Century Gothic"/>
          <w:color w:val="003E87"/>
          <w:spacing w:val="-4"/>
          <w:sz w:val="64"/>
        </w:rPr>
        <w:t> </w:t>
      </w:r>
      <w:r>
        <w:rPr>
          <w:rFonts w:ascii="Century Gothic" w:hAnsi="Century Gothic"/>
          <w:color w:val="003E87"/>
          <w:sz w:val="64"/>
        </w:rPr>
        <w:t>(CHP)</w:t>
      </w:r>
      <w:r>
        <w:rPr>
          <w:rFonts w:ascii="Century Gothic" w:hAnsi="Century Gothic"/>
          <w:color w:val="003E87"/>
          <w:spacing w:val="-3"/>
          <w:sz w:val="64"/>
        </w:rPr>
        <w:t> </w:t>
      </w:r>
      <w:r>
        <w:rPr>
          <w:rFonts w:ascii="Century Gothic" w:hAnsi="Century Gothic"/>
          <w:color w:val="003E87"/>
          <w:sz w:val="64"/>
        </w:rPr>
        <w:t>removing</w:t>
      </w:r>
      <w:r>
        <w:rPr>
          <w:rFonts w:ascii="Century Gothic" w:hAnsi="Century Gothic"/>
          <w:color w:val="003E87"/>
          <w:spacing w:val="-8"/>
          <w:sz w:val="64"/>
        </w:rPr>
        <w:t> </w:t>
      </w:r>
      <w:r>
        <w:rPr>
          <w:rFonts w:ascii="Century Gothic" w:hAnsi="Century Gothic"/>
          <w:color w:val="003E87"/>
          <w:sz w:val="64"/>
        </w:rPr>
        <w:t>the</w:t>
      </w:r>
      <w:r>
        <w:rPr>
          <w:rFonts w:ascii="Century Gothic" w:hAnsi="Century Gothic"/>
          <w:color w:val="003E87"/>
          <w:spacing w:val="-5"/>
          <w:sz w:val="64"/>
        </w:rPr>
        <w:t> </w:t>
      </w:r>
      <w:r>
        <w:rPr>
          <w:rFonts w:ascii="Century Gothic" w:hAnsi="Century Gothic"/>
          <w:color w:val="003E87"/>
          <w:sz w:val="64"/>
        </w:rPr>
        <w:t>policy</w:t>
      </w:r>
      <w:r>
        <w:rPr>
          <w:rFonts w:ascii="Century Gothic" w:hAnsi="Century Gothic"/>
          <w:color w:val="003E87"/>
          <w:spacing w:val="-4"/>
          <w:sz w:val="64"/>
        </w:rPr>
        <w:t> </w:t>
      </w:r>
      <w:r>
        <w:rPr>
          <w:rFonts w:ascii="Century Gothic" w:hAnsi="Century Gothic"/>
          <w:color w:val="003E87"/>
          <w:sz w:val="64"/>
        </w:rPr>
        <w:t>pieces</w:t>
      </w:r>
    </w:p>
    <w:p>
      <w:pPr>
        <w:pStyle w:val="ListParagraph"/>
        <w:numPr>
          <w:ilvl w:val="0"/>
          <w:numId w:val="1"/>
        </w:numPr>
        <w:tabs>
          <w:tab w:pos="1622" w:val="left" w:leader="none"/>
        </w:tabs>
        <w:spacing w:line="91" w:lineRule="auto" w:before="201" w:after="0"/>
        <w:ind w:left="1621" w:right="2286" w:hanging="360"/>
        <w:jc w:val="both"/>
        <w:rPr>
          <w:color w:val="003E87"/>
          <w:sz w:val="72"/>
        </w:rPr>
      </w:pPr>
      <w:r>
        <w:rPr>
          <w:rFonts w:ascii="Century Gothic" w:hAnsi="Century Gothic"/>
          <w:color w:val="003E87"/>
          <w:sz w:val="72"/>
        </w:rPr>
        <w:t>Dallas</w:t>
      </w:r>
      <w:r>
        <w:rPr>
          <w:rFonts w:ascii="Century Gothic" w:hAnsi="Century Gothic"/>
          <w:color w:val="003E87"/>
          <w:spacing w:val="-5"/>
          <w:sz w:val="72"/>
        </w:rPr>
        <w:t> </w:t>
      </w:r>
      <w:r>
        <w:rPr>
          <w:rFonts w:ascii="Century Gothic" w:hAnsi="Century Gothic"/>
          <w:color w:val="003E87"/>
          <w:sz w:val="72"/>
        </w:rPr>
        <w:t>Housing</w:t>
      </w:r>
      <w:r>
        <w:rPr>
          <w:rFonts w:ascii="Century Gothic" w:hAnsi="Century Gothic"/>
          <w:color w:val="003E87"/>
          <w:spacing w:val="-2"/>
          <w:sz w:val="72"/>
        </w:rPr>
        <w:t> </w:t>
      </w:r>
      <w:r>
        <w:rPr>
          <w:rFonts w:ascii="Century Gothic" w:hAnsi="Century Gothic"/>
          <w:color w:val="003E87"/>
          <w:sz w:val="72"/>
        </w:rPr>
        <w:t>Policy</w:t>
      </w:r>
      <w:r>
        <w:rPr>
          <w:rFonts w:ascii="Century Gothic" w:hAnsi="Century Gothic"/>
          <w:color w:val="003E87"/>
          <w:spacing w:val="-6"/>
          <w:sz w:val="72"/>
        </w:rPr>
        <w:t> </w:t>
      </w:r>
      <w:r>
        <w:rPr>
          <w:rFonts w:ascii="Century Gothic" w:hAnsi="Century Gothic"/>
          <w:color w:val="003E87"/>
          <w:sz w:val="72"/>
        </w:rPr>
        <w:t>2033</w:t>
      </w:r>
      <w:r>
        <w:rPr>
          <w:rFonts w:ascii="Century Gothic" w:hAnsi="Century Gothic"/>
          <w:color w:val="003E87"/>
          <w:spacing w:val="-2"/>
          <w:sz w:val="72"/>
        </w:rPr>
        <w:t> </w:t>
      </w:r>
      <w:r>
        <w:rPr>
          <w:rFonts w:ascii="Century Gothic" w:hAnsi="Century Gothic"/>
          <w:color w:val="003E87"/>
          <w:sz w:val="72"/>
        </w:rPr>
        <w:t>(DHP33)</w:t>
      </w:r>
      <w:r>
        <w:rPr>
          <w:rFonts w:ascii="Century Gothic" w:hAnsi="Century Gothic"/>
          <w:color w:val="003E87"/>
          <w:spacing w:val="-10"/>
          <w:sz w:val="72"/>
        </w:rPr>
        <w:t> </w:t>
      </w:r>
      <w:r>
        <w:rPr>
          <w:rFonts w:ascii="Century Gothic" w:hAnsi="Century Gothic"/>
          <w:color w:val="003E87"/>
          <w:sz w:val="72"/>
        </w:rPr>
        <w:t>will</w:t>
      </w:r>
      <w:r>
        <w:rPr>
          <w:rFonts w:ascii="Century Gothic" w:hAnsi="Century Gothic"/>
          <w:color w:val="003E87"/>
          <w:spacing w:val="-4"/>
          <w:sz w:val="72"/>
        </w:rPr>
        <w:t> </w:t>
      </w:r>
      <w:r>
        <w:rPr>
          <w:rFonts w:ascii="Century Gothic" w:hAnsi="Century Gothic"/>
          <w:color w:val="003E87"/>
          <w:sz w:val="72"/>
        </w:rPr>
        <w:t>have the housing policy items and was briefed to City Council on March 1, 2023</w:t>
      </w:r>
    </w:p>
    <w:p>
      <w:pPr>
        <w:pStyle w:val="BodyText"/>
        <w:rPr>
          <w:rFonts w:ascii="Century Gothic"/>
          <w:sz w:val="20"/>
        </w:rPr>
      </w:pPr>
    </w:p>
    <w:p>
      <w:pPr>
        <w:pStyle w:val="BodyText"/>
        <w:rPr>
          <w:rFonts w:ascii="Century Gothic"/>
          <w:sz w:val="20"/>
        </w:rPr>
      </w:pPr>
    </w:p>
    <w:p>
      <w:pPr>
        <w:pStyle w:val="BodyText"/>
        <w:spacing w:before="17"/>
        <w:rPr>
          <w:rFonts w:ascii="Century Gothic"/>
          <w:sz w:val="18"/>
        </w:rPr>
      </w:pPr>
    </w:p>
    <w:p>
      <w:pPr>
        <w:spacing w:before="27"/>
        <w:ind w:left="0" w:right="329" w:firstLine="0"/>
        <w:jc w:val="right"/>
        <w:rPr>
          <w:rFonts w:ascii="Calibri"/>
          <w:sz w:val="36"/>
        </w:rPr>
      </w:pPr>
      <w:r>
        <w:rPr>
          <w:rFonts w:ascii="Calibri"/>
          <w:color w:val="888888"/>
          <w:sz w:val="36"/>
        </w:rPr>
        <w:t>4</w:t>
      </w:r>
    </w:p>
    <w:p>
      <w:pPr>
        <w:spacing w:after="0"/>
        <w:jc w:val="right"/>
        <w:rPr>
          <w:rFonts w:ascii="Calibri"/>
          <w:sz w:val="36"/>
        </w:rPr>
        <w:sectPr>
          <w:pgSz w:w="19200" w:h="10800" w:orient="landscape"/>
          <w:pgMar w:top="340" w:bottom="0" w:left="0" w:right="0"/>
        </w:sectPr>
      </w:pPr>
    </w:p>
    <w:p>
      <w:pPr>
        <w:spacing w:line="1239" w:lineRule="exact" w:before="0"/>
        <w:ind w:left="1260" w:right="0" w:firstLine="0"/>
        <w:jc w:val="left"/>
        <w:rPr>
          <w:rFonts w:ascii="Century Gothic"/>
          <w:b/>
          <w:sz w:val="80"/>
        </w:rPr>
      </w:pPr>
      <w:r>
        <w:rPr/>
        <w:drawing>
          <wp:anchor distT="0" distB="0" distL="0" distR="0" allowOverlap="1" layoutInCell="1" locked="0" behindDoc="1" simplePos="0" relativeHeight="485571584">
            <wp:simplePos x="0" y="0"/>
            <wp:positionH relativeFrom="page">
              <wp:posOffset>0</wp:posOffset>
            </wp:positionH>
            <wp:positionV relativeFrom="page">
              <wp:posOffset>0</wp:posOffset>
            </wp:positionV>
            <wp:extent cx="12191998" cy="6754367"/>
            <wp:effectExtent l="0" t="0" r="0" b="0"/>
            <wp:wrapNone/>
            <wp:docPr id="7" name="image2.png"/>
            <wp:cNvGraphicFramePr>
              <a:graphicFrameLocks noChangeAspect="1"/>
            </wp:cNvGraphicFramePr>
            <a:graphic>
              <a:graphicData uri="http://schemas.openxmlformats.org/drawingml/2006/picture">
                <pic:pic>
                  <pic:nvPicPr>
                    <pic:cNvPr id="8" name="image2.png"/>
                    <pic:cNvPicPr/>
                  </pic:nvPicPr>
                  <pic:blipFill>
                    <a:blip r:embed="rId6" cstate="print"/>
                    <a:stretch>
                      <a:fillRect/>
                    </a:stretch>
                  </pic:blipFill>
                  <pic:spPr>
                    <a:xfrm>
                      <a:off x="0" y="0"/>
                      <a:ext cx="12191998" cy="6754367"/>
                    </a:xfrm>
                    <a:prstGeom prst="rect">
                      <a:avLst/>
                    </a:prstGeom>
                  </pic:spPr>
                </pic:pic>
              </a:graphicData>
            </a:graphic>
          </wp:anchor>
        </w:drawing>
      </w:r>
      <w:bookmarkStart w:name="Slide Number 5" w:id="6"/>
      <w:bookmarkEnd w:id="6"/>
      <w:r>
        <w:rPr/>
      </w:r>
      <w:r>
        <w:rPr>
          <w:rFonts w:ascii="Century Gothic"/>
          <w:b/>
          <w:color w:val="003E87"/>
          <w:spacing w:val="-2"/>
          <w:sz w:val="80"/>
        </w:rPr>
        <w:t>Purpose</w:t>
      </w:r>
    </w:p>
    <w:p>
      <w:pPr>
        <w:pStyle w:val="BodyText"/>
        <w:spacing w:before="16"/>
        <w:rPr>
          <w:rFonts w:ascii="Century Gothic"/>
          <w:b/>
          <w:sz w:val="24"/>
        </w:rPr>
      </w:pPr>
    </w:p>
    <w:p>
      <w:pPr>
        <w:pStyle w:val="ListParagraph"/>
        <w:numPr>
          <w:ilvl w:val="0"/>
          <w:numId w:val="1"/>
        </w:numPr>
        <w:tabs>
          <w:tab w:pos="1622" w:val="left" w:leader="none"/>
        </w:tabs>
        <w:spacing w:line="103" w:lineRule="auto" w:before="187" w:after="0"/>
        <w:ind w:left="1621" w:right="2798" w:hanging="360"/>
        <w:jc w:val="left"/>
        <w:rPr>
          <w:color w:val="003E87"/>
          <w:sz w:val="72"/>
        </w:rPr>
      </w:pPr>
      <w:r>
        <w:rPr>
          <w:rFonts w:ascii="Century Gothic" w:hAnsi="Century Gothic"/>
          <w:color w:val="003E87"/>
          <w:sz w:val="72"/>
        </w:rPr>
        <w:t>To present the differences between the Comprehensive Housing Policy, the Dallas Housing</w:t>
      </w:r>
      <w:r>
        <w:rPr>
          <w:rFonts w:ascii="Century Gothic" w:hAnsi="Century Gothic"/>
          <w:color w:val="003E87"/>
          <w:spacing w:val="-2"/>
          <w:sz w:val="72"/>
        </w:rPr>
        <w:t> </w:t>
      </w:r>
      <w:r>
        <w:rPr>
          <w:rFonts w:ascii="Century Gothic" w:hAnsi="Century Gothic"/>
          <w:color w:val="003E87"/>
          <w:sz w:val="72"/>
        </w:rPr>
        <w:t>Resource</w:t>
      </w:r>
      <w:r>
        <w:rPr>
          <w:rFonts w:ascii="Century Gothic" w:hAnsi="Century Gothic"/>
          <w:color w:val="003E87"/>
          <w:spacing w:val="-2"/>
          <w:sz w:val="72"/>
        </w:rPr>
        <w:t> </w:t>
      </w:r>
      <w:r>
        <w:rPr>
          <w:rFonts w:ascii="Century Gothic" w:hAnsi="Century Gothic"/>
          <w:color w:val="003E87"/>
          <w:sz w:val="72"/>
        </w:rPr>
        <w:t>Catalog,</w:t>
      </w:r>
      <w:r>
        <w:rPr>
          <w:rFonts w:ascii="Century Gothic" w:hAnsi="Century Gothic"/>
          <w:color w:val="003E87"/>
          <w:spacing w:val="-5"/>
          <w:sz w:val="72"/>
        </w:rPr>
        <w:t> </w:t>
      </w:r>
      <w:r>
        <w:rPr>
          <w:rFonts w:ascii="Century Gothic" w:hAnsi="Century Gothic"/>
          <w:color w:val="003E87"/>
          <w:sz w:val="72"/>
        </w:rPr>
        <w:t>and</w:t>
      </w:r>
      <w:r>
        <w:rPr>
          <w:rFonts w:ascii="Century Gothic" w:hAnsi="Century Gothic"/>
          <w:color w:val="003E87"/>
          <w:spacing w:val="-9"/>
          <w:sz w:val="72"/>
        </w:rPr>
        <w:t> </w:t>
      </w:r>
      <w:r>
        <w:rPr>
          <w:rFonts w:ascii="Century Gothic" w:hAnsi="Century Gothic"/>
          <w:color w:val="003E87"/>
          <w:sz w:val="72"/>
        </w:rPr>
        <w:t>the</w:t>
      </w:r>
      <w:r>
        <w:rPr>
          <w:rFonts w:ascii="Century Gothic" w:hAnsi="Century Gothic"/>
          <w:color w:val="003E87"/>
          <w:spacing w:val="-7"/>
          <w:sz w:val="72"/>
        </w:rPr>
        <w:t> </w:t>
      </w:r>
      <w:r>
        <w:rPr>
          <w:rFonts w:ascii="Century Gothic" w:hAnsi="Century Gothic"/>
          <w:color w:val="003E87"/>
          <w:sz w:val="72"/>
        </w:rPr>
        <w:t>Dallas Housing Policy 2033</w:t>
      </w:r>
    </w:p>
    <w:p>
      <w:pPr>
        <w:pStyle w:val="ListParagraph"/>
        <w:numPr>
          <w:ilvl w:val="0"/>
          <w:numId w:val="1"/>
        </w:numPr>
        <w:tabs>
          <w:tab w:pos="1622" w:val="left" w:leader="none"/>
        </w:tabs>
        <w:spacing w:line="103" w:lineRule="auto" w:before="202" w:after="0"/>
        <w:ind w:left="1621" w:right="1649" w:hanging="360"/>
        <w:jc w:val="left"/>
        <w:rPr>
          <w:color w:val="003E87"/>
          <w:sz w:val="72"/>
        </w:rPr>
      </w:pPr>
      <w:r>
        <w:rPr>
          <w:rFonts w:ascii="Century Gothic" w:hAnsi="Century Gothic"/>
          <w:color w:val="003E87"/>
          <w:sz w:val="72"/>
        </w:rPr>
        <w:t>To</w:t>
      </w:r>
      <w:r>
        <w:rPr>
          <w:rFonts w:ascii="Century Gothic" w:hAnsi="Century Gothic"/>
          <w:color w:val="003E87"/>
          <w:spacing w:val="-4"/>
          <w:sz w:val="72"/>
        </w:rPr>
        <w:t> </w:t>
      </w:r>
      <w:r>
        <w:rPr>
          <w:rFonts w:ascii="Century Gothic" w:hAnsi="Century Gothic"/>
          <w:color w:val="003E87"/>
          <w:sz w:val="72"/>
        </w:rPr>
        <w:t>present</w:t>
      </w:r>
      <w:r>
        <w:rPr>
          <w:rFonts w:ascii="Century Gothic" w:hAnsi="Century Gothic"/>
          <w:color w:val="003E87"/>
          <w:spacing w:val="-2"/>
          <w:sz w:val="72"/>
        </w:rPr>
        <w:t> </w:t>
      </w:r>
      <w:r>
        <w:rPr>
          <w:rFonts w:ascii="Century Gothic" w:hAnsi="Century Gothic"/>
          <w:color w:val="003E87"/>
          <w:sz w:val="72"/>
        </w:rPr>
        <w:t>why</w:t>
      </w:r>
      <w:r>
        <w:rPr>
          <w:rFonts w:ascii="Century Gothic" w:hAnsi="Century Gothic"/>
          <w:color w:val="003E87"/>
          <w:spacing w:val="-5"/>
          <w:sz w:val="72"/>
        </w:rPr>
        <w:t> </w:t>
      </w:r>
      <w:r>
        <w:rPr>
          <w:rFonts w:ascii="Century Gothic" w:hAnsi="Century Gothic"/>
          <w:color w:val="003E87"/>
          <w:sz w:val="72"/>
        </w:rPr>
        <w:t>this</w:t>
      </w:r>
      <w:r>
        <w:rPr>
          <w:rFonts w:ascii="Century Gothic" w:hAnsi="Century Gothic"/>
          <w:color w:val="003E87"/>
          <w:spacing w:val="-2"/>
          <w:sz w:val="72"/>
        </w:rPr>
        <w:t> </w:t>
      </w:r>
      <w:r>
        <w:rPr>
          <w:rFonts w:ascii="Century Gothic" w:hAnsi="Century Gothic"/>
          <w:color w:val="003E87"/>
          <w:sz w:val="72"/>
        </w:rPr>
        <w:t>is</w:t>
      </w:r>
      <w:r>
        <w:rPr>
          <w:rFonts w:ascii="Century Gothic" w:hAnsi="Century Gothic"/>
          <w:color w:val="003E87"/>
          <w:spacing w:val="-4"/>
          <w:sz w:val="72"/>
        </w:rPr>
        <w:t> </w:t>
      </w:r>
      <w:r>
        <w:rPr>
          <w:rFonts w:ascii="Century Gothic" w:hAnsi="Century Gothic"/>
          <w:color w:val="003E87"/>
          <w:sz w:val="72"/>
        </w:rPr>
        <w:t>separate</w:t>
      </w:r>
      <w:r>
        <w:rPr>
          <w:rFonts w:ascii="Century Gothic" w:hAnsi="Century Gothic"/>
          <w:color w:val="003E87"/>
          <w:spacing w:val="-3"/>
          <w:sz w:val="72"/>
        </w:rPr>
        <w:t> </w:t>
      </w:r>
      <w:r>
        <w:rPr>
          <w:rFonts w:ascii="Century Gothic" w:hAnsi="Century Gothic"/>
          <w:color w:val="003E87"/>
          <w:sz w:val="72"/>
        </w:rPr>
        <w:t>from</w:t>
      </w:r>
      <w:r>
        <w:rPr>
          <w:rFonts w:ascii="Century Gothic" w:hAnsi="Century Gothic"/>
          <w:color w:val="003E87"/>
          <w:spacing w:val="-2"/>
          <w:sz w:val="72"/>
        </w:rPr>
        <w:t> </w:t>
      </w:r>
      <w:r>
        <w:rPr>
          <w:rFonts w:ascii="Century Gothic" w:hAnsi="Century Gothic"/>
          <w:color w:val="003E87"/>
          <w:sz w:val="72"/>
        </w:rPr>
        <w:t>the</w:t>
      </w:r>
      <w:r>
        <w:rPr>
          <w:rFonts w:ascii="Century Gothic" w:hAnsi="Century Gothic"/>
          <w:color w:val="003E87"/>
          <w:spacing w:val="-3"/>
          <w:sz w:val="72"/>
        </w:rPr>
        <w:t> </w:t>
      </w:r>
      <w:r>
        <w:rPr>
          <w:rFonts w:ascii="Century Gothic" w:hAnsi="Century Gothic"/>
          <w:color w:val="003E87"/>
          <w:sz w:val="72"/>
        </w:rPr>
        <w:t>Dallas Housing Policy 2033</w:t>
      </w: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spacing w:before="11"/>
        <w:rPr>
          <w:rFonts w:ascii="Century Gothic"/>
          <w:sz w:val="17"/>
        </w:rPr>
      </w:pPr>
    </w:p>
    <w:p>
      <w:pPr>
        <w:spacing w:before="27"/>
        <w:ind w:left="0" w:right="329" w:firstLine="0"/>
        <w:jc w:val="right"/>
        <w:rPr>
          <w:rFonts w:ascii="Calibri"/>
          <w:sz w:val="36"/>
        </w:rPr>
      </w:pPr>
      <w:r>
        <w:rPr>
          <w:rFonts w:ascii="Calibri"/>
          <w:color w:val="888888"/>
          <w:sz w:val="36"/>
        </w:rPr>
        <w:t>5</w:t>
      </w:r>
    </w:p>
    <w:p>
      <w:pPr>
        <w:spacing w:after="0"/>
        <w:jc w:val="right"/>
        <w:rPr>
          <w:rFonts w:ascii="Calibri"/>
          <w:sz w:val="36"/>
        </w:rPr>
        <w:sectPr>
          <w:pgSz w:w="19200" w:h="10800" w:orient="landscape"/>
          <w:pgMar w:top="340" w:bottom="0" w:left="0" w:right="0"/>
        </w:sectPr>
      </w:pPr>
    </w:p>
    <w:p>
      <w:pPr>
        <w:spacing w:line="980" w:lineRule="exact" w:before="0"/>
        <w:ind w:left="1260" w:right="0" w:firstLine="0"/>
        <w:jc w:val="left"/>
        <w:rPr>
          <w:rFonts w:ascii="Century Gothic"/>
          <w:b/>
          <w:sz w:val="62"/>
        </w:rPr>
      </w:pPr>
      <w:bookmarkStart w:name="Slide Number 6" w:id="7"/>
      <w:bookmarkEnd w:id="7"/>
      <w:r>
        <w:rPr/>
      </w:r>
      <w:r>
        <w:rPr>
          <w:rFonts w:ascii="Century Gothic"/>
          <w:b/>
          <w:color w:val="003E87"/>
          <w:sz w:val="62"/>
        </w:rPr>
        <w:t>Dallas</w:t>
      </w:r>
      <w:r>
        <w:rPr>
          <w:rFonts w:ascii="Century Gothic"/>
          <w:b/>
          <w:color w:val="003E87"/>
          <w:spacing w:val="-26"/>
          <w:sz w:val="62"/>
        </w:rPr>
        <w:t> </w:t>
      </w:r>
      <w:r>
        <w:rPr>
          <w:rFonts w:ascii="Century Gothic"/>
          <w:b/>
          <w:color w:val="003E87"/>
          <w:sz w:val="62"/>
        </w:rPr>
        <w:t>Housing</w:t>
      </w:r>
      <w:r>
        <w:rPr>
          <w:rFonts w:ascii="Century Gothic"/>
          <w:b/>
          <w:color w:val="003E87"/>
          <w:spacing w:val="-24"/>
          <w:sz w:val="62"/>
        </w:rPr>
        <w:t> </w:t>
      </w:r>
      <w:r>
        <w:rPr>
          <w:rFonts w:ascii="Century Gothic"/>
          <w:b/>
          <w:color w:val="003E87"/>
          <w:sz w:val="62"/>
        </w:rPr>
        <w:t>Resource</w:t>
      </w:r>
      <w:r>
        <w:rPr>
          <w:rFonts w:ascii="Century Gothic"/>
          <w:b/>
          <w:color w:val="003E87"/>
          <w:spacing w:val="-24"/>
          <w:sz w:val="62"/>
        </w:rPr>
        <w:t> </w:t>
      </w:r>
      <w:r>
        <w:rPr>
          <w:rFonts w:ascii="Century Gothic"/>
          <w:b/>
          <w:color w:val="003E87"/>
          <w:sz w:val="62"/>
        </w:rPr>
        <w:t>Catalog</w:t>
      </w:r>
      <w:r>
        <w:rPr>
          <w:rFonts w:ascii="Century Gothic"/>
          <w:b/>
          <w:color w:val="003E87"/>
          <w:spacing w:val="-22"/>
          <w:sz w:val="62"/>
        </w:rPr>
        <w:t> </w:t>
      </w:r>
      <w:r>
        <w:rPr>
          <w:rFonts w:ascii="Century Gothic"/>
          <w:b/>
          <w:color w:val="003E87"/>
          <w:spacing w:val="-2"/>
          <w:sz w:val="62"/>
        </w:rPr>
        <w:t>Structure</w:t>
      </w:r>
    </w:p>
    <w:p>
      <w:pPr>
        <w:pStyle w:val="BodyText"/>
        <w:spacing w:before="22"/>
        <w:rPr>
          <w:rFonts w:ascii="Century Gothic"/>
          <w:b/>
          <w:sz w:val="25"/>
        </w:rPr>
      </w:pPr>
    </w:p>
    <w:p>
      <w:pPr>
        <w:spacing w:after="0"/>
        <w:rPr>
          <w:rFonts w:ascii="Century Gothic"/>
          <w:sz w:val="25"/>
        </w:rPr>
        <w:sectPr>
          <w:pgSz w:w="19200" w:h="10800" w:orient="landscape"/>
          <w:pgMar w:top="220" w:bottom="0" w:left="0" w:right="0"/>
        </w:sectPr>
      </w:pPr>
    </w:p>
    <w:p>
      <w:pPr>
        <w:spacing w:line="426" w:lineRule="exact" w:before="0"/>
        <w:ind w:left="1260" w:right="0" w:firstLine="0"/>
        <w:jc w:val="left"/>
        <w:rPr>
          <w:rFonts w:ascii="Century Gothic"/>
          <w:b/>
          <w:sz w:val="28"/>
        </w:rPr>
      </w:pPr>
      <w:r>
        <w:rPr>
          <w:rFonts w:ascii="Century Gothic"/>
          <w:b/>
          <w:color w:val="003C85"/>
          <w:sz w:val="28"/>
        </w:rPr>
        <w:t>Started</w:t>
      </w:r>
      <w:r>
        <w:rPr>
          <w:rFonts w:ascii="Century Gothic"/>
          <w:b/>
          <w:color w:val="003C85"/>
          <w:spacing w:val="-7"/>
          <w:sz w:val="28"/>
        </w:rPr>
        <w:t> </w:t>
      </w:r>
      <w:r>
        <w:rPr>
          <w:rFonts w:ascii="Century Gothic"/>
          <w:b/>
          <w:color w:val="003C85"/>
          <w:sz w:val="28"/>
        </w:rPr>
        <w:t>with</w:t>
      </w:r>
      <w:r>
        <w:rPr>
          <w:rFonts w:ascii="Century Gothic"/>
          <w:b/>
          <w:color w:val="003C85"/>
          <w:spacing w:val="-4"/>
          <w:sz w:val="28"/>
        </w:rPr>
        <w:t> </w:t>
      </w:r>
      <w:r>
        <w:rPr>
          <w:rFonts w:ascii="Century Gothic"/>
          <w:b/>
          <w:color w:val="003C85"/>
          <w:sz w:val="28"/>
        </w:rPr>
        <w:t>the</w:t>
      </w:r>
      <w:r>
        <w:rPr>
          <w:rFonts w:ascii="Century Gothic"/>
          <w:b/>
          <w:color w:val="003C85"/>
          <w:spacing w:val="-6"/>
          <w:sz w:val="28"/>
        </w:rPr>
        <w:t> </w:t>
      </w:r>
      <w:r>
        <w:rPr>
          <w:rFonts w:ascii="Century Gothic"/>
          <w:b/>
          <w:color w:val="003C85"/>
          <w:sz w:val="28"/>
        </w:rPr>
        <w:t>Comprehensive</w:t>
      </w:r>
      <w:r>
        <w:rPr>
          <w:rFonts w:ascii="Century Gothic"/>
          <w:b/>
          <w:color w:val="003C85"/>
          <w:spacing w:val="-8"/>
          <w:sz w:val="28"/>
        </w:rPr>
        <w:t> </w:t>
      </w:r>
      <w:r>
        <w:rPr>
          <w:rFonts w:ascii="Century Gothic"/>
          <w:b/>
          <w:color w:val="003C85"/>
          <w:sz w:val="28"/>
        </w:rPr>
        <w:t>Housing</w:t>
      </w:r>
      <w:r>
        <w:rPr>
          <w:rFonts w:ascii="Century Gothic"/>
          <w:b/>
          <w:color w:val="003C85"/>
          <w:spacing w:val="-6"/>
          <w:sz w:val="28"/>
        </w:rPr>
        <w:t> </w:t>
      </w:r>
      <w:r>
        <w:rPr>
          <w:rFonts w:ascii="Century Gothic"/>
          <w:b/>
          <w:color w:val="003C85"/>
          <w:spacing w:val="-2"/>
          <w:sz w:val="28"/>
        </w:rPr>
        <w:t>Policy:</w:t>
      </w:r>
    </w:p>
    <w:p>
      <w:pPr>
        <w:spacing w:line="410" w:lineRule="exact" w:before="0"/>
        <w:ind w:left="1260" w:right="0" w:firstLine="0"/>
        <w:jc w:val="left"/>
        <w:rPr>
          <w:rFonts w:ascii="Century Gothic"/>
          <w:b/>
          <w:sz w:val="28"/>
        </w:rPr>
      </w:pPr>
      <w:r>
        <w:rPr>
          <w:rFonts w:ascii="Century Gothic"/>
          <w:b/>
          <w:color w:val="003C85"/>
          <w:sz w:val="28"/>
        </w:rPr>
        <w:t>Changed</w:t>
      </w:r>
      <w:r>
        <w:rPr>
          <w:rFonts w:ascii="Century Gothic"/>
          <w:b/>
          <w:color w:val="003C85"/>
          <w:spacing w:val="-8"/>
          <w:sz w:val="28"/>
        </w:rPr>
        <w:t> </w:t>
      </w:r>
      <w:r>
        <w:rPr>
          <w:rFonts w:ascii="Century Gothic"/>
          <w:b/>
          <w:color w:val="003C85"/>
          <w:spacing w:val="-2"/>
          <w:sz w:val="28"/>
        </w:rPr>
        <w:t>Structure:</w:t>
      </w:r>
    </w:p>
    <w:p>
      <w:pPr>
        <w:pStyle w:val="ListParagraph"/>
        <w:numPr>
          <w:ilvl w:val="0"/>
          <w:numId w:val="1"/>
        </w:numPr>
        <w:tabs>
          <w:tab w:pos="1620" w:val="left" w:leader="none"/>
          <w:tab w:pos="1621" w:val="left" w:leader="none"/>
        </w:tabs>
        <w:spacing w:line="91" w:lineRule="auto" w:before="147" w:after="0"/>
        <w:ind w:left="1620" w:right="0" w:hanging="360"/>
        <w:jc w:val="left"/>
        <w:rPr>
          <w:color w:val="003C85"/>
          <w:sz w:val="28"/>
        </w:rPr>
      </w:pPr>
      <w:r>
        <w:rPr>
          <w:rFonts w:ascii="Century Gothic" w:hAnsi="Century Gothic"/>
          <w:color w:val="003C85"/>
          <w:sz w:val="28"/>
        </w:rPr>
        <w:t>Changed</w:t>
      </w:r>
      <w:r>
        <w:rPr>
          <w:rFonts w:ascii="Century Gothic" w:hAnsi="Century Gothic"/>
          <w:color w:val="003C85"/>
          <w:spacing w:val="-7"/>
          <w:sz w:val="28"/>
        </w:rPr>
        <w:t> </w:t>
      </w:r>
      <w:r>
        <w:rPr>
          <w:rFonts w:ascii="Century Gothic" w:hAnsi="Century Gothic"/>
          <w:color w:val="003C85"/>
          <w:sz w:val="28"/>
        </w:rPr>
        <w:t>named</w:t>
      </w:r>
      <w:r>
        <w:rPr>
          <w:rFonts w:ascii="Century Gothic" w:hAnsi="Century Gothic"/>
          <w:color w:val="003C85"/>
          <w:spacing w:val="-5"/>
          <w:sz w:val="28"/>
        </w:rPr>
        <w:t> </w:t>
      </w:r>
      <w:r>
        <w:rPr>
          <w:rFonts w:ascii="Century Gothic" w:hAnsi="Century Gothic"/>
          <w:color w:val="003C85"/>
          <w:sz w:val="28"/>
        </w:rPr>
        <w:t>from</w:t>
      </w:r>
      <w:r>
        <w:rPr>
          <w:rFonts w:ascii="Century Gothic" w:hAnsi="Century Gothic"/>
          <w:color w:val="003C85"/>
          <w:spacing w:val="-6"/>
          <w:sz w:val="28"/>
        </w:rPr>
        <w:t> </w:t>
      </w:r>
      <w:r>
        <w:rPr>
          <w:rFonts w:ascii="Century Gothic" w:hAnsi="Century Gothic"/>
          <w:color w:val="003C85"/>
          <w:sz w:val="28"/>
        </w:rPr>
        <w:t>Comprehensive</w:t>
      </w:r>
      <w:r>
        <w:rPr>
          <w:rFonts w:ascii="Century Gothic" w:hAnsi="Century Gothic"/>
          <w:color w:val="003C85"/>
          <w:spacing w:val="-11"/>
          <w:sz w:val="28"/>
        </w:rPr>
        <w:t> </w:t>
      </w:r>
      <w:r>
        <w:rPr>
          <w:rFonts w:ascii="Century Gothic" w:hAnsi="Century Gothic"/>
          <w:color w:val="003C85"/>
          <w:sz w:val="28"/>
        </w:rPr>
        <w:t>Housing</w:t>
      </w:r>
      <w:r>
        <w:rPr>
          <w:rFonts w:ascii="Century Gothic" w:hAnsi="Century Gothic"/>
          <w:color w:val="003C85"/>
          <w:spacing w:val="-13"/>
          <w:sz w:val="28"/>
        </w:rPr>
        <w:t> </w:t>
      </w:r>
      <w:r>
        <w:rPr>
          <w:rFonts w:ascii="Century Gothic" w:hAnsi="Century Gothic"/>
          <w:color w:val="003C85"/>
          <w:sz w:val="28"/>
        </w:rPr>
        <w:t>Policy to Dallas Housing Resource Catalog</w:t>
      </w:r>
    </w:p>
    <w:p>
      <w:pPr>
        <w:pStyle w:val="ListParagraph"/>
        <w:numPr>
          <w:ilvl w:val="0"/>
          <w:numId w:val="1"/>
        </w:numPr>
        <w:tabs>
          <w:tab w:pos="1620" w:val="left" w:leader="none"/>
          <w:tab w:pos="1621" w:val="left" w:leader="none"/>
        </w:tabs>
        <w:spacing w:line="91" w:lineRule="auto" w:before="3" w:after="0"/>
        <w:ind w:left="1620" w:right="1274" w:hanging="360"/>
        <w:jc w:val="left"/>
        <w:rPr>
          <w:color w:val="003C85"/>
          <w:sz w:val="28"/>
        </w:rPr>
      </w:pPr>
      <w:r>
        <w:rPr>
          <w:rFonts w:ascii="Century Gothic" w:hAnsi="Century Gothic"/>
          <w:color w:val="003C85"/>
          <w:sz w:val="28"/>
        </w:rPr>
        <w:t>Reformatted</w:t>
      </w:r>
      <w:r>
        <w:rPr>
          <w:rFonts w:ascii="Century Gothic" w:hAnsi="Century Gothic"/>
          <w:color w:val="003C85"/>
          <w:spacing w:val="-5"/>
          <w:sz w:val="28"/>
        </w:rPr>
        <w:t> </w:t>
      </w:r>
      <w:r>
        <w:rPr>
          <w:rFonts w:ascii="Century Gothic" w:hAnsi="Century Gothic"/>
          <w:color w:val="003C85"/>
          <w:sz w:val="28"/>
        </w:rPr>
        <w:t>so</w:t>
      </w:r>
      <w:r>
        <w:rPr>
          <w:rFonts w:ascii="Century Gothic" w:hAnsi="Century Gothic"/>
          <w:color w:val="003C85"/>
          <w:spacing w:val="-6"/>
          <w:sz w:val="28"/>
        </w:rPr>
        <w:t> </w:t>
      </w:r>
      <w:r>
        <w:rPr>
          <w:rFonts w:ascii="Century Gothic" w:hAnsi="Century Gothic"/>
          <w:color w:val="003C85"/>
          <w:sz w:val="28"/>
        </w:rPr>
        <w:t>that</w:t>
      </w:r>
      <w:r>
        <w:rPr>
          <w:rFonts w:ascii="Century Gothic" w:hAnsi="Century Gothic"/>
          <w:color w:val="003C85"/>
          <w:spacing w:val="-1"/>
          <w:sz w:val="28"/>
        </w:rPr>
        <w:t> </w:t>
      </w:r>
      <w:r>
        <w:rPr>
          <w:rFonts w:ascii="Century Gothic" w:hAnsi="Century Gothic"/>
          <w:color w:val="003C85"/>
          <w:sz w:val="28"/>
        </w:rPr>
        <w:t>all</w:t>
      </w:r>
      <w:r>
        <w:rPr>
          <w:rFonts w:ascii="Century Gothic" w:hAnsi="Century Gothic"/>
          <w:color w:val="003C85"/>
          <w:spacing w:val="-10"/>
          <w:sz w:val="28"/>
        </w:rPr>
        <w:t> </w:t>
      </w:r>
      <w:r>
        <w:rPr>
          <w:rFonts w:ascii="Century Gothic" w:hAnsi="Century Gothic"/>
          <w:color w:val="003C85"/>
          <w:sz w:val="28"/>
        </w:rPr>
        <w:t>program</w:t>
      </w:r>
      <w:r>
        <w:rPr>
          <w:rFonts w:ascii="Century Gothic" w:hAnsi="Century Gothic"/>
          <w:color w:val="003C85"/>
          <w:spacing w:val="-8"/>
          <w:sz w:val="28"/>
        </w:rPr>
        <w:t> </w:t>
      </w:r>
      <w:r>
        <w:rPr>
          <w:rFonts w:ascii="Century Gothic" w:hAnsi="Century Gothic"/>
          <w:color w:val="003C85"/>
          <w:sz w:val="28"/>
        </w:rPr>
        <w:t>and</w:t>
      </w:r>
      <w:r>
        <w:rPr>
          <w:rFonts w:ascii="Century Gothic" w:hAnsi="Century Gothic"/>
          <w:color w:val="003C85"/>
          <w:spacing w:val="-2"/>
          <w:sz w:val="28"/>
        </w:rPr>
        <w:t> </w:t>
      </w:r>
      <w:r>
        <w:rPr>
          <w:rFonts w:ascii="Century Gothic" w:hAnsi="Century Gothic"/>
          <w:color w:val="003C85"/>
          <w:sz w:val="28"/>
        </w:rPr>
        <w:t>related appendixes together</w:t>
      </w:r>
    </w:p>
    <w:p>
      <w:pPr>
        <w:pStyle w:val="ListParagraph"/>
        <w:numPr>
          <w:ilvl w:val="0"/>
          <w:numId w:val="1"/>
        </w:numPr>
        <w:tabs>
          <w:tab w:pos="1620" w:val="left" w:leader="none"/>
          <w:tab w:pos="1621" w:val="left" w:leader="none"/>
        </w:tabs>
        <w:spacing w:line="91" w:lineRule="auto" w:before="4" w:after="0"/>
        <w:ind w:left="1620" w:right="58" w:hanging="360"/>
        <w:jc w:val="left"/>
        <w:rPr>
          <w:color w:val="003C85"/>
          <w:sz w:val="28"/>
        </w:rPr>
      </w:pPr>
      <w:r>
        <w:rPr>
          <w:rFonts w:ascii="Century Gothic" w:hAnsi="Century Gothic"/>
          <w:color w:val="003C85"/>
          <w:sz w:val="28"/>
        </w:rPr>
        <w:t>Created</w:t>
      </w:r>
      <w:r>
        <w:rPr>
          <w:rFonts w:ascii="Century Gothic" w:hAnsi="Century Gothic"/>
          <w:color w:val="003C85"/>
          <w:spacing w:val="-2"/>
          <w:sz w:val="28"/>
        </w:rPr>
        <w:t> </w:t>
      </w:r>
      <w:r>
        <w:rPr>
          <w:rFonts w:ascii="Century Gothic" w:hAnsi="Century Gothic"/>
          <w:color w:val="003C85"/>
          <w:sz w:val="28"/>
        </w:rPr>
        <w:t>three</w:t>
      </w:r>
      <w:r>
        <w:rPr>
          <w:rFonts w:ascii="Century Gothic" w:hAnsi="Century Gothic"/>
          <w:color w:val="003C85"/>
          <w:spacing w:val="-4"/>
          <w:sz w:val="28"/>
        </w:rPr>
        <w:t> </w:t>
      </w:r>
      <w:r>
        <w:rPr>
          <w:rFonts w:ascii="Century Gothic" w:hAnsi="Century Gothic"/>
          <w:color w:val="003C85"/>
          <w:sz w:val="28"/>
        </w:rPr>
        <w:t>main</w:t>
      </w:r>
      <w:r>
        <w:rPr>
          <w:rFonts w:ascii="Century Gothic" w:hAnsi="Century Gothic"/>
          <w:color w:val="003C85"/>
          <w:spacing w:val="-13"/>
          <w:sz w:val="28"/>
        </w:rPr>
        <w:t> </w:t>
      </w:r>
      <w:r>
        <w:rPr>
          <w:rFonts w:ascii="Century Gothic" w:hAnsi="Century Gothic"/>
          <w:color w:val="003C85"/>
          <w:sz w:val="28"/>
        </w:rPr>
        <w:t>sections:</w:t>
      </w:r>
      <w:r>
        <w:rPr>
          <w:rFonts w:ascii="Century Gothic" w:hAnsi="Century Gothic"/>
          <w:color w:val="003C85"/>
          <w:spacing w:val="-11"/>
          <w:sz w:val="28"/>
        </w:rPr>
        <w:t> </w:t>
      </w:r>
      <w:r>
        <w:rPr>
          <w:rFonts w:ascii="Century Gothic" w:hAnsi="Century Gothic"/>
          <w:color w:val="003C85"/>
          <w:sz w:val="28"/>
        </w:rPr>
        <w:t>Programs,</w:t>
      </w:r>
      <w:r>
        <w:rPr>
          <w:rFonts w:ascii="Century Gothic" w:hAnsi="Century Gothic"/>
          <w:color w:val="003C85"/>
          <w:spacing w:val="-9"/>
          <w:sz w:val="28"/>
        </w:rPr>
        <w:t> </w:t>
      </w:r>
      <w:r>
        <w:rPr>
          <w:rFonts w:ascii="Century Gothic" w:hAnsi="Century Gothic"/>
          <w:color w:val="003C85"/>
          <w:sz w:val="28"/>
        </w:rPr>
        <w:t>Corporations, Compliance and Funding Resources</w:t>
      </w:r>
    </w:p>
    <w:p>
      <w:pPr>
        <w:pStyle w:val="ListParagraph"/>
        <w:numPr>
          <w:ilvl w:val="0"/>
          <w:numId w:val="1"/>
        </w:numPr>
        <w:tabs>
          <w:tab w:pos="1620" w:val="left" w:leader="none"/>
          <w:tab w:pos="1621" w:val="left" w:leader="none"/>
        </w:tabs>
        <w:spacing w:line="259" w:lineRule="exact" w:before="0" w:after="0"/>
        <w:ind w:left="1620" w:right="0" w:hanging="361"/>
        <w:jc w:val="left"/>
        <w:rPr>
          <w:color w:val="003C85"/>
          <w:sz w:val="28"/>
        </w:rPr>
      </w:pPr>
      <w:r>
        <w:rPr>
          <w:rFonts w:ascii="Century Gothic" w:hAnsi="Century Gothic"/>
          <w:color w:val="003C85"/>
          <w:sz w:val="28"/>
        </w:rPr>
        <w:t>Kept</w:t>
      </w:r>
      <w:r>
        <w:rPr>
          <w:rFonts w:ascii="Century Gothic" w:hAnsi="Century Gothic"/>
          <w:color w:val="003C85"/>
          <w:spacing w:val="-4"/>
          <w:sz w:val="28"/>
        </w:rPr>
        <w:t> </w:t>
      </w:r>
      <w:r>
        <w:rPr>
          <w:rFonts w:ascii="Century Gothic" w:hAnsi="Century Gothic"/>
          <w:color w:val="003C85"/>
          <w:sz w:val="28"/>
        </w:rPr>
        <w:t>all</w:t>
      </w:r>
      <w:r>
        <w:rPr>
          <w:rFonts w:ascii="Century Gothic" w:hAnsi="Century Gothic"/>
          <w:color w:val="003C85"/>
          <w:spacing w:val="-8"/>
          <w:sz w:val="28"/>
        </w:rPr>
        <w:t> </w:t>
      </w:r>
      <w:r>
        <w:rPr>
          <w:rFonts w:ascii="Century Gothic" w:hAnsi="Century Gothic"/>
          <w:color w:val="003C85"/>
          <w:sz w:val="28"/>
        </w:rPr>
        <w:t>existing</w:t>
      </w:r>
      <w:r>
        <w:rPr>
          <w:rFonts w:ascii="Century Gothic" w:hAnsi="Century Gothic"/>
          <w:color w:val="003C85"/>
          <w:spacing w:val="-8"/>
          <w:sz w:val="28"/>
        </w:rPr>
        <w:t> </w:t>
      </w:r>
      <w:r>
        <w:rPr>
          <w:rFonts w:ascii="Century Gothic" w:hAnsi="Century Gothic"/>
          <w:color w:val="003C85"/>
          <w:spacing w:val="-2"/>
          <w:sz w:val="28"/>
        </w:rPr>
        <w:t>programs</w:t>
      </w:r>
    </w:p>
    <w:p>
      <w:pPr>
        <w:spacing w:line="403" w:lineRule="exact" w:before="0"/>
        <w:ind w:left="1260" w:right="0" w:firstLine="0"/>
        <w:jc w:val="left"/>
        <w:rPr>
          <w:rFonts w:ascii="Century Gothic"/>
          <w:b/>
          <w:sz w:val="28"/>
        </w:rPr>
      </w:pPr>
      <w:r>
        <w:rPr>
          <w:rFonts w:ascii="Century Gothic"/>
          <w:b/>
          <w:color w:val="003C85"/>
          <w:spacing w:val="-2"/>
          <w:sz w:val="28"/>
        </w:rPr>
        <w:t>Added:</w:t>
      </w:r>
    </w:p>
    <w:p>
      <w:pPr>
        <w:pStyle w:val="ListParagraph"/>
        <w:numPr>
          <w:ilvl w:val="0"/>
          <w:numId w:val="1"/>
        </w:numPr>
        <w:tabs>
          <w:tab w:pos="1620" w:val="left" w:leader="none"/>
          <w:tab w:pos="1621" w:val="left" w:leader="none"/>
        </w:tabs>
        <w:spacing w:line="276" w:lineRule="exact" w:before="0" w:after="0"/>
        <w:ind w:left="1620" w:right="0" w:hanging="361"/>
        <w:jc w:val="left"/>
        <w:rPr>
          <w:color w:val="003C85"/>
          <w:sz w:val="28"/>
        </w:rPr>
      </w:pPr>
      <w:r>
        <w:rPr>
          <w:rFonts w:ascii="Century Gothic" w:hAnsi="Century Gothic"/>
          <w:color w:val="003C85"/>
          <w:sz w:val="28"/>
        </w:rPr>
        <w:t>Overview</w:t>
      </w:r>
      <w:r>
        <w:rPr>
          <w:rFonts w:ascii="Century Gothic" w:hAnsi="Century Gothic"/>
          <w:color w:val="003C85"/>
          <w:spacing w:val="-3"/>
          <w:sz w:val="28"/>
        </w:rPr>
        <w:t> </w:t>
      </w:r>
      <w:r>
        <w:rPr>
          <w:rFonts w:ascii="Century Gothic" w:hAnsi="Century Gothic"/>
          <w:color w:val="003C85"/>
          <w:sz w:val="28"/>
        </w:rPr>
        <w:t>of</w:t>
      </w:r>
      <w:r>
        <w:rPr>
          <w:rFonts w:ascii="Century Gothic" w:hAnsi="Century Gothic"/>
          <w:color w:val="003C85"/>
          <w:spacing w:val="-4"/>
          <w:sz w:val="28"/>
        </w:rPr>
        <w:t> </w:t>
      </w:r>
      <w:r>
        <w:rPr>
          <w:rFonts w:ascii="Century Gothic" w:hAnsi="Century Gothic"/>
          <w:color w:val="003C85"/>
          <w:spacing w:val="-2"/>
          <w:sz w:val="28"/>
        </w:rPr>
        <w:t>Catalog</w:t>
      </w:r>
    </w:p>
    <w:p>
      <w:pPr>
        <w:pStyle w:val="ListParagraph"/>
        <w:numPr>
          <w:ilvl w:val="0"/>
          <w:numId w:val="1"/>
        </w:numPr>
        <w:tabs>
          <w:tab w:pos="1620" w:val="left" w:leader="none"/>
          <w:tab w:pos="1621" w:val="left" w:leader="none"/>
        </w:tabs>
        <w:spacing w:line="269" w:lineRule="exact" w:before="0" w:after="0"/>
        <w:ind w:left="1620" w:right="0" w:hanging="361"/>
        <w:jc w:val="left"/>
        <w:rPr>
          <w:color w:val="003C85"/>
          <w:sz w:val="28"/>
        </w:rPr>
      </w:pPr>
      <w:r>
        <w:rPr>
          <w:rFonts w:ascii="Century Gothic" w:hAnsi="Century Gothic"/>
          <w:color w:val="003C85"/>
          <w:sz w:val="28"/>
        </w:rPr>
        <w:t>Lead</w:t>
      </w:r>
      <w:r>
        <w:rPr>
          <w:rFonts w:ascii="Century Gothic" w:hAnsi="Century Gothic"/>
          <w:color w:val="003C85"/>
          <w:spacing w:val="-4"/>
          <w:sz w:val="28"/>
        </w:rPr>
        <w:t> </w:t>
      </w:r>
      <w:r>
        <w:rPr>
          <w:rFonts w:ascii="Century Gothic" w:hAnsi="Century Gothic"/>
          <w:color w:val="003C85"/>
          <w:sz w:val="28"/>
        </w:rPr>
        <w:t>Hazard</w:t>
      </w:r>
      <w:r>
        <w:rPr>
          <w:rFonts w:ascii="Century Gothic" w:hAnsi="Century Gothic"/>
          <w:color w:val="003C85"/>
          <w:spacing w:val="-2"/>
          <w:sz w:val="28"/>
        </w:rPr>
        <w:t> </w:t>
      </w:r>
      <w:r>
        <w:rPr>
          <w:rFonts w:ascii="Century Gothic" w:hAnsi="Century Gothic"/>
          <w:color w:val="003C85"/>
          <w:sz w:val="28"/>
        </w:rPr>
        <w:t>Reduction</w:t>
      </w:r>
      <w:r>
        <w:rPr>
          <w:rFonts w:ascii="Century Gothic" w:hAnsi="Century Gothic"/>
          <w:color w:val="003C85"/>
          <w:spacing w:val="-12"/>
          <w:sz w:val="28"/>
        </w:rPr>
        <w:t> </w:t>
      </w:r>
      <w:r>
        <w:rPr>
          <w:rFonts w:ascii="Century Gothic" w:hAnsi="Century Gothic"/>
          <w:color w:val="003C85"/>
          <w:sz w:val="28"/>
        </w:rPr>
        <w:t>Demonstration</w:t>
      </w:r>
      <w:r>
        <w:rPr>
          <w:rFonts w:ascii="Century Gothic" w:hAnsi="Century Gothic"/>
          <w:color w:val="003C85"/>
          <w:spacing w:val="-11"/>
          <w:sz w:val="28"/>
        </w:rPr>
        <w:t> </w:t>
      </w:r>
      <w:r>
        <w:rPr>
          <w:rFonts w:ascii="Century Gothic" w:hAnsi="Century Gothic"/>
          <w:color w:val="003C85"/>
          <w:spacing w:val="-2"/>
          <w:sz w:val="28"/>
        </w:rPr>
        <w:t>Grant</w:t>
      </w:r>
    </w:p>
    <w:p>
      <w:pPr>
        <w:pStyle w:val="ListParagraph"/>
        <w:numPr>
          <w:ilvl w:val="0"/>
          <w:numId w:val="1"/>
        </w:numPr>
        <w:tabs>
          <w:tab w:pos="1620" w:val="left" w:leader="none"/>
          <w:tab w:pos="1621" w:val="left" w:leader="none"/>
        </w:tabs>
        <w:spacing w:line="269" w:lineRule="exact" w:before="0" w:after="0"/>
        <w:ind w:left="1620" w:right="0" w:hanging="361"/>
        <w:jc w:val="left"/>
        <w:rPr>
          <w:color w:val="003C85"/>
          <w:sz w:val="28"/>
        </w:rPr>
      </w:pPr>
      <w:r>
        <w:rPr>
          <w:rFonts w:ascii="Century Gothic" w:hAnsi="Century Gothic"/>
          <w:color w:val="003C85"/>
          <w:sz w:val="28"/>
        </w:rPr>
        <w:t>Senior</w:t>
      </w:r>
      <w:r>
        <w:rPr>
          <w:rFonts w:ascii="Century Gothic" w:hAnsi="Century Gothic"/>
          <w:color w:val="003C85"/>
          <w:spacing w:val="-9"/>
          <w:sz w:val="28"/>
        </w:rPr>
        <w:t> </w:t>
      </w:r>
      <w:r>
        <w:rPr>
          <w:rFonts w:ascii="Century Gothic" w:hAnsi="Century Gothic"/>
          <w:color w:val="003C85"/>
          <w:sz w:val="28"/>
        </w:rPr>
        <w:t>Home</w:t>
      </w:r>
      <w:r>
        <w:rPr>
          <w:rFonts w:ascii="Century Gothic" w:hAnsi="Century Gothic"/>
          <w:color w:val="003C85"/>
          <w:spacing w:val="-6"/>
          <w:sz w:val="28"/>
        </w:rPr>
        <w:t> </w:t>
      </w:r>
      <w:r>
        <w:rPr>
          <w:rFonts w:ascii="Century Gothic" w:hAnsi="Century Gothic"/>
          <w:color w:val="003C85"/>
          <w:sz w:val="28"/>
        </w:rPr>
        <w:t>Rehabilitation</w:t>
      </w:r>
      <w:r>
        <w:rPr>
          <w:rFonts w:ascii="Century Gothic" w:hAnsi="Century Gothic"/>
          <w:color w:val="003C85"/>
          <w:spacing w:val="-11"/>
          <w:sz w:val="28"/>
        </w:rPr>
        <w:t> </w:t>
      </w:r>
      <w:r>
        <w:rPr>
          <w:rFonts w:ascii="Century Gothic" w:hAnsi="Century Gothic"/>
          <w:color w:val="003C85"/>
          <w:spacing w:val="-2"/>
          <w:sz w:val="28"/>
        </w:rPr>
        <w:t>Program</w:t>
      </w:r>
    </w:p>
    <w:p>
      <w:pPr>
        <w:pStyle w:val="ListParagraph"/>
        <w:numPr>
          <w:ilvl w:val="0"/>
          <w:numId w:val="1"/>
        </w:numPr>
        <w:tabs>
          <w:tab w:pos="1620" w:val="left" w:leader="none"/>
          <w:tab w:pos="1621" w:val="left" w:leader="none"/>
        </w:tabs>
        <w:spacing w:line="269" w:lineRule="exact" w:before="0" w:after="0"/>
        <w:ind w:left="1620" w:right="0" w:hanging="361"/>
        <w:jc w:val="left"/>
        <w:rPr>
          <w:color w:val="003C85"/>
          <w:sz w:val="28"/>
        </w:rPr>
      </w:pPr>
      <w:r>
        <w:rPr>
          <w:rFonts w:ascii="Century Gothic" w:hAnsi="Century Gothic"/>
          <w:color w:val="003C85"/>
          <w:sz w:val="28"/>
        </w:rPr>
        <w:t>Dallas</w:t>
      </w:r>
      <w:r>
        <w:rPr>
          <w:rFonts w:ascii="Century Gothic" w:hAnsi="Century Gothic"/>
          <w:color w:val="003C85"/>
          <w:spacing w:val="-8"/>
          <w:sz w:val="28"/>
        </w:rPr>
        <w:t> </w:t>
      </w:r>
      <w:r>
        <w:rPr>
          <w:rFonts w:ascii="Century Gothic" w:hAnsi="Century Gothic"/>
          <w:color w:val="003C85"/>
          <w:sz w:val="28"/>
        </w:rPr>
        <w:t>Tomorrow</w:t>
      </w:r>
      <w:r>
        <w:rPr>
          <w:rFonts w:ascii="Century Gothic" w:hAnsi="Century Gothic"/>
          <w:color w:val="003C85"/>
          <w:spacing w:val="-9"/>
          <w:sz w:val="28"/>
        </w:rPr>
        <w:t> </w:t>
      </w:r>
      <w:r>
        <w:rPr>
          <w:rFonts w:ascii="Century Gothic" w:hAnsi="Century Gothic"/>
          <w:color w:val="003C85"/>
          <w:spacing w:val="-4"/>
          <w:sz w:val="28"/>
        </w:rPr>
        <w:t>Fund</w:t>
      </w:r>
    </w:p>
    <w:p>
      <w:pPr>
        <w:pStyle w:val="ListParagraph"/>
        <w:numPr>
          <w:ilvl w:val="0"/>
          <w:numId w:val="1"/>
        </w:numPr>
        <w:tabs>
          <w:tab w:pos="1620" w:val="left" w:leader="none"/>
          <w:tab w:pos="1621" w:val="left" w:leader="none"/>
        </w:tabs>
        <w:spacing w:line="91" w:lineRule="auto" w:before="140" w:after="0"/>
        <w:ind w:left="1620" w:right="1474" w:hanging="360"/>
        <w:jc w:val="left"/>
        <w:rPr>
          <w:color w:val="003C85"/>
          <w:sz w:val="28"/>
        </w:rPr>
      </w:pPr>
      <w:r>
        <w:rPr>
          <w:rFonts w:ascii="Century Gothic" w:hAnsi="Century Gothic"/>
          <w:color w:val="003C85"/>
          <w:sz w:val="28"/>
        </w:rPr>
        <w:t>American</w:t>
      </w:r>
      <w:r>
        <w:rPr>
          <w:rFonts w:ascii="Century Gothic" w:hAnsi="Century Gothic"/>
          <w:color w:val="003C85"/>
          <w:spacing w:val="-10"/>
          <w:sz w:val="28"/>
        </w:rPr>
        <w:t> </w:t>
      </w:r>
      <w:r>
        <w:rPr>
          <w:rFonts w:ascii="Century Gothic" w:hAnsi="Century Gothic"/>
          <w:color w:val="003C85"/>
          <w:sz w:val="28"/>
        </w:rPr>
        <w:t>Rescue</w:t>
      </w:r>
      <w:r>
        <w:rPr>
          <w:rFonts w:ascii="Century Gothic" w:hAnsi="Century Gothic"/>
          <w:color w:val="003C85"/>
          <w:spacing w:val="-9"/>
          <w:sz w:val="28"/>
        </w:rPr>
        <w:t> </w:t>
      </w:r>
      <w:r>
        <w:rPr>
          <w:rFonts w:ascii="Century Gothic" w:hAnsi="Century Gothic"/>
          <w:color w:val="003C85"/>
          <w:sz w:val="28"/>
        </w:rPr>
        <w:t>Plan</w:t>
      </w:r>
      <w:r>
        <w:rPr>
          <w:rFonts w:ascii="Century Gothic" w:hAnsi="Century Gothic"/>
          <w:color w:val="003C85"/>
          <w:spacing w:val="-10"/>
          <w:sz w:val="28"/>
        </w:rPr>
        <w:t> </w:t>
      </w:r>
      <w:r>
        <w:rPr>
          <w:rFonts w:ascii="Century Gothic" w:hAnsi="Century Gothic"/>
          <w:color w:val="003C85"/>
          <w:sz w:val="28"/>
        </w:rPr>
        <w:t>Act</w:t>
      </w:r>
      <w:r>
        <w:rPr>
          <w:rFonts w:ascii="Century Gothic" w:hAnsi="Century Gothic"/>
          <w:color w:val="003C85"/>
          <w:spacing w:val="-9"/>
          <w:sz w:val="28"/>
        </w:rPr>
        <w:t> </w:t>
      </w:r>
      <w:r>
        <w:rPr>
          <w:rFonts w:ascii="Century Gothic" w:hAnsi="Century Gothic"/>
          <w:color w:val="003C85"/>
          <w:sz w:val="28"/>
        </w:rPr>
        <w:t>-</w:t>
      </w:r>
      <w:r>
        <w:rPr>
          <w:rFonts w:ascii="Century Gothic" w:hAnsi="Century Gothic"/>
          <w:color w:val="003C85"/>
          <w:spacing w:val="-4"/>
          <w:sz w:val="28"/>
        </w:rPr>
        <w:t> </w:t>
      </w:r>
      <w:r>
        <w:rPr>
          <w:rFonts w:ascii="Century Gothic" w:hAnsi="Century Gothic"/>
          <w:color w:val="003C85"/>
          <w:sz w:val="28"/>
        </w:rPr>
        <w:t>Neighborhood Revitalization Program</w:t>
      </w:r>
    </w:p>
    <w:p>
      <w:pPr>
        <w:pStyle w:val="ListParagraph"/>
        <w:numPr>
          <w:ilvl w:val="0"/>
          <w:numId w:val="1"/>
        </w:numPr>
        <w:tabs>
          <w:tab w:pos="1620" w:val="left" w:leader="none"/>
          <w:tab w:pos="1621" w:val="left" w:leader="none"/>
        </w:tabs>
        <w:spacing w:line="131" w:lineRule="exact" w:before="0" w:after="0"/>
        <w:ind w:left="1620" w:right="0" w:hanging="361"/>
        <w:jc w:val="left"/>
        <w:rPr>
          <w:color w:val="003C85"/>
          <w:sz w:val="28"/>
        </w:rPr>
      </w:pPr>
      <w:r>
        <w:rPr>
          <w:rFonts w:ascii="Century Gothic" w:hAnsi="Century Gothic"/>
          <w:color w:val="003C85"/>
          <w:spacing w:val="-2"/>
          <w:sz w:val="28"/>
        </w:rPr>
        <w:t>Corporations</w:t>
      </w:r>
    </w:p>
    <w:p>
      <w:pPr>
        <w:pStyle w:val="ListParagraph"/>
        <w:numPr>
          <w:ilvl w:val="1"/>
          <w:numId w:val="1"/>
        </w:numPr>
        <w:tabs>
          <w:tab w:pos="2340" w:val="left" w:leader="none"/>
          <w:tab w:pos="2341" w:val="left" w:leader="none"/>
        </w:tabs>
        <w:spacing w:line="91" w:lineRule="auto" w:before="140" w:after="0"/>
        <w:ind w:left="2340" w:right="539" w:hanging="360"/>
        <w:jc w:val="left"/>
        <w:rPr>
          <w:color w:val="003C85"/>
          <w:sz w:val="28"/>
        </w:rPr>
      </w:pPr>
      <w:r>
        <w:rPr>
          <w:rFonts w:ascii="Century Gothic" w:hAnsi="Century Gothic"/>
          <w:color w:val="003C85"/>
          <w:sz w:val="28"/>
        </w:rPr>
        <w:t>Dallas</w:t>
      </w:r>
      <w:r>
        <w:rPr>
          <w:rFonts w:ascii="Century Gothic" w:hAnsi="Century Gothic"/>
          <w:color w:val="003C85"/>
          <w:spacing w:val="-12"/>
          <w:sz w:val="28"/>
        </w:rPr>
        <w:t> </w:t>
      </w:r>
      <w:r>
        <w:rPr>
          <w:rFonts w:ascii="Century Gothic" w:hAnsi="Century Gothic"/>
          <w:color w:val="003C85"/>
          <w:sz w:val="28"/>
        </w:rPr>
        <w:t>Housing</w:t>
      </w:r>
      <w:r>
        <w:rPr>
          <w:rFonts w:ascii="Century Gothic" w:hAnsi="Century Gothic"/>
          <w:color w:val="003C85"/>
          <w:spacing w:val="-13"/>
          <w:sz w:val="28"/>
        </w:rPr>
        <w:t> </w:t>
      </w:r>
      <w:r>
        <w:rPr>
          <w:rFonts w:ascii="Century Gothic" w:hAnsi="Century Gothic"/>
          <w:color w:val="003C85"/>
          <w:sz w:val="28"/>
        </w:rPr>
        <w:t>Acquisition</w:t>
      </w:r>
      <w:r>
        <w:rPr>
          <w:rFonts w:ascii="Century Gothic" w:hAnsi="Century Gothic"/>
          <w:color w:val="003C85"/>
          <w:spacing w:val="-12"/>
          <w:sz w:val="28"/>
        </w:rPr>
        <w:t> </w:t>
      </w:r>
      <w:r>
        <w:rPr>
          <w:rFonts w:ascii="Century Gothic" w:hAnsi="Century Gothic"/>
          <w:color w:val="003C85"/>
          <w:sz w:val="28"/>
        </w:rPr>
        <w:t>and</w:t>
      </w:r>
      <w:r>
        <w:rPr>
          <w:rFonts w:ascii="Century Gothic" w:hAnsi="Century Gothic"/>
          <w:color w:val="003C85"/>
          <w:spacing w:val="-8"/>
          <w:sz w:val="28"/>
        </w:rPr>
        <w:t> </w:t>
      </w:r>
      <w:r>
        <w:rPr>
          <w:rFonts w:ascii="Century Gothic" w:hAnsi="Century Gothic"/>
          <w:color w:val="003C85"/>
          <w:sz w:val="28"/>
        </w:rPr>
        <w:t>Development Corporation (DHADC)</w:t>
      </w:r>
    </w:p>
    <w:p>
      <w:pPr>
        <w:pStyle w:val="ListParagraph"/>
        <w:numPr>
          <w:ilvl w:val="1"/>
          <w:numId w:val="1"/>
        </w:numPr>
        <w:tabs>
          <w:tab w:pos="2340" w:val="left" w:leader="none"/>
          <w:tab w:pos="2341" w:val="left" w:leader="none"/>
        </w:tabs>
        <w:spacing w:line="131" w:lineRule="exact" w:before="0" w:after="0"/>
        <w:ind w:left="2340" w:right="0" w:hanging="361"/>
        <w:jc w:val="left"/>
        <w:rPr>
          <w:color w:val="003C85"/>
          <w:sz w:val="28"/>
        </w:rPr>
      </w:pPr>
      <w:r>
        <w:rPr>
          <w:rFonts w:ascii="Century Gothic" w:hAnsi="Century Gothic"/>
          <w:color w:val="003C85"/>
          <w:sz w:val="28"/>
        </w:rPr>
        <w:t>Dallas</w:t>
      </w:r>
      <w:r>
        <w:rPr>
          <w:rFonts w:ascii="Century Gothic" w:hAnsi="Century Gothic"/>
          <w:color w:val="003C85"/>
          <w:spacing w:val="-11"/>
          <w:sz w:val="28"/>
        </w:rPr>
        <w:t> </w:t>
      </w:r>
      <w:r>
        <w:rPr>
          <w:rFonts w:ascii="Century Gothic" w:hAnsi="Century Gothic"/>
          <w:color w:val="003C85"/>
          <w:sz w:val="28"/>
        </w:rPr>
        <w:t>Housing</w:t>
      </w:r>
      <w:r>
        <w:rPr>
          <w:rFonts w:ascii="Century Gothic" w:hAnsi="Century Gothic"/>
          <w:color w:val="003C85"/>
          <w:spacing w:val="-10"/>
          <w:sz w:val="28"/>
        </w:rPr>
        <w:t> </w:t>
      </w:r>
      <w:r>
        <w:rPr>
          <w:rFonts w:ascii="Century Gothic" w:hAnsi="Century Gothic"/>
          <w:color w:val="003C85"/>
          <w:sz w:val="28"/>
        </w:rPr>
        <w:t>Finance</w:t>
      </w:r>
      <w:r>
        <w:rPr>
          <w:rFonts w:ascii="Century Gothic" w:hAnsi="Century Gothic"/>
          <w:color w:val="003C85"/>
          <w:spacing w:val="-10"/>
          <w:sz w:val="28"/>
        </w:rPr>
        <w:t> </w:t>
      </w:r>
      <w:r>
        <w:rPr>
          <w:rFonts w:ascii="Century Gothic" w:hAnsi="Century Gothic"/>
          <w:color w:val="003C85"/>
          <w:sz w:val="28"/>
        </w:rPr>
        <w:t>Corporation</w:t>
      </w:r>
      <w:r>
        <w:rPr>
          <w:rFonts w:ascii="Century Gothic" w:hAnsi="Century Gothic"/>
          <w:color w:val="003C85"/>
          <w:spacing w:val="-10"/>
          <w:sz w:val="28"/>
        </w:rPr>
        <w:t> </w:t>
      </w:r>
      <w:r>
        <w:rPr>
          <w:rFonts w:ascii="Century Gothic" w:hAnsi="Century Gothic"/>
          <w:color w:val="003C85"/>
          <w:spacing w:val="-2"/>
          <w:sz w:val="28"/>
        </w:rPr>
        <w:t>(DHFC)</w:t>
      </w:r>
    </w:p>
    <w:p>
      <w:pPr>
        <w:pStyle w:val="ListParagraph"/>
        <w:numPr>
          <w:ilvl w:val="1"/>
          <w:numId w:val="1"/>
        </w:numPr>
        <w:tabs>
          <w:tab w:pos="2340" w:val="left" w:leader="none"/>
          <w:tab w:pos="2341" w:val="left" w:leader="none"/>
        </w:tabs>
        <w:spacing w:line="269" w:lineRule="exact" w:before="0" w:after="0"/>
        <w:ind w:left="2340" w:right="0" w:hanging="361"/>
        <w:jc w:val="left"/>
        <w:rPr>
          <w:color w:val="003C85"/>
          <w:sz w:val="28"/>
        </w:rPr>
      </w:pPr>
      <w:r>
        <w:rPr>
          <w:rFonts w:ascii="Century Gothic" w:hAnsi="Century Gothic"/>
          <w:color w:val="003C85"/>
          <w:sz w:val="28"/>
        </w:rPr>
        <w:t>Dallas</w:t>
      </w:r>
      <w:r>
        <w:rPr>
          <w:rFonts w:ascii="Century Gothic" w:hAnsi="Century Gothic"/>
          <w:color w:val="003C85"/>
          <w:spacing w:val="-11"/>
          <w:sz w:val="28"/>
        </w:rPr>
        <w:t> </w:t>
      </w:r>
      <w:r>
        <w:rPr>
          <w:rFonts w:ascii="Century Gothic" w:hAnsi="Century Gothic"/>
          <w:color w:val="003C85"/>
          <w:sz w:val="28"/>
        </w:rPr>
        <w:t>Public</w:t>
      </w:r>
      <w:r>
        <w:rPr>
          <w:rFonts w:ascii="Century Gothic" w:hAnsi="Century Gothic"/>
          <w:color w:val="003C85"/>
          <w:spacing w:val="-6"/>
          <w:sz w:val="28"/>
        </w:rPr>
        <w:t> </w:t>
      </w:r>
      <w:r>
        <w:rPr>
          <w:rFonts w:ascii="Century Gothic" w:hAnsi="Century Gothic"/>
          <w:color w:val="003C85"/>
          <w:sz w:val="28"/>
        </w:rPr>
        <w:t>Facility</w:t>
      </w:r>
      <w:r>
        <w:rPr>
          <w:rFonts w:ascii="Century Gothic" w:hAnsi="Century Gothic"/>
          <w:color w:val="003C85"/>
          <w:spacing w:val="-11"/>
          <w:sz w:val="28"/>
        </w:rPr>
        <w:t> </w:t>
      </w:r>
      <w:r>
        <w:rPr>
          <w:rFonts w:ascii="Century Gothic" w:hAnsi="Century Gothic"/>
          <w:color w:val="003C85"/>
          <w:sz w:val="28"/>
        </w:rPr>
        <w:t>Corporation</w:t>
      </w:r>
      <w:r>
        <w:rPr>
          <w:rFonts w:ascii="Century Gothic" w:hAnsi="Century Gothic"/>
          <w:color w:val="003C85"/>
          <w:spacing w:val="-12"/>
          <w:sz w:val="28"/>
        </w:rPr>
        <w:t> </w:t>
      </w:r>
      <w:r>
        <w:rPr>
          <w:rFonts w:ascii="Century Gothic" w:hAnsi="Century Gothic"/>
          <w:color w:val="003C85"/>
          <w:spacing w:val="-2"/>
          <w:sz w:val="28"/>
        </w:rPr>
        <w:t>(DPFC)</w:t>
      </w:r>
    </w:p>
    <w:p>
      <w:pPr>
        <w:pStyle w:val="ListParagraph"/>
        <w:numPr>
          <w:ilvl w:val="0"/>
          <w:numId w:val="1"/>
        </w:numPr>
        <w:tabs>
          <w:tab w:pos="1620" w:val="left" w:leader="none"/>
          <w:tab w:pos="1621" w:val="left" w:leader="none"/>
        </w:tabs>
        <w:spacing w:line="269" w:lineRule="exact" w:before="0" w:after="0"/>
        <w:ind w:left="1620" w:right="0" w:hanging="361"/>
        <w:jc w:val="left"/>
        <w:rPr>
          <w:color w:val="003C85"/>
          <w:sz w:val="28"/>
        </w:rPr>
      </w:pPr>
      <w:r>
        <w:rPr>
          <w:rFonts w:ascii="Century Gothic" w:hAnsi="Century Gothic"/>
          <w:color w:val="003C85"/>
          <w:sz w:val="28"/>
        </w:rPr>
        <w:t>Compliance</w:t>
      </w:r>
      <w:r>
        <w:rPr>
          <w:rFonts w:ascii="Century Gothic" w:hAnsi="Century Gothic"/>
          <w:color w:val="003C85"/>
          <w:spacing w:val="-9"/>
          <w:sz w:val="28"/>
        </w:rPr>
        <w:t> </w:t>
      </w:r>
      <w:r>
        <w:rPr>
          <w:rFonts w:ascii="Century Gothic" w:hAnsi="Century Gothic"/>
          <w:color w:val="003C85"/>
          <w:sz w:val="28"/>
        </w:rPr>
        <w:t>and</w:t>
      </w:r>
      <w:r>
        <w:rPr>
          <w:rFonts w:ascii="Century Gothic" w:hAnsi="Century Gothic"/>
          <w:color w:val="003C85"/>
          <w:spacing w:val="-5"/>
          <w:sz w:val="28"/>
        </w:rPr>
        <w:t> </w:t>
      </w:r>
      <w:r>
        <w:rPr>
          <w:rFonts w:ascii="Century Gothic" w:hAnsi="Century Gothic"/>
          <w:color w:val="003C85"/>
          <w:sz w:val="28"/>
        </w:rPr>
        <w:t>Funding</w:t>
      </w:r>
      <w:r>
        <w:rPr>
          <w:rFonts w:ascii="Century Gothic" w:hAnsi="Century Gothic"/>
          <w:color w:val="003C85"/>
          <w:spacing w:val="-12"/>
          <w:sz w:val="28"/>
        </w:rPr>
        <w:t> </w:t>
      </w:r>
      <w:r>
        <w:rPr>
          <w:rFonts w:ascii="Century Gothic" w:hAnsi="Century Gothic"/>
          <w:color w:val="003C85"/>
          <w:spacing w:val="-2"/>
          <w:sz w:val="28"/>
        </w:rPr>
        <w:t>Resources</w:t>
      </w:r>
    </w:p>
    <w:p>
      <w:pPr>
        <w:pStyle w:val="ListParagraph"/>
        <w:numPr>
          <w:ilvl w:val="1"/>
          <w:numId w:val="1"/>
        </w:numPr>
        <w:tabs>
          <w:tab w:pos="2340" w:val="left" w:leader="none"/>
          <w:tab w:pos="2341" w:val="left" w:leader="none"/>
        </w:tabs>
        <w:spacing w:line="269" w:lineRule="exact" w:before="0" w:after="0"/>
        <w:ind w:left="2340" w:right="0" w:hanging="361"/>
        <w:jc w:val="left"/>
        <w:rPr>
          <w:color w:val="003C85"/>
          <w:sz w:val="28"/>
        </w:rPr>
      </w:pPr>
      <w:r>
        <w:rPr>
          <w:rFonts w:ascii="Century Gothic" w:hAnsi="Century Gothic"/>
          <w:color w:val="003C85"/>
          <w:sz w:val="28"/>
        </w:rPr>
        <w:t>Affordable</w:t>
      </w:r>
      <w:r>
        <w:rPr>
          <w:rFonts w:ascii="Century Gothic" w:hAnsi="Century Gothic"/>
          <w:color w:val="003C85"/>
          <w:spacing w:val="-11"/>
          <w:sz w:val="28"/>
        </w:rPr>
        <w:t> </w:t>
      </w:r>
      <w:r>
        <w:rPr>
          <w:rFonts w:ascii="Century Gothic" w:hAnsi="Century Gothic"/>
          <w:color w:val="003C85"/>
          <w:sz w:val="28"/>
        </w:rPr>
        <w:t>Housing</w:t>
      </w:r>
      <w:r>
        <w:rPr>
          <w:rFonts w:ascii="Century Gothic" w:hAnsi="Century Gothic"/>
          <w:color w:val="003C85"/>
          <w:spacing w:val="-5"/>
          <w:sz w:val="28"/>
        </w:rPr>
        <w:t> </w:t>
      </w:r>
      <w:r>
        <w:rPr>
          <w:rFonts w:ascii="Century Gothic" w:hAnsi="Century Gothic"/>
          <w:color w:val="003C85"/>
          <w:sz w:val="28"/>
        </w:rPr>
        <w:t>Trust</w:t>
      </w:r>
      <w:r>
        <w:rPr>
          <w:rFonts w:ascii="Century Gothic" w:hAnsi="Century Gothic"/>
          <w:color w:val="003C85"/>
          <w:spacing w:val="-7"/>
          <w:sz w:val="28"/>
        </w:rPr>
        <w:t> </w:t>
      </w:r>
      <w:r>
        <w:rPr>
          <w:rFonts w:ascii="Century Gothic" w:hAnsi="Century Gothic"/>
          <w:color w:val="003C85"/>
          <w:spacing w:val="-4"/>
          <w:sz w:val="28"/>
        </w:rPr>
        <w:t>Fund</w:t>
      </w:r>
    </w:p>
    <w:p>
      <w:pPr>
        <w:pStyle w:val="ListParagraph"/>
        <w:numPr>
          <w:ilvl w:val="1"/>
          <w:numId w:val="1"/>
        </w:numPr>
        <w:tabs>
          <w:tab w:pos="2340" w:val="left" w:leader="none"/>
          <w:tab w:pos="2341" w:val="left" w:leader="none"/>
        </w:tabs>
        <w:spacing w:line="269" w:lineRule="exact" w:before="0" w:after="0"/>
        <w:ind w:left="2340" w:right="0" w:hanging="361"/>
        <w:jc w:val="left"/>
        <w:rPr>
          <w:color w:val="003C85"/>
          <w:sz w:val="28"/>
        </w:rPr>
      </w:pPr>
      <w:r>
        <w:rPr>
          <w:rFonts w:ascii="Century Gothic" w:hAnsi="Century Gothic"/>
          <w:color w:val="003C85"/>
          <w:sz w:val="28"/>
        </w:rPr>
        <w:t>Emerging</w:t>
      </w:r>
      <w:r>
        <w:rPr>
          <w:rFonts w:ascii="Century Gothic" w:hAnsi="Century Gothic"/>
          <w:color w:val="003C85"/>
          <w:spacing w:val="-9"/>
          <w:sz w:val="28"/>
        </w:rPr>
        <w:t> </w:t>
      </w:r>
      <w:r>
        <w:rPr>
          <w:rFonts w:ascii="Century Gothic" w:hAnsi="Century Gothic"/>
          <w:color w:val="003C85"/>
          <w:sz w:val="28"/>
        </w:rPr>
        <w:t>Developer</w:t>
      </w:r>
      <w:r>
        <w:rPr>
          <w:rFonts w:ascii="Century Gothic" w:hAnsi="Century Gothic"/>
          <w:color w:val="003C85"/>
          <w:spacing w:val="-11"/>
          <w:sz w:val="28"/>
        </w:rPr>
        <w:t> </w:t>
      </w:r>
      <w:r>
        <w:rPr>
          <w:rFonts w:ascii="Century Gothic" w:hAnsi="Century Gothic"/>
          <w:color w:val="003C85"/>
          <w:spacing w:val="-2"/>
          <w:sz w:val="28"/>
        </w:rPr>
        <w:t>Program</w:t>
      </w:r>
    </w:p>
    <w:p>
      <w:pPr>
        <w:pStyle w:val="ListParagraph"/>
        <w:numPr>
          <w:ilvl w:val="1"/>
          <w:numId w:val="1"/>
        </w:numPr>
        <w:tabs>
          <w:tab w:pos="2340" w:val="left" w:leader="none"/>
          <w:tab w:pos="2341" w:val="left" w:leader="none"/>
        </w:tabs>
        <w:spacing w:line="486" w:lineRule="exact" w:before="0" w:after="0"/>
        <w:ind w:left="2340" w:right="0" w:hanging="361"/>
        <w:jc w:val="left"/>
        <w:rPr>
          <w:color w:val="003C85"/>
          <w:sz w:val="28"/>
        </w:rPr>
      </w:pPr>
      <w:r>
        <w:rPr>
          <w:rFonts w:ascii="Century Gothic" w:hAnsi="Century Gothic"/>
          <w:color w:val="003C85"/>
          <w:spacing w:val="-2"/>
          <w:sz w:val="28"/>
        </w:rPr>
        <w:t>Anti-Displacement</w:t>
      </w:r>
      <w:r>
        <w:rPr>
          <w:rFonts w:ascii="Century Gothic" w:hAnsi="Century Gothic"/>
          <w:color w:val="003C85"/>
          <w:spacing w:val="13"/>
          <w:sz w:val="28"/>
        </w:rPr>
        <w:t> </w:t>
      </w:r>
      <w:r>
        <w:rPr>
          <w:rFonts w:ascii="Century Gothic" w:hAnsi="Century Gothic"/>
          <w:color w:val="003C85"/>
          <w:spacing w:val="-2"/>
          <w:sz w:val="28"/>
        </w:rPr>
        <w:t>Toolkit</w:t>
      </w:r>
    </w:p>
    <w:p>
      <w:pPr>
        <w:spacing w:line="240" w:lineRule="auto" w:before="1"/>
        <w:rPr>
          <w:rFonts w:ascii="Century Gothic"/>
          <w:sz w:val="18"/>
        </w:rPr>
      </w:pPr>
      <w:r>
        <w:rPr/>
        <w:br w:type="column"/>
      </w:r>
      <w:r>
        <w:rPr>
          <w:rFonts w:ascii="Century Gothic"/>
          <w:sz w:val="18"/>
        </w:rPr>
      </w:r>
    </w:p>
    <w:p>
      <w:pPr>
        <w:spacing w:line="519" w:lineRule="exact" w:before="0"/>
        <w:ind w:left="1063" w:right="0" w:firstLine="0"/>
        <w:jc w:val="left"/>
        <w:rPr>
          <w:rFonts w:ascii="Century Gothic"/>
          <w:b/>
          <w:sz w:val="28"/>
        </w:rPr>
      </w:pPr>
      <w:r>
        <w:rPr>
          <w:rFonts w:ascii="Century Gothic"/>
          <w:b/>
          <w:color w:val="003C85"/>
          <w:spacing w:val="-2"/>
          <w:sz w:val="28"/>
        </w:rPr>
        <w:t>Removed:</w:t>
      </w:r>
    </w:p>
    <w:p>
      <w:pPr>
        <w:pStyle w:val="ListParagraph"/>
        <w:numPr>
          <w:ilvl w:val="0"/>
          <w:numId w:val="2"/>
        </w:numPr>
        <w:tabs>
          <w:tab w:pos="1603" w:val="left" w:leader="none"/>
          <w:tab w:pos="1604" w:val="left" w:leader="none"/>
        </w:tabs>
        <w:spacing w:line="336" w:lineRule="exact" w:before="0" w:after="0"/>
        <w:ind w:left="1603" w:right="0" w:hanging="541"/>
        <w:jc w:val="left"/>
        <w:rPr>
          <w:rFonts w:ascii="Century Gothic" w:hAnsi="Century Gothic"/>
          <w:sz w:val="28"/>
        </w:rPr>
      </w:pPr>
      <w:r>
        <w:rPr>
          <w:rFonts w:ascii="Century Gothic" w:hAnsi="Century Gothic"/>
          <w:color w:val="003C85"/>
          <w:sz w:val="28"/>
        </w:rPr>
        <w:t>Background</w:t>
      </w:r>
      <w:r>
        <w:rPr>
          <w:rFonts w:ascii="Century Gothic" w:hAnsi="Century Gothic"/>
          <w:color w:val="003C85"/>
          <w:spacing w:val="-12"/>
          <w:sz w:val="28"/>
        </w:rPr>
        <w:t> </w:t>
      </w:r>
      <w:r>
        <w:rPr>
          <w:rFonts w:ascii="Century Gothic" w:hAnsi="Century Gothic"/>
          <w:color w:val="003C85"/>
          <w:sz w:val="28"/>
        </w:rPr>
        <w:t>on</w:t>
      </w:r>
      <w:r>
        <w:rPr>
          <w:rFonts w:ascii="Century Gothic" w:hAnsi="Century Gothic"/>
          <w:color w:val="003C85"/>
          <w:spacing w:val="-7"/>
          <w:sz w:val="28"/>
        </w:rPr>
        <w:t> </w:t>
      </w:r>
      <w:r>
        <w:rPr>
          <w:rFonts w:ascii="Century Gothic" w:hAnsi="Century Gothic"/>
          <w:color w:val="003C85"/>
          <w:sz w:val="28"/>
        </w:rPr>
        <w:t>development</w:t>
      </w:r>
      <w:r>
        <w:rPr>
          <w:rFonts w:ascii="Century Gothic" w:hAnsi="Century Gothic"/>
          <w:color w:val="003C85"/>
          <w:spacing w:val="-11"/>
          <w:sz w:val="28"/>
        </w:rPr>
        <w:t> </w:t>
      </w:r>
      <w:r>
        <w:rPr>
          <w:rFonts w:ascii="Century Gothic" w:hAnsi="Century Gothic"/>
          <w:color w:val="003C85"/>
          <w:sz w:val="28"/>
        </w:rPr>
        <w:t>of</w:t>
      </w:r>
      <w:r>
        <w:rPr>
          <w:rFonts w:ascii="Century Gothic" w:hAnsi="Century Gothic"/>
          <w:color w:val="003C85"/>
          <w:spacing w:val="-7"/>
          <w:sz w:val="28"/>
        </w:rPr>
        <w:t> </w:t>
      </w:r>
      <w:r>
        <w:rPr>
          <w:rFonts w:ascii="Century Gothic" w:hAnsi="Century Gothic"/>
          <w:color w:val="003C85"/>
          <w:sz w:val="28"/>
        </w:rPr>
        <w:t>the</w:t>
      </w:r>
      <w:r>
        <w:rPr>
          <w:rFonts w:ascii="Century Gothic" w:hAnsi="Century Gothic"/>
          <w:color w:val="003C85"/>
          <w:spacing w:val="-2"/>
          <w:sz w:val="28"/>
        </w:rPr>
        <w:t> policy</w:t>
      </w:r>
    </w:p>
    <w:p>
      <w:pPr>
        <w:pStyle w:val="ListParagraph"/>
        <w:numPr>
          <w:ilvl w:val="0"/>
          <w:numId w:val="2"/>
        </w:numPr>
        <w:tabs>
          <w:tab w:pos="1603" w:val="left" w:leader="none"/>
          <w:tab w:pos="1604" w:val="left" w:leader="none"/>
        </w:tabs>
        <w:spacing w:line="336" w:lineRule="exact" w:before="0" w:after="0"/>
        <w:ind w:left="1603" w:right="0" w:hanging="541"/>
        <w:jc w:val="left"/>
        <w:rPr>
          <w:rFonts w:ascii="Century Gothic" w:hAnsi="Century Gothic"/>
          <w:sz w:val="28"/>
        </w:rPr>
      </w:pPr>
      <w:r>
        <w:rPr>
          <w:rFonts w:ascii="Century Gothic" w:hAnsi="Century Gothic"/>
          <w:color w:val="003C85"/>
          <w:sz w:val="28"/>
        </w:rPr>
        <w:t>City</w:t>
      </w:r>
      <w:r>
        <w:rPr>
          <w:rFonts w:ascii="Century Gothic" w:hAnsi="Century Gothic"/>
          <w:color w:val="003C85"/>
          <w:spacing w:val="-7"/>
          <w:sz w:val="28"/>
        </w:rPr>
        <w:t> </w:t>
      </w:r>
      <w:r>
        <w:rPr>
          <w:rFonts w:ascii="Century Gothic" w:hAnsi="Century Gothic"/>
          <w:color w:val="003C85"/>
          <w:sz w:val="28"/>
        </w:rPr>
        <w:t>of</w:t>
      </w:r>
      <w:r>
        <w:rPr>
          <w:rFonts w:ascii="Century Gothic" w:hAnsi="Century Gothic"/>
          <w:color w:val="003C85"/>
          <w:spacing w:val="-3"/>
          <w:sz w:val="28"/>
        </w:rPr>
        <w:t> </w:t>
      </w:r>
      <w:r>
        <w:rPr>
          <w:rFonts w:ascii="Century Gothic" w:hAnsi="Century Gothic"/>
          <w:color w:val="003C85"/>
          <w:sz w:val="28"/>
        </w:rPr>
        <w:t>Dallas</w:t>
      </w:r>
      <w:r>
        <w:rPr>
          <w:rFonts w:ascii="Century Gothic" w:hAnsi="Century Gothic"/>
          <w:color w:val="003C85"/>
          <w:spacing w:val="-6"/>
          <w:sz w:val="28"/>
        </w:rPr>
        <w:t> </w:t>
      </w:r>
      <w:r>
        <w:rPr>
          <w:rFonts w:ascii="Century Gothic" w:hAnsi="Century Gothic"/>
          <w:color w:val="003C85"/>
          <w:spacing w:val="-4"/>
          <w:sz w:val="28"/>
        </w:rPr>
        <w:t>plans</w:t>
      </w:r>
    </w:p>
    <w:p>
      <w:pPr>
        <w:pStyle w:val="ListParagraph"/>
        <w:numPr>
          <w:ilvl w:val="0"/>
          <w:numId w:val="2"/>
        </w:numPr>
        <w:tabs>
          <w:tab w:pos="1603" w:val="left" w:leader="none"/>
          <w:tab w:pos="1604" w:val="left" w:leader="none"/>
        </w:tabs>
        <w:spacing w:line="336" w:lineRule="exact" w:before="0" w:after="0"/>
        <w:ind w:left="1603" w:right="0" w:hanging="541"/>
        <w:jc w:val="left"/>
        <w:rPr>
          <w:rFonts w:ascii="Century Gothic" w:hAnsi="Century Gothic"/>
          <w:sz w:val="28"/>
        </w:rPr>
      </w:pPr>
      <w:r>
        <w:rPr>
          <w:rFonts w:ascii="Century Gothic" w:hAnsi="Century Gothic"/>
          <w:color w:val="003C85"/>
          <w:sz w:val="28"/>
        </w:rPr>
        <w:t>Reinvestment</w:t>
      </w:r>
      <w:r>
        <w:rPr>
          <w:rFonts w:ascii="Century Gothic" w:hAnsi="Century Gothic"/>
          <w:color w:val="003C85"/>
          <w:spacing w:val="-13"/>
          <w:sz w:val="28"/>
        </w:rPr>
        <w:t> </w:t>
      </w:r>
      <w:r>
        <w:rPr>
          <w:rFonts w:ascii="Century Gothic" w:hAnsi="Century Gothic"/>
          <w:color w:val="003C85"/>
          <w:sz w:val="28"/>
        </w:rPr>
        <w:t>strategy</w:t>
      </w:r>
      <w:r>
        <w:rPr>
          <w:rFonts w:ascii="Century Gothic" w:hAnsi="Century Gothic"/>
          <w:color w:val="003C85"/>
          <w:spacing w:val="-6"/>
          <w:sz w:val="28"/>
        </w:rPr>
        <w:t> </w:t>
      </w:r>
      <w:r>
        <w:rPr>
          <w:rFonts w:ascii="Century Gothic" w:hAnsi="Century Gothic"/>
          <w:color w:val="003C85"/>
          <w:spacing w:val="-2"/>
          <w:sz w:val="28"/>
        </w:rPr>
        <w:t>areas</w:t>
      </w:r>
    </w:p>
    <w:p>
      <w:pPr>
        <w:pStyle w:val="ListParagraph"/>
        <w:numPr>
          <w:ilvl w:val="0"/>
          <w:numId w:val="2"/>
        </w:numPr>
        <w:tabs>
          <w:tab w:pos="1603" w:val="left" w:leader="none"/>
          <w:tab w:pos="1604" w:val="left" w:leader="none"/>
        </w:tabs>
        <w:spacing w:line="336" w:lineRule="exact" w:before="0" w:after="0"/>
        <w:ind w:left="1603" w:right="0" w:hanging="541"/>
        <w:jc w:val="left"/>
        <w:rPr>
          <w:rFonts w:ascii="Century Gothic" w:hAnsi="Century Gothic"/>
          <w:sz w:val="28"/>
        </w:rPr>
      </w:pPr>
      <w:r>
        <w:rPr>
          <w:rFonts w:ascii="Century Gothic" w:hAnsi="Century Gothic"/>
          <w:color w:val="003C85"/>
          <w:sz w:val="28"/>
        </w:rPr>
        <w:t>Funding</w:t>
      </w:r>
      <w:r>
        <w:rPr>
          <w:rFonts w:ascii="Century Gothic" w:hAnsi="Century Gothic"/>
          <w:color w:val="003C85"/>
          <w:spacing w:val="-13"/>
          <w:sz w:val="28"/>
        </w:rPr>
        <w:t> </w:t>
      </w:r>
      <w:r>
        <w:rPr>
          <w:rFonts w:ascii="Century Gothic" w:hAnsi="Century Gothic"/>
          <w:color w:val="003C85"/>
          <w:sz w:val="28"/>
        </w:rPr>
        <w:t>and</w:t>
      </w:r>
      <w:r>
        <w:rPr>
          <w:rFonts w:ascii="Century Gothic" w:hAnsi="Century Gothic"/>
          <w:color w:val="003C85"/>
          <w:spacing w:val="-1"/>
          <w:sz w:val="28"/>
        </w:rPr>
        <w:t> </w:t>
      </w:r>
      <w:r>
        <w:rPr>
          <w:rFonts w:ascii="Century Gothic" w:hAnsi="Century Gothic"/>
          <w:color w:val="003C85"/>
          <w:sz w:val="28"/>
        </w:rPr>
        <w:t>supporting</w:t>
      </w:r>
      <w:r>
        <w:rPr>
          <w:rFonts w:ascii="Century Gothic" w:hAnsi="Century Gothic"/>
          <w:color w:val="003C85"/>
          <w:spacing w:val="-12"/>
          <w:sz w:val="28"/>
        </w:rPr>
        <w:t> </w:t>
      </w:r>
      <w:r>
        <w:rPr>
          <w:rFonts w:ascii="Century Gothic" w:hAnsi="Century Gothic"/>
          <w:color w:val="003C85"/>
          <w:spacing w:val="-2"/>
          <w:sz w:val="28"/>
        </w:rPr>
        <w:t>actions</w:t>
      </w:r>
    </w:p>
    <w:p>
      <w:pPr>
        <w:pStyle w:val="ListParagraph"/>
        <w:numPr>
          <w:ilvl w:val="0"/>
          <w:numId w:val="2"/>
        </w:numPr>
        <w:tabs>
          <w:tab w:pos="1603" w:val="left" w:leader="none"/>
          <w:tab w:pos="1604" w:val="left" w:leader="none"/>
        </w:tabs>
        <w:spacing w:line="336" w:lineRule="exact" w:before="0" w:after="0"/>
        <w:ind w:left="1603" w:right="0" w:hanging="541"/>
        <w:jc w:val="left"/>
        <w:rPr>
          <w:rFonts w:ascii="Century Gothic" w:hAnsi="Century Gothic"/>
          <w:sz w:val="28"/>
        </w:rPr>
      </w:pPr>
      <w:r>
        <w:rPr>
          <w:rFonts w:ascii="Century Gothic" w:hAnsi="Century Gothic"/>
          <w:color w:val="003C85"/>
          <w:sz w:val="28"/>
        </w:rPr>
        <w:t>Production</w:t>
      </w:r>
      <w:r>
        <w:rPr>
          <w:rFonts w:ascii="Century Gothic" w:hAnsi="Century Gothic"/>
          <w:color w:val="003C85"/>
          <w:spacing w:val="-13"/>
          <w:sz w:val="28"/>
        </w:rPr>
        <w:t> </w:t>
      </w:r>
      <w:r>
        <w:rPr>
          <w:rFonts w:ascii="Century Gothic" w:hAnsi="Century Gothic"/>
          <w:color w:val="003C85"/>
          <w:sz w:val="28"/>
        </w:rPr>
        <w:t>goals</w:t>
      </w:r>
      <w:r>
        <w:rPr>
          <w:rFonts w:ascii="Century Gothic" w:hAnsi="Century Gothic"/>
          <w:color w:val="003C85"/>
          <w:spacing w:val="-10"/>
          <w:sz w:val="28"/>
        </w:rPr>
        <w:t> </w:t>
      </w:r>
      <w:r>
        <w:rPr>
          <w:rFonts w:ascii="Century Gothic" w:hAnsi="Century Gothic"/>
          <w:color w:val="003C85"/>
          <w:sz w:val="28"/>
        </w:rPr>
        <w:t>and</w:t>
      </w:r>
      <w:r>
        <w:rPr>
          <w:rFonts w:ascii="Century Gothic" w:hAnsi="Century Gothic"/>
          <w:color w:val="003C85"/>
          <w:spacing w:val="-1"/>
          <w:sz w:val="28"/>
        </w:rPr>
        <w:t> </w:t>
      </w:r>
      <w:r>
        <w:rPr>
          <w:rFonts w:ascii="Century Gothic" w:hAnsi="Century Gothic"/>
          <w:color w:val="003C85"/>
          <w:sz w:val="28"/>
        </w:rPr>
        <w:t>income</w:t>
      </w:r>
      <w:r>
        <w:rPr>
          <w:rFonts w:ascii="Century Gothic" w:hAnsi="Century Gothic"/>
          <w:color w:val="003C85"/>
          <w:spacing w:val="-10"/>
          <w:sz w:val="28"/>
        </w:rPr>
        <w:t> </w:t>
      </w:r>
      <w:r>
        <w:rPr>
          <w:rFonts w:ascii="Century Gothic" w:hAnsi="Century Gothic"/>
          <w:color w:val="003C85"/>
          <w:sz w:val="28"/>
        </w:rPr>
        <w:t>bands</w:t>
      </w:r>
      <w:r>
        <w:rPr>
          <w:rFonts w:ascii="Century Gothic" w:hAnsi="Century Gothic"/>
          <w:color w:val="003C85"/>
          <w:spacing w:val="-3"/>
          <w:sz w:val="28"/>
        </w:rPr>
        <w:t> </w:t>
      </w:r>
      <w:r>
        <w:rPr>
          <w:rFonts w:ascii="Century Gothic" w:hAnsi="Century Gothic"/>
          <w:color w:val="003C85"/>
          <w:sz w:val="28"/>
        </w:rPr>
        <w:t>to</w:t>
      </w:r>
      <w:r>
        <w:rPr>
          <w:rFonts w:ascii="Century Gothic" w:hAnsi="Century Gothic"/>
          <w:color w:val="003C85"/>
          <w:spacing w:val="-2"/>
          <w:sz w:val="28"/>
        </w:rPr>
        <w:t> </w:t>
      </w:r>
      <w:r>
        <w:rPr>
          <w:rFonts w:ascii="Century Gothic" w:hAnsi="Century Gothic"/>
          <w:color w:val="003C85"/>
          <w:sz w:val="28"/>
        </w:rPr>
        <w:t>be</w:t>
      </w:r>
      <w:r>
        <w:rPr>
          <w:rFonts w:ascii="Century Gothic" w:hAnsi="Century Gothic"/>
          <w:color w:val="003C85"/>
          <w:spacing w:val="-5"/>
          <w:sz w:val="28"/>
        </w:rPr>
        <w:t> </w:t>
      </w:r>
      <w:r>
        <w:rPr>
          <w:rFonts w:ascii="Century Gothic" w:hAnsi="Century Gothic"/>
          <w:color w:val="003C85"/>
          <w:spacing w:val="-2"/>
          <w:sz w:val="28"/>
        </w:rPr>
        <w:t>served</w:t>
      </w:r>
    </w:p>
    <w:p>
      <w:pPr>
        <w:pStyle w:val="ListParagraph"/>
        <w:numPr>
          <w:ilvl w:val="0"/>
          <w:numId w:val="2"/>
        </w:numPr>
        <w:tabs>
          <w:tab w:pos="1603" w:val="left" w:leader="none"/>
          <w:tab w:pos="1604" w:val="left" w:leader="none"/>
        </w:tabs>
        <w:spacing w:line="115" w:lineRule="auto" w:before="116" w:after="0"/>
        <w:ind w:left="1603" w:right="2460" w:hanging="540"/>
        <w:jc w:val="left"/>
        <w:rPr>
          <w:rFonts w:ascii="Century Gothic" w:hAnsi="Century Gothic"/>
          <w:sz w:val="28"/>
        </w:rPr>
      </w:pPr>
      <w:r>
        <w:rPr>
          <w:rFonts w:ascii="Century Gothic" w:hAnsi="Century Gothic"/>
          <w:color w:val="003C85"/>
          <w:sz w:val="28"/>
        </w:rPr>
        <w:t>Strategies,</w:t>
      </w:r>
      <w:r>
        <w:rPr>
          <w:rFonts w:ascii="Century Gothic" w:hAnsi="Century Gothic"/>
          <w:color w:val="003C85"/>
          <w:spacing w:val="-5"/>
          <w:sz w:val="28"/>
        </w:rPr>
        <w:t> </w:t>
      </w:r>
      <w:r>
        <w:rPr>
          <w:rFonts w:ascii="Century Gothic" w:hAnsi="Century Gothic"/>
          <w:color w:val="003C85"/>
          <w:sz w:val="28"/>
        </w:rPr>
        <w:t>tools</w:t>
      </w:r>
      <w:r>
        <w:rPr>
          <w:rFonts w:ascii="Century Gothic" w:hAnsi="Century Gothic"/>
          <w:color w:val="003C85"/>
          <w:spacing w:val="-12"/>
          <w:sz w:val="28"/>
        </w:rPr>
        <w:t> </w:t>
      </w:r>
      <w:r>
        <w:rPr>
          <w:rFonts w:ascii="Century Gothic" w:hAnsi="Century Gothic"/>
          <w:color w:val="003C85"/>
          <w:sz w:val="28"/>
        </w:rPr>
        <w:t>and</w:t>
      </w:r>
      <w:r>
        <w:rPr>
          <w:rFonts w:ascii="Century Gothic" w:hAnsi="Century Gothic"/>
          <w:color w:val="003C85"/>
          <w:spacing w:val="-2"/>
          <w:sz w:val="28"/>
        </w:rPr>
        <w:t> </w:t>
      </w:r>
      <w:r>
        <w:rPr>
          <w:rFonts w:ascii="Century Gothic" w:hAnsi="Century Gothic"/>
          <w:color w:val="003C85"/>
          <w:sz w:val="28"/>
        </w:rPr>
        <w:t>program</w:t>
      </w:r>
      <w:r>
        <w:rPr>
          <w:rFonts w:ascii="Century Gothic" w:hAnsi="Century Gothic"/>
          <w:color w:val="003C85"/>
          <w:spacing w:val="-8"/>
          <w:sz w:val="28"/>
        </w:rPr>
        <w:t> </w:t>
      </w:r>
      <w:r>
        <w:rPr>
          <w:rFonts w:ascii="Century Gothic" w:hAnsi="Century Gothic"/>
          <w:color w:val="003C85"/>
          <w:sz w:val="28"/>
        </w:rPr>
        <w:t>that</w:t>
      </w:r>
      <w:r>
        <w:rPr>
          <w:rFonts w:ascii="Century Gothic" w:hAnsi="Century Gothic"/>
          <w:color w:val="003C85"/>
          <w:spacing w:val="-3"/>
          <w:sz w:val="28"/>
        </w:rPr>
        <w:t> </w:t>
      </w:r>
      <w:r>
        <w:rPr>
          <w:rFonts w:ascii="Century Gothic" w:hAnsi="Century Gothic"/>
          <w:color w:val="003C85"/>
          <w:sz w:val="28"/>
        </w:rPr>
        <w:t>will</w:t>
      </w:r>
      <w:r>
        <w:rPr>
          <w:rFonts w:ascii="Century Gothic" w:hAnsi="Century Gothic"/>
          <w:color w:val="003C85"/>
          <w:spacing w:val="-12"/>
          <w:sz w:val="28"/>
        </w:rPr>
        <w:t> </w:t>
      </w:r>
      <w:r>
        <w:rPr>
          <w:rFonts w:ascii="Century Gothic" w:hAnsi="Century Gothic"/>
          <w:color w:val="003C85"/>
          <w:sz w:val="28"/>
        </w:rPr>
        <w:t>require additional action</w:t>
      </w:r>
    </w:p>
    <w:p>
      <w:pPr>
        <w:pStyle w:val="ListParagraph"/>
        <w:numPr>
          <w:ilvl w:val="0"/>
          <w:numId w:val="2"/>
        </w:numPr>
        <w:tabs>
          <w:tab w:pos="1603" w:val="left" w:leader="none"/>
          <w:tab w:pos="1604" w:val="left" w:leader="none"/>
        </w:tabs>
        <w:spacing w:line="115" w:lineRule="auto" w:before="0" w:after="0"/>
        <w:ind w:left="1603" w:right="1752" w:hanging="540"/>
        <w:jc w:val="left"/>
        <w:rPr>
          <w:rFonts w:ascii="Century Gothic" w:hAnsi="Century Gothic"/>
          <w:sz w:val="28"/>
        </w:rPr>
      </w:pPr>
      <w:r>
        <w:rPr>
          <w:rFonts w:ascii="Century Gothic" w:hAnsi="Century Gothic"/>
          <w:color w:val="003C85"/>
          <w:sz w:val="28"/>
        </w:rPr>
        <w:t>Appendix</w:t>
      </w:r>
      <w:r>
        <w:rPr>
          <w:rFonts w:ascii="Century Gothic" w:hAnsi="Century Gothic"/>
          <w:color w:val="003C85"/>
          <w:spacing w:val="-10"/>
          <w:sz w:val="28"/>
        </w:rPr>
        <w:t> </w:t>
      </w:r>
      <w:r>
        <w:rPr>
          <w:rFonts w:ascii="Century Gothic" w:hAnsi="Century Gothic"/>
          <w:color w:val="003C85"/>
          <w:sz w:val="28"/>
        </w:rPr>
        <w:t>5</w:t>
      </w:r>
      <w:r>
        <w:rPr>
          <w:rFonts w:ascii="Century Gothic" w:hAnsi="Century Gothic"/>
          <w:color w:val="003C85"/>
          <w:spacing w:val="-2"/>
          <w:sz w:val="28"/>
        </w:rPr>
        <w:t> </w:t>
      </w:r>
      <w:r>
        <w:rPr>
          <w:rFonts w:ascii="Century Gothic" w:hAnsi="Century Gothic"/>
          <w:color w:val="003C85"/>
          <w:sz w:val="28"/>
        </w:rPr>
        <w:t>-</w:t>
      </w:r>
      <w:r>
        <w:rPr>
          <w:rFonts w:ascii="Century Gothic" w:hAnsi="Century Gothic"/>
          <w:color w:val="003C85"/>
          <w:spacing w:val="-2"/>
          <w:sz w:val="28"/>
        </w:rPr>
        <w:t> </w:t>
      </w:r>
      <w:r>
        <w:rPr>
          <w:rFonts w:ascii="Century Gothic" w:hAnsi="Century Gothic"/>
          <w:color w:val="003C85"/>
          <w:sz w:val="28"/>
        </w:rPr>
        <w:t>city</w:t>
      </w:r>
      <w:r>
        <w:rPr>
          <w:rFonts w:ascii="Century Gothic" w:hAnsi="Century Gothic"/>
          <w:color w:val="003C85"/>
          <w:spacing w:val="-9"/>
          <w:sz w:val="28"/>
        </w:rPr>
        <w:t> </w:t>
      </w:r>
      <w:r>
        <w:rPr>
          <w:rFonts w:ascii="Century Gothic" w:hAnsi="Century Gothic"/>
          <w:color w:val="003C85"/>
          <w:sz w:val="28"/>
        </w:rPr>
        <w:t>of</w:t>
      </w:r>
      <w:r>
        <w:rPr>
          <w:rFonts w:ascii="Century Gothic" w:hAnsi="Century Gothic"/>
          <w:color w:val="003C85"/>
          <w:spacing w:val="-4"/>
          <w:sz w:val="28"/>
        </w:rPr>
        <w:t> </w:t>
      </w:r>
      <w:r>
        <w:rPr>
          <w:rFonts w:ascii="Century Gothic" w:hAnsi="Century Gothic"/>
          <w:color w:val="003C85"/>
          <w:sz w:val="28"/>
        </w:rPr>
        <w:t>Dallas</w:t>
      </w:r>
      <w:r>
        <w:rPr>
          <w:rFonts w:ascii="Century Gothic" w:hAnsi="Century Gothic"/>
          <w:color w:val="003C85"/>
          <w:spacing w:val="-10"/>
          <w:sz w:val="28"/>
        </w:rPr>
        <w:t> </w:t>
      </w:r>
      <w:r>
        <w:rPr>
          <w:rFonts w:ascii="Century Gothic" w:hAnsi="Century Gothic"/>
          <w:color w:val="003C85"/>
          <w:sz w:val="28"/>
        </w:rPr>
        <w:t>income</w:t>
      </w:r>
      <w:r>
        <w:rPr>
          <w:rFonts w:ascii="Century Gothic" w:hAnsi="Century Gothic"/>
          <w:color w:val="003C85"/>
          <w:spacing w:val="-9"/>
          <w:sz w:val="28"/>
        </w:rPr>
        <w:t> </w:t>
      </w:r>
      <w:r>
        <w:rPr>
          <w:rFonts w:ascii="Century Gothic" w:hAnsi="Century Gothic"/>
          <w:color w:val="003C85"/>
          <w:sz w:val="28"/>
        </w:rPr>
        <w:t>limits</w:t>
      </w:r>
      <w:r>
        <w:rPr>
          <w:rFonts w:ascii="Century Gothic" w:hAnsi="Century Gothic"/>
          <w:color w:val="003C85"/>
          <w:spacing w:val="-10"/>
          <w:sz w:val="28"/>
        </w:rPr>
        <w:t> </w:t>
      </w:r>
      <w:r>
        <w:rPr>
          <w:rFonts w:ascii="Century Gothic" w:hAnsi="Century Gothic"/>
          <w:color w:val="003C85"/>
          <w:sz w:val="28"/>
        </w:rPr>
        <w:t>and part</w:t>
      </w:r>
      <w:r>
        <w:rPr>
          <w:rFonts w:ascii="Century Gothic" w:hAnsi="Century Gothic"/>
          <w:color w:val="003C85"/>
          <w:spacing w:val="-4"/>
          <w:sz w:val="28"/>
        </w:rPr>
        <w:t> </w:t>
      </w:r>
      <w:r>
        <w:rPr>
          <w:rFonts w:ascii="Century Gothic" w:hAnsi="Century Gothic"/>
          <w:color w:val="003C85"/>
          <w:sz w:val="28"/>
        </w:rPr>
        <w:t>5 </w:t>
      </w:r>
      <w:r>
        <w:rPr>
          <w:rFonts w:ascii="Century Gothic" w:hAnsi="Century Gothic"/>
          <w:color w:val="003C85"/>
          <w:spacing w:val="-2"/>
          <w:sz w:val="28"/>
        </w:rPr>
        <w:t>requirements</w:t>
      </w:r>
    </w:p>
    <w:p>
      <w:pPr>
        <w:pStyle w:val="ListParagraph"/>
        <w:numPr>
          <w:ilvl w:val="0"/>
          <w:numId w:val="2"/>
        </w:numPr>
        <w:tabs>
          <w:tab w:pos="1603" w:val="left" w:leader="none"/>
          <w:tab w:pos="1604" w:val="left" w:leader="none"/>
        </w:tabs>
        <w:spacing w:line="115" w:lineRule="auto" w:before="0" w:after="0"/>
        <w:ind w:left="1603" w:right="2821" w:hanging="540"/>
        <w:jc w:val="left"/>
        <w:rPr>
          <w:rFonts w:ascii="Century Gothic" w:hAnsi="Century Gothic"/>
          <w:sz w:val="28"/>
        </w:rPr>
      </w:pPr>
      <w:r>
        <w:rPr>
          <w:rFonts w:ascii="Century Gothic" w:hAnsi="Century Gothic"/>
          <w:color w:val="003C85"/>
          <w:sz w:val="28"/>
        </w:rPr>
        <w:t>Appendix</w:t>
      </w:r>
      <w:r>
        <w:rPr>
          <w:rFonts w:ascii="Century Gothic" w:hAnsi="Century Gothic"/>
          <w:color w:val="003C85"/>
          <w:spacing w:val="-12"/>
          <w:sz w:val="28"/>
        </w:rPr>
        <w:t> </w:t>
      </w:r>
      <w:r>
        <w:rPr>
          <w:rFonts w:ascii="Century Gothic" w:hAnsi="Century Gothic"/>
          <w:color w:val="003C85"/>
          <w:sz w:val="28"/>
        </w:rPr>
        <w:t>6</w:t>
      </w:r>
      <w:r>
        <w:rPr>
          <w:rFonts w:ascii="Century Gothic" w:hAnsi="Century Gothic"/>
          <w:color w:val="003C85"/>
          <w:spacing w:val="-5"/>
          <w:sz w:val="28"/>
        </w:rPr>
        <w:t> </w:t>
      </w:r>
      <w:r>
        <w:rPr>
          <w:rFonts w:ascii="Century Gothic" w:hAnsi="Century Gothic"/>
          <w:color w:val="003C85"/>
          <w:sz w:val="28"/>
        </w:rPr>
        <w:t>-</w:t>
      </w:r>
      <w:r>
        <w:rPr>
          <w:rFonts w:ascii="Century Gothic" w:hAnsi="Century Gothic"/>
          <w:color w:val="003C85"/>
          <w:spacing w:val="-5"/>
          <w:sz w:val="28"/>
        </w:rPr>
        <w:t> </w:t>
      </w:r>
      <w:r>
        <w:rPr>
          <w:rFonts w:ascii="Century Gothic" w:hAnsi="Century Gothic"/>
          <w:color w:val="003C85"/>
          <w:sz w:val="28"/>
        </w:rPr>
        <w:t>CHDO's</w:t>
      </w:r>
      <w:r>
        <w:rPr>
          <w:rFonts w:ascii="Century Gothic" w:hAnsi="Century Gothic"/>
          <w:color w:val="003C85"/>
          <w:spacing w:val="-8"/>
          <w:sz w:val="28"/>
        </w:rPr>
        <w:t> </w:t>
      </w:r>
      <w:r>
        <w:rPr>
          <w:rFonts w:ascii="Century Gothic" w:hAnsi="Century Gothic"/>
          <w:color w:val="003C85"/>
          <w:sz w:val="28"/>
        </w:rPr>
        <w:t>policy,</w:t>
      </w:r>
      <w:r>
        <w:rPr>
          <w:rFonts w:ascii="Century Gothic" w:hAnsi="Century Gothic"/>
          <w:color w:val="003C85"/>
          <w:spacing w:val="-10"/>
          <w:sz w:val="28"/>
        </w:rPr>
        <w:t> </w:t>
      </w:r>
      <w:r>
        <w:rPr>
          <w:rFonts w:ascii="Century Gothic" w:hAnsi="Century Gothic"/>
          <w:color w:val="003C85"/>
          <w:sz w:val="28"/>
        </w:rPr>
        <w:t>procedure</w:t>
      </w:r>
      <w:r>
        <w:rPr>
          <w:rFonts w:ascii="Century Gothic" w:hAnsi="Century Gothic"/>
          <w:color w:val="003C85"/>
          <w:spacing w:val="-10"/>
          <w:sz w:val="28"/>
        </w:rPr>
        <w:t> </w:t>
      </w:r>
      <w:r>
        <w:rPr>
          <w:rFonts w:ascii="Century Gothic" w:hAnsi="Century Gothic"/>
          <w:color w:val="003C85"/>
          <w:sz w:val="28"/>
        </w:rPr>
        <w:t>an </w:t>
      </w:r>
      <w:r>
        <w:rPr>
          <w:rFonts w:ascii="Century Gothic" w:hAnsi="Century Gothic"/>
          <w:color w:val="003C85"/>
          <w:spacing w:val="-2"/>
          <w:sz w:val="28"/>
        </w:rPr>
        <w:t>standards</w:t>
      </w:r>
    </w:p>
    <w:p>
      <w:pPr>
        <w:pStyle w:val="ListParagraph"/>
        <w:numPr>
          <w:ilvl w:val="0"/>
          <w:numId w:val="2"/>
        </w:numPr>
        <w:tabs>
          <w:tab w:pos="1603" w:val="left" w:leader="none"/>
          <w:tab w:pos="1604" w:val="left" w:leader="none"/>
        </w:tabs>
        <w:spacing w:line="115" w:lineRule="auto" w:before="0" w:after="0"/>
        <w:ind w:left="1603" w:right="2219" w:hanging="540"/>
        <w:jc w:val="left"/>
        <w:rPr>
          <w:rFonts w:ascii="Century Gothic" w:hAnsi="Century Gothic"/>
          <w:sz w:val="28"/>
        </w:rPr>
      </w:pPr>
      <w:r>
        <w:rPr>
          <w:rFonts w:ascii="Century Gothic" w:hAnsi="Century Gothic"/>
          <w:color w:val="003C85"/>
          <w:sz w:val="28"/>
        </w:rPr>
        <w:t>Appendix</w:t>
      </w:r>
      <w:r>
        <w:rPr>
          <w:rFonts w:ascii="Century Gothic" w:hAnsi="Century Gothic"/>
          <w:color w:val="003C85"/>
          <w:spacing w:val="-12"/>
          <w:sz w:val="28"/>
        </w:rPr>
        <w:t> </w:t>
      </w:r>
      <w:r>
        <w:rPr>
          <w:rFonts w:ascii="Century Gothic" w:hAnsi="Century Gothic"/>
          <w:color w:val="003C85"/>
          <w:sz w:val="28"/>
        </w:rPr>
        <w:t>7</w:t>
      </w:r>
      <w:r>
        <w:rPr>
          <w:rFonts w:ascii="Century Gothic" w:hAnsi="Century Gothic"/>
          <w:color w:val="003C85"/>
          <w:spacing w:val="-4"/>
          <w:sz w:val="28"/>
        </w:rPr>
        <w:t> </w:t>
      </w:r>
      <w:r>
        <w:rPr>
          <w:rFonts w:ascii="Century Gothic" w:hAnsi="Century Gothic"/>
          <w:color w:val="003C85"/>
          <w:sz w:val="28"/>
        </w:rPr>
        <w:t>-</w:t>
      </w:r>
      <w:r>
        <w:rPr>
          <w:rFonts w:ascii="Century Gothic" w:hAnsi="Century Gothic"/>
          <w:color w:val="003C85"/>
          <w:spacing w:val="-4"/>
          <w:sz w:val="28"/>
        </w:rPr>
        <w:t> </w:t>
      </w:r>
      <w:r>
        <w:rPr>
          <w:rFonts w:ascii="Century Gothic" w:hAnsi="Century Gothic"/>
          <w:color w:val="003C85"/>
          <w:sz w:val="28"/>
        </w:rPr>
        <w:t>recapture/resale</w:t>
      </w:r>
      <w:r>
        <w:rPr>
          <w:rFonts w:ascii="Century Gothic" w:hAnsi="Century Gothic"/>
          <w:color w:val="003C85"/>
          <w:spacing w:val="-7"/>
          <w:sz w:val="28"/>
        </w:rPr>
        <w:t> </w:t>
      </w:r>
      <w:r>
        <w:rPr>
          <w:rFonts w:ascii="Century Gothic" w:hAnsi="Century Gothic"/>
          <w:color w:val="003C85"/>
          <w:sz w:val="28"/>
        </w:rPr>
        <w:t>requirements</w:t>
      </w:r>
      <w:r>
        <w:rPr>
          <w:rFonts w:ascii="Century Gothic" w:hAnsi="Century Gothic"/>
          <w:color w:val="003C85"/>
          <w:spacing w:val="-12"/>
          <w:sz w:val="28"/>
        </w:rPr>
        <w:t> </w:t>
      </w:r>
      <w:r>
        <w:rPr>
          <w:rFonts w:ascii="Century Gothic" w:hAnsi="Century Gothic"/>
          <w:color w:val="003C85"/>
          <w:sz w:val="28"/>
        </w:rPr>
        <w:t>for homebuyers activities</w:t>
      </w:r>
    </w:p>
    <w:p>
      <w:pPr>
        <w:pStyle w:val="ListParagraph"/>
        <w:numPr>
          <w:ilvl w:val="0"/>
          <w:numId w:val="2"/>
        </w:numPr>
        <w:tabs>
          <w:tab w:pos="1603" w:val="left" w:leader="none"/>
          <w:tab w:pos="1604" w:val="left" w:leader="none"/>
        </w:tabs>
        <w:spacing w:line="115" w:lineRule="auto" w:before="0" w:after="0"/>
        <w:ind w:left="1603" w:right="2236" w:hanging="540"/>
        <w:jc w:val="left"/>
        <w:rPr>
          <w:rFonts w:ascii="Century Gothic" w:hAnsi="Century Gothic"/>
          <w:sz w:val="28"/>
        </w:rPr>
      </w:pPr>
      <w:r>
        <w:rPr>
          <w:rFonts w:ascii="Century Gothic" w:hAnsi="Century Gothic"/>
          <w:color w:val="003C85"/>
          <w:sz w:val="28"/>
        </w:rPr>
        <w:t>Appendix</w:t>
      </w:r>
      <w:r>
        <w:rPr>
          <w:rFonts w:ascii="Century Gothic" w:hAnsi="Century Gothic"/>
          <w:color w:val="003C85"/>
          <w:spacing w:val="-13"/>
          <w:sz w:val="28"/>
        </w:rPr>
        <w:t> </w:t>
      </w:r>
      <w:r>
        <w:rPr>
          <w:rFonts w:ascii="Century Gothic" w:hAnsi="Century Gothic"/>
          <w:color w:val="003C85"/>
          <w:sz w:val="28"/>
        </w:rPr>
        <w:t>9</w:t>
      </w:r>
      <w:r>
        <w:rPr>
          <w:rFonts w:ascii="Century Gothic" w:hAnsi="Century Gothic"/>
          <w:color w:val="003C85"/>
          <w:spacing w:val="-5"/>
          <w:sz w:val="28"/>
        </w:rPr>
        <w:t> </w:t>
      </w:r>
      <w:r>
        <w:rPr>
          <w:rFonts w:ascii="Century Gothic" w:hAnsi="Century Gothic"/>
          <w:color w:val="003C85"/>
          <w:sz w:val="28"/>
        </w:rPr>
        <w:t>-</w:t>
      </w:r>
      <w:r>
        <w:rPr>
          <w:rFonts w:ascii="Century Gothic" w:hAnsi="Century Gothic"/>
          <w:color w:val="003C85"/>
          <w:spacing w:val="-5"/>
          <w:sz w:val="28"/>
        </w:rPr>
        <w:t> </w:t>
      </w:r>
      <w:r>
        <w:rPr>
          <w:rFonts w:ascii="Century Gothic" w:hAnsi="Century Gothic"/>
          <w:color w:val="003C85"/>
          <w:sz w:val="28"/>
        </w:rPr>
        <w:t>residential</w:t>
      </w:r>
      <w:r>
        <w:rPr>
          <w:rFonts w:ascii="Century Gothic" w:hAnsi="Century Gothic"/>
          <w:color w:val="003C85"/>
          <w:spacing w:val="-11"/>
          <w:sz w:val="28"/>
        </w:rPr>
        <w:t> </w:t>
      </w:r>
      <w:r>
        <w:rPr>
          <w:rFonts w:ascii="Century Gothic" w:hAnsi="Century Gothic"/>
          <w:color w:val="003C85"/>
          <w:sz w:val="28"/>
        </w:rPr>
        <w:t>anti-displacement</w:t>
      </w:r>
      <w:r>
        <w:rPr>
          <w:rFonts w:ascii="Century Gothic" w:hAnsi="Century Gothic"/>
          <w:color w:val="003C85"/>
          <w:spacing w:val="-12"/>
          <w:sz w:val="28"/>
        </w:rPr>
        <w:t> </w:t>
      </w:r>
      <w:r>
        <w:rPr>
          <w:rFonts w:ascii="Century Gothic" w:hAnsi="Century Gothic"/>
          <w:color w:val="003C85"/>
          <w:sz w:val="28"/>
        </w:rPr>
        <w:t>and relocation assistance plan (RARAP)</w:t>
      </w:r>
    </w:p>
    <w:p>
      <w:pPr>
        <w:pStyle w:val="ListParagraph"/>
        <w:numPr>
          <w:ilvl w:val="0"/>
          <w:numId w:val="2"/>
        </w:numPr>
        <w:tabs>
          <w:tab w:pos="1603" w:val="left" w:leader="none"/>
          <w:tab w:pos="1604" w:val="left" w:leader="none"/>
        </w:tabs>
        <w:spacing w:line="217" w:lineRule="exact" w:before="0" w:after="0"/>
        <w:ind w:left="1603" w:right="0" w:hanging="541"/>
        <w:jc w:val="left"/>
        <w:rPr>
          <w:rFonts w:ascii="Century Gothic" w:hAnsi="Century Gothic"/>
          <w:sz w:val="28"/>
        </w:rPr>
      </w:pPr>
      <w:r>
        <w:rPr>
          <w:rFonts w:ascii="Century Gothic" w:hAnsi="Century Gothic"/>
          <w:color w:val="003C85"/>
          <w:sz w:val="28"/>
        </w:rPr>
        <w:t>Appendix</w:t>
      </w:r>
      <w:r>
        <w:rPr>
          <w:rFonts w:ascii="Century Gothic" w:hAnsi="Century Gothic"/>
          <w:color w:val="003C85"/>
          <w:spacing w:val="-13"/>
          <w:sz w:val="28"/>
        </w:rPr>
        <w:t> </w:t>
      </w:r>
      <w:r>
        <w:rPr>
          <w:rFonts w:ascii="Century Gothic" w:hAnsi="Century Gothic"/>
          <w:color w:val="003C85"/>
          <w:sz w:val="28"/>
        </w:rPr>
        <w:t>10</w:t>
      </w:r>
      <w:r>
        <w:rPr>
          <w:rFonts w:ascii="Century Gothic" w:hAnsi="Century Gothic"/>
          <w:color w:val="003C85"/>
          <w:spacing w:val="-2"/>
          <w:sz w:val="28"/>
        </w:rPr>
        <w:t> </w:t>
      </w:r>
      <w:r>
        <w:rPr>
          <w:rFonts w:ascii="Century Gothic" w:hAnsi="Century Gothic"/>
          <w:color w:val="003C85"/>
          <w:sz w:val="28"/>
        </w:rPr>
        <w:t>-</w:t>
      </w:r>
      <w:r>
        <w:rPr>
          <w:rFonts w:ascii="Century Gothic" w:hAnsi="Century Gothic"/>
          <w:color w:val="003C85"/>
          <w:spacing w:val="-3"/>
          <w:sz w:val="28"/>
        </w:rPr>
        <w:t> </w:t>
      </w:r>
      <w:r>
        <w:rPr>
          <w:rFonts w:ascii="Century Gothic" w:hAnsi="Century Gothic"/>
          <w:color w:val="003C85"/>
          <w:sz w:val="28"/>
        </w:rPr>
        <w:t>other</w:t>
      </w:r>
      <w:r>
        <w:rPr>
          <w:rFonts w:ascii="Century Gothic" w:hAnsi="Century Gothic"/>
          <w:color w:val="003C85"/>
          <w:spacing w:val="-3"/>
          <w:sz w:val="28"/>
        </w:rPr>
        <w:t> </w:t>
      </w:r>
      <w:r>
        <w:rPr>
          <w:rFonts w:ascii="Century Gothic" w:hAnsi="Century Gothic"/>
          <w:color w:val="003C85"/>
          <w:sz w:val="28"/>
        </w:rPr>
        <w:t>federal</w:t>
      </w:r>
      <w:r>
        <w:rPr>
          <w:rFonts w:ascii="Century Gothic" w:hAnsi="Century Gothic"/>
          <w:color w:val="003C85"/>
          <w:spacing w:val="-3"/>
          <w:sz w:val="28"/>
        </w:rPr>
        <w:t> </w:t>
      </w:r>
      <w:r>
        <w:rPr>
          <w:rFonts w:ascii="Century Gothic" w:hAnsi="Century Gothic"/>
          <w:color w:val="003C85"/>
          <w:spacing w:val="-2"/>
          <w:sz w:val="28"/>
        </w:rPr>
        <w:t>requirements</w:t>
      </w:r>
    </w:p>
    <w:p>
      <w:pPr>
        <w:pStyle w:val="ListParagraph"/>
        <w:numPr>
          <w:ilvl w:val="0"/>
          <w:numId w:val="2"/>
        </w:numPr>
        <w:tabs>
          <w:tab w:pos="1603" w:val="left" w:leader="none"/>
          <w:tab w:pos="1604" w:val="left" w:leader="none"/>
        </w:tabs>
        <w:spacing w:line="336" w:lineRule="exact" w:before="0" w:after="0"/>
        <w:ind w:left="1603" w:right="0" w:hanging="541"/>
        <w:jc w:val="left"/>
        <w:rPr>
          <w:rFonts w:ascii="Century Gothic" w:hAnsi="Century Gothic"/>
          <w:sz w:val="28"/>
        </w:rPr>
      </w:pPr>
      <w:r>
        <w:rPr>
          <w:rFonts w:ascii="Century Gothic" w:hAnsi="Century Gothic"/>
          <w:color w:val="003C85"/>
          <w:sz w:val="28"/>
        </w:rPr>
        <w:t>Appendix</w:t>
      </w:r>
      <w:r>
        <w:rPr>
          <w:rFonts w:ascii="Century Gothic" w:hAnsi="Century Gothic"/>
          <w:color w:val="003C85"/>
          <w:spacing w:val="-11"/>
          <w:sz w:val="28"/>
        </w:rPr>
        <w:t> </w:t>
      </w:r>
      <w:r>
        <w:rPr>
          <w:rFonts w:ascii="Century Gothic" w:hAnsi="Century Gothic"/>
          <w:color w:val="003C85"/>
          <w:sz w:val="28"/>
        </w:rPr>
        <w:t>11</w:t>
      </w:r>
      <w:r>
        <w:rPr>
          <w:rFonts w:ascii="Century Gothic" w:hAnsi="Century Gothic"/>
          <w:color w:val="003C85"/>
          <w:spacing w:val="-1"/>
          <w:sz w:val="28"/>
        </w:rPr>
        <w:t> </w:t>
      </w:r>
      <w:r>
        <w:rPr>
          <w:rFonts w:ascii="Century Gothic" w:hAnsi="Century Gothic"/>
          <w:color w:val="003C85"/>
          <w:sz w:val="28"/>
        </w:rPr>
        <w:t>- lead</w:t>
      </w:r>
      <w:r>
        <w:rPr>
          <w:rFonts w:ascii="Century Gothic" w:hAnsi="Century Gothic"/>
          <w:color w:val="003C85"/>
          <w:spacing w:val="-6"/>
          <w:sz w:val="28"/>
        </w:rPr>
        <w:t> </w:t>
      </w:r>
      <w:r>
        <w:rPr>
          <w:rFonts w:ascii="Century Gothic" w:hAnsi="Century Gothic"/>
          <w:color w:val="003C85"/>
          <w:sz w:val="28"/>
        </w:rPr>
        <w:t>based</w:t>
      </w:r>
      <w:r>
        <w:rPr>
          <w:rFonts w:ascii="Century Gothic" w:hAnsi="Century Gothic"/>
          <w:color w:val="003C85"/>
          <w:spacing w:val="-2"/>
          <w:sz w:val="28"/>
        </w:rPr>
        <w:t> </w:t>
      </w:r>
      <w:r>
        <w:rPr>
          <w:rFonts w:ascii="Century Gothic" w:hAnsi="Century Gothic"/>
          <w:color w:val="003C85"/>
          <w:sz w:val="28"/>
        </w:rPr>
        <w:t>paint</w:t>
      </w:r>
      <w:r>
        <w:rPr>
          <w:rFonts w:ascii="Century Gothic" w:hAnsi="Century Gothic"/>
          <w:color w:val="003C85"/>
          <w:spacing w:val="-7"/>
          <w:sz w:val="28"/>
        </w:rPr>
        <w:t> </w:t>
      </w:r>
      <w:r>
        <w:rPr>
          <w:rFonts w:ascii="Century Gothic" w:hAnsi="Century Gothic"/>
          <w:color w:val="003C85"/>
          <w:spacing w:val="-2"/>
          <w:sz w:val="28"/>
        </w:rPr>
        <w:t>requirements</w:t>
      </w:r>
    </w:p>
    <w:p>
      <w:pPr>
        <w:pStyle w:val="ListParagraph"/>
        <w:numPr>
          <w:ilvl w:val="0"/>
          <w:numId w:val="2"/>
        </w:numPr>
        <w:tabs>
          <w:tab w:pos="1603" w:val="left" w:leader="none"/>
          <w:tab w:pos="1604" w:val="left" w:leader="none"/>
        </w:tabs>
        <w:spacing w:line="336" w:lineRule="exact" w:before="0" w:after="0"/>
        <w:ind w:left="1603" w:right="0" w:hanging="541"/>
        <w:jc w:val="left"/>
        <w:rPr>
          <w:rFonts w:ascii="Century Gothic" w:hAnsi="Century Gothic"/>
          <w:sz w:val="28"/>
        </w:rPr>
      </w:pPr>
      <w:r>
        <w:rPr>
          <w:rFonts w:ascii="Century Gothic" w:hAnsi="Century Gothic"/>
          <w:color w:val="003C85"/>
          <w:sz w:val="28"/>
        </w:rPr>
        <w:t>Appendix</w:t>
      </w:r>
      <w:r>
        <w:rPr>
          <w:rFonts w:ascii="Century Gothic" w:hAnsi="Century Gothic"/>
          <w:color w:val="003C85"/>
          <w:spacing w:val="-10"/>
          <w:sz w:val="28"/>
        </w:rPr>
        <w:t> </w:t>
      </w:r>
      <w:r>
        <w:rPr>
          <w:rFonts w:ascii="Century Gothic" w:hAnsi="Century Gothic"/>
          <w:color w:val="003C85"/>
          <w:sz w:val="28"/>
        </w:rPr>
        <w:t>15</w:t>
      </w:r>
      <w:r>
        <w:rPr>
          <w:rFonts w:ascii="Century Gothic" w:hAnsi="Century Gothic"/>
          <w:color w:val="003C85"/>
          <w:spacing w:val="-2"/>
          <w:sz w:val="28"/>
        </w:rPr>
        <w:t> </w:t>
      </w:r>
      <w:r>
        <w:rPr>
          <w:rFonts w:ascii="Century Gothic" w:hAnsi="Century Gothic"/>
          <w:color w:val="003C85"/>
          <w:sz w:val="28"/>
        </w:rPr>
        <w:t>-</w:t>
      </w:r>
      <w:r>
        <w:rPr>
          <w:rFonts w:ascii="Century Gothic" w:hAnsi="Century Gothic"/>
          <w:color w:val="003C85"/>
          <w:spacing w:val="-2"/>
          <w:sz w:val="28"/>
        </w:rPr>
        <w:t> </w:t>
      </w:r>
      <w:r>
        <w:rPr>
          <w:rFonts w:ascii="Century Gothic" w:hAnsi="Century Gothic"/>
          <w:color w:val="003C85"/>
          <w:sz w:val="28"/>
        </w:rPr>
        <w:t>regulatory</w:t>
      </w:r>
      <w:r>
        <w:rPr>
          <w:rFonts w:ascii="Century Gothic" w:hAnsi="Century Gothic"/>
          <w:color w:val="003C85"/>
          <w:spacing w:val="-8"/>
          <w:sz w:val="28"/>
        </w:rPr>
        <w:t> </w:t>
      </w:r>
      <w:r>
        <w:rPr>
          <w:rFonts w:ascii="Century Gothic" w:hAnsi="Century Gothic"/>
          <w:color w:val="003C85"/>
          <w:spacing w:val="-2"/>
          <w:sz w:val="28"/>
        </w:rPr>
        <w:t>references</w:t>
      </w:r>
    </w:p>
    <w:p>
      <w:pPr>
        <w:pStyle w:val="ListParagraph"/>
        <w:numPr>
          <w:ilvl w:val="0"/>
          <w:numId w:val="2"/>
        </w:numPr>
        <w:tabs>
          <w:tab w:pos="1603" w:val="left" w:leader="none"/>
          <w:tab w:pos="1604" w:val="left" w:leader="none"/>
        </w:tabs>
        <w:spacing w:line="520" w:lineRule="exact" w:before="0" w:after="0"/>
        <w:ind w:left="1603" w:right="0" w:hanging="541"/>
        <w:jc w:val="left"/>
        <w:rPr>
          <w:rFonts w:ascii="Century Gothic" w:hAnsi="Century Gothic"/>
          <w:sz w:val="28"/>
        </w:rPr>
      </w:pPr>
      <w:r>
        <w:rPr>
          <w:rFonts w:ascii="Century Gothic" w:hAnsi="Century Gothic"/>
          <w:color w:val="003C85"/>
          <w:sz w:val="28"/>
        </w:rPr>
        <w:t>Appendix</w:t>
      </w:r>
      <w:r>
        <w:rPr>
          <w:rFonts w:ascii="Century Gothic" w:hAnsi="Century Gothic"/>
          <w:color w:val="003C85"/>
          <w:spacing w:val="-12"/>
          <w:sz w:val="28"/>
        </w:rPr>
        <w:t> </w:t>
      </w:r>
      <w:r>
        <w:rPr>
          <w:rFonts w:ascii="Century Gothic" w:hAnsi="Century Gothic"/>
          <w:color w:val="003C85"/>
          <w:sz w:val="28"/>
        </w:rPr>
        <w:t>20</w:t>
      </w:r>
      <w:r>
        <w:rPr>
          <w:rFonts w:ascii="Century Gothic" w:hAnsi="Century Gothic"/>
          <w:color w:val="003C85"/>
          <w:spacing w:val="-4"/>
          <w:sz w:val="28"/>
        </w:rPr>
        <w:t> </w:t>
      </w:r>
      <w:r>
        <w:rPr>
          <w:rFonts w:ascii="Century Gothic" w:hAnsi="Century Gothic"/>
          <w:color w:val="003C85"/>
          <w:sz w:val="28"/>
        </w:rPr>
        <w:t>-</w:t>
      </w:r>
      <w:r>
        <w:rPr>
          <w:rFonts w:ascii="Century Gothic" w:hAnsi="Century Gothic"/>
          <w:color w:val="003C85"/>
          <w:spacing w:val="-3"/>
          <w:sz w:val="28"/>
        </w:rPr>
        <w:t> </w:t>
      </w:r>
      <w:r>
        <w:rPr>
          <w:rFonts w:ascii="Century Gothic" w:hAnsi="Century Gothic"/>
          <w:color w:val="003C85"/>
          <w:sz w:val="28"/>
        </w:rPr>
        <w:t>interventions</w:t>
      </w:r>
      <w:r>
        <w:rPr>
          <w:rFonts w:ascii="Century Gothic" w:hAnsi="Century Gothic"/>
          <w:color w:val="003C85"/>
          <w:spacing w:val="-12"/>
          <w:sz w:val="28"/>
        </w:rPr>
        <w:t> </w:t>
      </w:r>
      <w:r>
        <w:rPr>
          <w:rFonts w:ascii="Century Gothic" w:hAnsi="Century Gothic"/>
          <w:color w:val="003C85"/>
          <w:sz w:val="28"/>
        </w:rPr>
        <w:t>by</w:t>
      </w:r>
      <w:r>
        <w:rPr>
          <w:rFonts w:ascii="Century Gothic" w:hAnsi="Century Gothic"/>
          <w:color w:val="003C85"/>
          <w:spacing w:val="-6"/>
          <w:sz w:val="28"/>
        </w:rPr>
        <w:t> </w:t>
      </w:r>
      <w:r>
        <w:rPr>
          <w:rFonts w:ascii="Century Gothic" w:hAnsi="Century Gothic"/>
          <w:color w:val="003C85"/>
          <w:sz w:val="28"/>
        </w:rPr>
        <w:t>strategy </w:t>
      </w:r>
      <w:r>
        <w:rPr>
          <w:rFonts w:ascii="Century Gothic" w:hAnsi="Century Gothic"/>
          <w:color w:val="003C85"/>
          <w:spacing w:val="-4"/>
          <w:sz w:val="28"/>
        </w:rPr>
        <w:t>area</w:t>
      </w:r>
    </w:p>
    <w:p>
      <w:pPr>
        <w:spacing w:after="0" w:line="520" w:lineRule="exact"/>
        <w:jc w:val="left"/>
        <w:rPr>
          <w:rFonts w:ascii="Century Gothic" w:hAnsi="Century Gothic"/>
          <w:sz w:val="28"/>
        </w:rPr>
        <w:sectPr>
          <w:type w:val="continuous"/>
          <w:pgSz w:w="19200" w:h="10800" w:orient="landscape"/>
          <w:pgMar w:top="0" w:bottom="0" w:left="0" w:right="0"/>
          <w:cols w:num="2" w:equalWidth="0">
            <w:col w:w="8963" w:space="40"/>
            <w:col w:w="10197"/>
          </w:cols>
        </w:sectPr>
      </w:pPr>
    </w:p>
    <w:p>
      <w:pPr>
        <w:pStyle w:val="BodyText"/>
        <w:rPr>
          <w:rFonts w:ascii="Century Gothic"/>
          <w:sz w:val="20"/>
        </w:rPr>
      </w:pPr>
      <w:r>
        <w:rPr/>
        <w:drawing>
          <wp:anchor distT="0" distB="0" distL="0" distR="0" allowOverlap="1" layoutInCell="1" locked="0" behindDoc="1" simplePos="0" relativeHeight="485572096">
            <wp:simplePos x="0" y="0"/>
            <wp:positionH relativeFrom="page">
              <wp:posOffset>0</wp:posOffset>
            </wp:positionH>
            <wp:positionV relativeFrom="page">
              <wp:posOffset>0</wp:posOffset>
            </wp:positionV>
            <wp:extent cx="12191998" cy="6754367"/>
            <wp:effectExtent l="0" t="0" r="0" b="0"/>
            <wp:wrapNone/>
            <wp:docPr id="9" name="image6.png"/>
            <wp:cNvGraphicFramePr>
              <a:graphicFrameLocks noChangeAspect="1"/>
            </wp:cNvGraphicFramePr>
            <a:graphic>
              <a:graphicData uri="http://schemas.openxmlformats.org/drawingml/2006/picture">
                <pic:pic>
                  <pic:nvPicPr>
                    <pic:cNvPr id="10" name="image6.png"/>
                    <pic:cNvPicPr/>
                  </pic:nvPicPr>
                  <pic:blipFill>
                    <a:blip r:embed="rId10" cstate="print"/>
                    <a:stretch>
                      <a:fillRect/>
                    </a:stretch>
                  </pic:blipFill>
                  <pic:spPr>
                    <a:xfrm>
                      <a:off x="0" y="0"/>
                      <a:ext cx="12191998" cy="6754367"/>
                    </a:xfrm>
                    <a:prstGeom prst="rect">
                      <a:avLst/>
                    </a:prstGeom>
                  </pic:spPr>
                </pic:pic>
              </a:graphicData>
            </a:graphic>
          </wp:anchor>
        </w:drawing>
      </w:r>
    </w:p>
    <w:p>
      <w:pPr>
        <w:pStyle w:val="BodyText"/>
        <w:spacing w:before="21"/>
        <w:rPr>
          <w:rFonts w:ascii="Century Gothic"/>
          <w:sz w:val="11"/>
        </w:rPr>
      </w:pPr>
    </w:p>
    <w:p>
      <w:pPr>
        <w:spacing w:before="27"/>
        <w:ind w:left="0" w:right="329" w:firstLine="0"/>
        <w:jc w:val="right"/>
        <w:rPr>
          <w:rFonts w:ascii="Calibri"/>
          <w:sz w:val="36"/>
        </w:rPr>
      </w:pPr>
      <w:r>
        <w:rPr>
          <w:rFonts w:ascii="Calibri"/>
          <w:color w:val="888888"/>
          <w:sz w:val="36"/>
        </w:rPr>
        <w:t>6</w:t>
      </w:r>
    </w:p>
    <w:p>
      <w:pPr>
        <w:spacing w:after="0"/>
        <w:jc w:val="right"/>
        <w:rPr>
          <w:rFonts w:ascii="Calibri"/>
          <w:sz w:val="36"/>
        </w:rPr>
        <w:sectPr>
          <w:type w:val="continuous"/>
          <w:pgSz w:w="19200" w:h="10800" w:orient="landscape"/>
          <w:pgMar w:top="0" w:bottom="0" w:left="0" w:right="0"/>
        </w:sectPr>
      </w:pPr>
    </w:p>
    <w:p>
      <w:pPr>
        <w:spacing w:line="1176" w:lineRule="exact" w:before="0"/>
        <w:ind w:left="1260" w:right="0" w:firstLine="0"/>
        <w:jc w:val="left"/>
        <w:rPr>
          <w:rFonts w:ascii="Century Gothic"/>
          <w:b/>
          <w:sz w:val="80"/>
        </w:rPr>
      </w:pPr>
      <w:r>
        <w:rPr/>
        <w:drawing>
          <wp:anchor distT="0" distB="0" distL="0" distR="0" allowOverlap="1" layoutInCell="1" locked="0" behindDoc="1" simplePos="0" relativeHeight="485572608">
            <wp:simplePos x="0" y="0"/>
            <wp:positionH relativeFrom="page">
              <wp:posOffset>0</wp:posOffset>
            </wp:positionH>
            <wp:positionV relativeFrom="page">
              <wp:posOffset>0</wp:posOffset>
            </wp:positionV>
            <wp:extent cx="12191998" cy="6754367"/>
            <wp:effectExtent l="0" t="0" r="0" b="0"/>
            <wp:wrapNone/>
            <wp:docPr id="11" name="image2.png"/>
            <wp:cNvGraphicFramePr>
              <a:graphicFrameLocks noChangeAspect="1"/>
            </wp:cNvGraphicFramePr>
            <a:graphic>
              <a:graphicData uri="http://schemas.openxmlformats.org/drawingml/2006/picture">
                <pic:pic>
                  <pic:nvPicPr>
                    <pic:cNvPr id="12" name="image2.png"/>
                    <pic:cNvPicPr/>
                  </pic:nvPicPr>
                  <pic:blipFill>
                    <a:blip r:embed="rId6" cstate="print"/>
                    <a:stretch>
                      <a:fillRect/>
                    </a:stretch>
                  </pic:blipFill>
                  <pic:spPr>
                    <a:xfrm>
                      <a:off x="0" y="0"/>
                      <a:ext cx="12191998" cy="6754367"/>
                    </a:xfrm>
                    <a:prstGeom prst="rect">
                      <a:avLst/>
                    </a:prstGeom>
                  </pic:spPr>
                </pic:pic>
              </a:graphicData>
            </a:graphic>
          </wp:anchor>
        </w:drawing>
      </w:r>
      <w:bookmarkStart w:name="Slide Number 7" w:id="8"/>
      <w:bookmarkEnd w:id="8"/>
      <w:r>
        <w:rPr/>
      </w:r>
      <w:r>
        <w:rPr>
          <w:rFonts w:ascii="Century Gothic"/>
          <w:b/>
          <w:color w:val="003E87"/>
          <w:sz w:val="80"/>
        </w:rPr>
        <w:t>Operational</w:t>
      </w:r>
      <w:r>
        <w:rPr>
          <w:rFonts w:ascii="Century Gothic"/>
          <w:b/>
          <w:color w:val="003E87"/>
          <w:spacing w:val="-47"/>
          <w:sz w:val="80"/>
        </w:rPr>
        <w:t> </w:t>
      </w:r>
      <w:r>
        <w:rPr>
          <w:rFonts w:ascii="Century Gothic"/>
          <w:b/>
          <w:color w:val="003E87"/>
          <w:spacing w:val="-2"/>
          <w:sz w:val="80"/>
        </w:rPr>
        <w:t>Process</w:t>
      </w:r>
    </w:p>
    <w:p>
      <w:pPr>
        <w:pStyle w:val="ListParagraph"/>
        <w:numPr>
          <w:ilvl w:val="0"/>
          <w:numId w:val="1"/>
        </w:numPr>
        <w:tabs>
          <w:tab w:pos="1622" w:val="left" w:leader="none"/>
        </w:tabs>
        <w:spacing w:line="91" w:lineRule="auto" w:before="856" w:after="0"/>
        <w:ind w:left="1621" w:right="2094" w:hanging="360"/>
        <w:jc w:val="left"/>
        <w:rPr>
          <w:color w:val="003E87"/>
          <w:sz w:val="72"/>
        </w:rPr>
      </w:pPr>
      <w:r>
        <w:rPr>
          <w:rFonts w:ascii="Century Gothic" w:hAnsi="Century Gothic"/>
          <w:color w:val="003E87"/>
          <w:sz w:val="72"/>
        </w:rPr>
        <w:t>Existing programs in the CHP will still be in operation as</w:t>
      </w:r>
      <w:r>
        <w:rPr>
          <w:rFonts w:ascii="Century Gothic" w:hAnsi="Century Gothic"/>
          <w:color w:val="003E87"/>
          <w:spacing w:val="-5"/>
          <w:sz w:val="72"/>
        </w:rPr>
        <w:t> </w:t>
      </w:r>
      <w:r>
        <w:rPr>
          <w:rFonts w:ascii="Century Gothic" w:hAnsi="Century Gothic"/>
          <w:color w:val="003E87"/>
          <w:sz w:val="72"/>
        </w:rPr>
        <w:t>the</w:t>
      </w:r>
      <w:r>
        <w:rPr>
          <w:rFonts w:ascii="Century Gothic" w:hAnsi="Century Gothic"/>
          <w:color w:val="003E87"/>
          <w:spacing w:val="-6"/>
          <w:sz w:val="72"/>
        </w:rPr>
        <w:t> </w:t>
      </w:r>
      <w:r>
        <w:rPr>
          <w:rFonts w:ascii="Century Gothic" w:hAnsi="Century Gothic"/>
          <w:color w:val="003E87"/>
          <w:sz w:val="72"/>
        </w:rPr>
        <w:t>DHRC</w:t>
      </w:r>
      <w:r>
        <w:rPr>
          <w:rFonts w:ascii="Century Gothic" w:hAnsi="Century Gothic"/>
          <w:color w:val="003E87"/>
          <w:spacing w:val="-4"/>
          <w:sz w:val="72"/>
        </w:rPr>
        <w:t> </w:t>
      </w:r>
      <w:r>
        <w:rPr>
          <w:rFonts w:ascii="Century Gothic" w:hAnsi="Century Gothic"/>
          <w:color w:val="003E87"/>
          <w:sz w:val="72"/>
        </w:rPr>
        <w:t>is</w:t>
      </w:r>
      <w:r>
        <w:rPr>
          <w:rFonts w:ascii="Century Gothic" w:hAnsi="Century Gothic"/>
          <w:color w:val="003E87"/>
          <w:spacing w:val="-5"/>
          <w:sz w:val="72"/>
        </w:rPr>
        <w:t> </w:t>
      </w:r>
      <w:r>
        <w:rPr>
          <w:rFonts w:ascii="Century Gothic" w:hAnsi="Century Gothic"/>
          <w:color w:val="003E87"/>
          <w:sz w:val="72"/>
        </w:rPr>
        <w:t>a</w:t>
      </w:r>
      <w:r>
        <w:rPr>
          <w:rFonts w:ascii="Century Gothic" w:hAnsi="Century Gothic"/>
          <w:color w:val="003E87"/>
          <w:spacing w:val="-4"/>
          <w:sz w:val="72"/>
        </w:rPr>
        <w:t> </w:t>
      </w:r>
      <w:r>
        <w:rPr>
          <w:rFonts w:ascii="Century Gothic" w:hAnsi="Century Gothic"/>
          <w:color w:val="003E87"/>
          <w:sz w:val="72"/>
        </w:rPr>
        <w:t>reformatting and name change of the CHP</w:t>
      </w:r>
    </w:p>
    <w:p>
      <w:pPr>
        <w:pStyle w:val="ListParagraph"/>
        <w:numPr>
          <w:ilvl w:val="1"/>
          <w:numId w:val="1"/>
        </w:numPr>
        <w:tabs>
          <w:tab w:pos="2342" w:val="left" w:leader="none"/>
        </w:tabs>
        <w:spacing w:line="91" w:lineRule="auto" w:before="119" w:after="0"/>
        <w:ind w:left="2341" w:right="2192" w:hanging="361"/>
        <w:jc w:val="left"/>
        <w:rPr>
          <w:color w:val="003E87"/>
          <w:sz w:val="64"/>
        </w:rPr>
      </w:pPr>
      <w:r>
        <w:rPr>
          <w:rFonts w:ascii="Century Gothic" w:hAnsi="Century Gothic"/>
          <w:color w:val="003E87"/>
          <w:sz w:val="64"/>
        </w:rPr>
        <w:t>All suggested amendments will include community engagement, and may include Committee</w:t>
      </w:r>
      <w:r>
        <w:rPr>
          <w:rFonts w:ascii="Century Gothic" w:hAnsi="Century Gothic"/>
          <w:color w:val="003E87"/>
          <w:spacing w:val="-6"/>
          <w:sz w:val="64"/>
        </w:rPr>
        <w:t> </w:t>
      </w:r>
      <w:r>
        <w:rPr>
          <w:rFonts w:ascii="Century Gothic" w:hAnsi="Century Gothic"/>
          <w:color w:val="003E87"/>
          <w:sz w:val="64"/>
        </w:rPr>
        <w:t>briefings</w:t>
      </w:r>
      <w:r>
        <w:rPr>
          <w:rFonts w:ascii="Century Gothic" w:hAnsi="Century Gothic"/>
          <w:color w:val="003E87"/>
          <w:spacing w:val="-11"/>
          <w:sz w:val="64"/>
        </w:rPr>
        <w:t> </w:t>
      </w:r>
      <w:r>
        <w:rPr>
          <w:rFonts w:ascii="Century Gothic" w:hAnsi="Century Gothic"/>
          <w:color w:val="003E87"/>
          <w:sz w:val="64"/>
        </w:rPr>
        <w:t>as</w:t>
      </w:r>
      <w:r>
        <w:rPr>
          <w:rFonts w:ascii="Century Gothic" w:hAnsi="Century Gothic"/>
          <w:color w:val="003E87"/>
          <w:spacing w:val="-7"/>
          <w:sz w:val="64"/>
        </w:rPr>
        <w:t> </w:t>
      </w:r>
      <w:r>
        <w:rPr>
          <w:rFonts w:ascii="Century Gothic" w:hAnsi="Century Gothic"/>
          <w:color w:val="003E87"/>
          <w:sz w:val="64"/>
        </w:rPr>
        <w:t>well</w:t>
      </w:r>
      <w:r>
        <w:rPr>
          <w:rFonts w:ascii="Century Gothic" w:hAnsi="Century Gothic"/>
          <w:color w:val="003E87"/>
          <w:spacing w:val="-9"/>
          <w:sz w:val="64"/>
        </w:rPr>
        <w:t> </w:t>
      </w:r>
      <w:r>
        <w:rPr>
          <w:rFonts w:ascii="Century Gothic" w:hAnsi="Century Gothic"/>
          <w:color w:val="003E87"/>
          <w:sz w:val="64"/>
        </w:rPr>
        <w:t>as</w:t>
      </w:r>
      <w:r>
        <w:rPr>
          <w:rFonts w:ascii="Century Gothic" w:hAnsi="Century Gothic"/>
          <w:color w:val="003E87"/>
          <w:spacing w:val="-7"/>
          <w:sz w:val="64"/>
        </w:rPr>
        <w:t> </w:t>
      </w:r>
      <w:r>
        <w:rPr>
          <w:rFonts w:ascii="Century Gothic" w:hAnsi="Century Gothic"/>
          <w:color w:val="003E87"/>
          <w:sz w:val="64"/>
        </w:rPr>
        <w:t>Friday</w:t>
      </w:r>
      <w:r>
        <w:rPr>
          <w:rFonts w:ascii="Century Gothic" w:hAnsi="Century Gothic"/>
          <w:color w:val="003E87"/>
          <w:spacing w:val="-5"/>
          <w:sz w:val="64"/>
        </w:rPr>
        <w:t> </w:t>
      </w:r>
      <w:r>
        <w:rPr>
          <w:rFonts w:ascii="Century Gothic" w:hAnsi="Century Gothic"/>
          <w:color w:val="003E87"/>
          <w:sz w:val="64"/>
        </w:rPr>
        <w:t>Memos</w:t>
      </w:r>
      <w:r>
        <w:rPr>
          <w:rFonts w:ascii="Century Gothic" w:hAnsi="Century Gothic"/>
          <w:color w:val="003E87"/>
          <w:spacing w:val="-9"/>
          <w:sz w:val="64"/>
        </w:rPr>
        <w:t> </w:t>
      </w:r>
      <w:r>
        <w:rPr>
          <w:rFonts w:ascii="Century Gothic" w:hAnsi="Century Gothic"/>
          <w:color w:val="003E87"/>
          <w:sz w:val="64"/>
        </w:rPr>
        <w:t>to inform City Council of changes to programs</w:t>
      </w:r>
    </w:p>
    <w:p>
      <w:pPr>
        <w:pStyle w:val="ListParagraph"/>
        <w:numPr>
          <w:ilvl w:val="0"/>
          <w:numId w:val="1"/>
        </w:numPr>
        <w:tabs>
          <w:tab w:pos="1622" w:val="left" w:leader="none"/>
        </w:tabs>
        <w:spacing w:line="91" w:lineRule="auto" w:before="209" w:after="0"/>
        <w:ind w:left="1621" w:right="2718" w:hanging="360"/>
        <w:jc w:val="left"/>
        <w:rPr>
          <w:color w:val="003E87"/>
          <w:sz w:val="72"/>
        </w:rPr>
      </w:pPr>
      <w:r>
        <w:rPr>
          <w:rFonts w:ascii="Century Gothic" w:hAnsi="Century Gothic"/>
          <w:color w:val="003E87"/>
          <w:sz w:val="72"/>
        </w:rPr>
        <w:t>All</w:t>
      </w:r>
      <w:r>
        <w:rPr>
          <w:rFonts w:ascii="Century Gothic" w:hAnsi="Century Gothic"/>
          <w:color w:val="003E87"/>
          <w:spacing w:val="-4"/>
          <w:sz w:val="72"/>
        </w:rPr>
        <w:t> </w:t>
      </w:r>
      <w:r>
        <w:rPr>
          <w:rFonts w:ascii="Century Gothic" w:hAnsi="Century Gothic"/>
          <w:color w:val="003E87"/>
          <w:sz w:val="72"/>
        </w:rPr>
        <w:t>new</w:t>
      </w:r>
      <w:r>
        <w:rPr>
          <w:rFonts w:ascii="Century Gothic" w:hAnsi="Century Gothic"/>
          <w:color w:val="003E87"/>
          <w:spacing w:val="-7"/>
          <w:sz w:val="72"/>
        </w:rPr>
        <w:t> </w:t>
      </w:r>
      <w:r>
        <w:rPr>
          <w:rFonts w:ascii="Century Gothic" w:hAnsi="Century Gothic"/>
          <w:color w:val="003E87"/>
          <w:sz w:val="72"/>
        </w:rPr>
        <w:t>programs</w:t>
      </w:r>
      <w:r>
        <w:rPr>
          <w:rFonts w:ascii="Century Gothic" w:hAnsi="Century Gothic"/>
          <w:color w:val="003E87"/>
          <w:spacing w:val="-1"/>
          <w:sz w:val="72"/>
        </w:rPr>
        <w:t> </w:t>
      </w:r>
      <w:r>
        <w:rPr>
          <w:rFonts w:ascii="Century Gothic" w:hAnsi="Century Gothic"/>
          <w:color w:val="003E87"/>
          <w:sz w:val="72"/>
        </w:rPr>
        <w:t>will</w:t>
      </w:r>
      <w:r>
        <w:rPr>
          <w:rFonts w:ascii="Century Gothic" w:hAnsi="Century Gothic"/>
          <w:color w:val="003E87"/>
          <w:spacing w:val="-2"/>
          <w:sz w:val="72"/>
        </w:rPr>
        <w:t> </w:t>
      </w:r>
      <w:r>
        <w:rPr>
          <w:rFonts w:ascii="Century Gothic" w:hAnsi="Century Gothic"/>
          <w:color w:val="003E87"/>
          <w:sz w:val="72"/>
        </w:rPr>
        <w:t>continue</w:t>
      </w:r>
      <w:r>
        <w:rPr>
          <w:rFonts w:ascii="Century Gothic" w:hAnsi="Century Gothic"/>
          <w:color w:val="003E87"/>
          <w:spacing w:val="-2"/>
          <w:sz w:val="72"/>
        </w:rPr>
        <w:t> </w:t>
      </w:r>
      <w:r>
        <w:rPr>
          <w:rFonts w:ascii="Century Gothic" w:hAnsi="Century Gothic"/>
          <w:color w:val="003E87"/>
          <w:sz w:val="72"/>
        </w:rPr>
        <w:t>to</w:t>
      </w:r>
      <w:r>
        <w:rPr>
          <w:rFonts w:ascii="Century Gothic" w:hAnsi="Century Gothic"/>
          <w:color w:val="003E87"/>
          <w:spacing w:val="-5"/>
          <w:sz w:val="72"/>
        </w:rPr>
        <w:t> </w:t>
      </w:r>
      <w:r>
        <w:rPr>
          <w:rFonts w:ascii="Century Gothic" w:hAnsi="Century Gothic"/>
          <w:color w:val="003E87"/>
          <w:sz w:val="72"/>
        </w:rPr>
        <w:t>seek</w:t>
      </w:r>
      <w:r>
        <w:rPr>
          <w:rFonts w:ascii="Century Gothic" w:hAnsi="Century Gothic"/>
          <w:color w:val="003E87"/>
          <w:spacing w:val="-3"/>
          <w:sz w:val="72"/>
        </w:rPr>
        <w:t> </w:t>
      </w:r>
      <w:r>
        <w:rPr>
          <w:rFonts w:ascii="Century Gothic" w:hAnsi="Century Gothic"/>
          <w:color w:val="003E87"/>
          <w:sz w:val="72"/>
        </w:rPr>
        <w:t>City Council authority</w:t>
      </w:r>
    </w:p>
    <w:p>
      <w:pPr>
        <w:pStyle w:val="BodyText"/>
        <w:rPr>
          <w:rFonts w:ascii="Century Gothic"/>
          <w:sz w:val="20"/>
        </w:rPr>
      </w:pPr>
    </w:p>
    <w:p>
      <w:pPr>
        <w:pStyle w:val="BodyText"/>
        <w:rPr>
          <w:rFonts w:ascii="Century Gothic"/>
          <w:sz w:val="20"/>
        </w:rPr>
      </w:pPr>
    </w:p>
    <w:p>
      <w:pPr>
        <w:pStyle w:val="BodyText"/>
        <w:spacing w:before="15"/>
        <w:rPr>
          <w:rFonts w:ascii="Century Gothic"/>
          <w:sz w:val="24"/>
        </w:rPr>
      </w:pPr>
    </w:p>
    <w:p>
      <w:pPr>
        <w:spacing w:before="28"/>
        <w:ind w:left="0" w:right="329" w:firstLine="0"/>
        <w:jc w:val="right"/>
        <w:rPr>
          <w:rFonts w:ascii="Calibri"/>
          <w:sz w:val="36"/>
        </w:rPr>
      </w:pPr>
      <w:r>
        <w:rPr>
          <w:rFonts w:ascii="Calibri"/>
          <w:color w:val="888888"/>
          <w:sz w:val="36"/>
        </w:rPr>
        <w:t>7</w:t>
      </w:r>
    </w:p>
    <w:p>
      <w:pPr>
        <w:spacing w:after="0"/>
        <w:jc w:val="right"/>
        <w:rPr>
          <w:rFonts w:ascii="Calibri"/>
          <w:sz w:val="36"/>
        </w:rPr>
        <w:sectPr>
          <w:pgSz w:w="19200" w:h="10800" w:orient="landscape"/>
          <w:pgMar w:top="340" w:bottom="0" w:left="0" w:right="0"/>
        </w:sectPr>
      </w:pPr>
    </w:p>
    <w:p>
      <w:pPr>
        <w:spacing w:line="980" w:lineRule="exact" w:before="0"/>
        <w:ind w:left="1260" w:right="0" w:firstLine="0"/>
        <w:jc w:val="left"/>
        <w:rPr>
          <w:rFonts w:ascii="Century Gothic"/>
          <w:b/>
          <w:sz w:val="62"/>
        </w:rPr>
      </w:pPr>
      <w:r>
        <w:rPr/>
        <w:pict>
          <v:group style="position:absolute;margin-left:0pt;margin-top:0pt;width:960pt;height:531.85pt;mso-position-horizontal-relative:page;mso-position-vertical-relative:page;z-index:-17743360" id="docshapegroup9" coordorigin="0,0" coordsize="19200,10637">
            <v:shape style="position:absolute;left:0;top:0;width:19200;height:10637" type="#_x0000_t75" id="docshape10" stroked="false">
              <v:imagedata r:id="rId10" o:title=""/>
            </v:shape>
            <v:shape style="position:absolute;left:3040;top:1579;width:12200;height:8292" type="#_x0000_t75" id="docshape11" stroked="false">
              <v:imagedata r:id="rId11" o:title=""/>
            </v:shape>
            <v:rect style="position:absolute;left:3960;top:4000;width:3560;height:466" id="docshape12" filled="true" fillcolor="#ff9f00" stroked="false">
              <v:fill type="solid"/>
            </v:rect>
            <v:shape style="position:absolute;left:10749;top:3496;width:3694;height:4690" id="docshape13" coordorigin="10750,3497" coordsize="3694,4690" path="m14443,4001l14050,4001,14050,3497,10750,3497,10750,8186,14050,8186,14050,5921,14443,5921,14443,4001xe" filled="true" fillcolor="#1f95f3" stroked="false">
              <v:path arrowok="t"/>
              <v:fill type="solid"/>
            </v:shape>
            <w10:wrap type="none"/>
          </v:group>
        </w:pict>
      </w:r>
      <w:bookmarkStart w:name="Slide Number 8" w:id="9"/>
      <w:bookmarkEnd w:id="9"/>
      <w:r>
        <w:rPr/>
      </w:r>
      <w:r>
        <w:rPr>
          <w:rFonts w:ascii="Century Gothic"/>
          <w:b/>
          <w:color w:val="003E87"/>
          <w:sz w:val="62"/>
        </w:rPr>
        <w:t>Dallas</w:t>
      </w:r>
      <w:r>
        <w:rPr>
          <w:rFonts w:ascii="Century Gothic"/>
          <w:b/>
          <w:color w:val="003E87"/>
          <w:spacing w:val="-26"/>
          <w:sz w:val="62"/>
        </w:rPr>
        <w:t> </w:t>
      </w:r>
      <w:r>
        <w:rPr>
          <w:rFonts w:ascii="Century Gothic"/>
          <w:b/>
          <w:color w:val="003E87"/>
          <w:sz w:val="62"/>
        </w:rPr>
        <w:t>Housing</w:t>
      </w:r>
      <w:r>
        <w:rPr>
          <w:rFonts w:ascii="Century Gothic"/>
          <w:b/>
          <w:color w:val="003E87"/>
          <w:spacing w:val="-24"/>
          <w:sz w:val="62"/>
        </w:rPr>
        <w:t> </w:t>
      </w:r>
      <w:r>
        <w:rPr>
          <w:rFonts w:ascii="Century Gothic"/>
          <w:b/>
          <w:color w:val="003E87"/>
          <w:sz w:val="62"/>
        </w:rPr>
        <w:t>Resource</w:t>
      </w:r>
      <w:r>
        <w:rPr>
          <w:rFonts w:ascii="Century Gothic"/>
          <w:b/>
          <w:color w:val="003E87"/>
          <w:spacing w:val="-24"/>
          <w:sz w:val="62"/>
        </w:rPr>
        <w:t> </w:t>
      </w:r>
      <w:r>
        <w:rPr>
          <w:rFonts w:ascii="Century Gothic"/>
          <w:b/>
          <w:color w:val="003E87"/>
          <w:sz w:val="62"/>
        </w:rPr>
        <w:t>Catalog</w:t>
      </w:r>
      <w:r>
        <w:rPr>
          <w:rFonts w:ascii="Century Gothic"/>
          <w:b/>
          <w:color w:val="003E87"/>
          <w:spacing w:val="-22"/>
          <w:sz w:val="62"/>
        </w:rPr>
        <w:t> </w:t>
      </w:r>
      <w:r>
        <w:rPr>
          <w:rFonts w:ascii="Century Gothic"/>
          <w:b/>
          <w:color w:val="003E87"/>
          <w:spacing w:val="-2"/>
          <w:sz w:val="62"/>
        </w:rPr>
        <w:t>Structure</w:t>
      </w: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spacing w:before="7"/>
        <w:rPr>
          <w:rFonts w:ascii="Century Gothic"/>
          <w:b/>
          <w:sz w:val="20"/>
        </w:rPr>
      </w:pPr>
    </w:p>
    <w:p>
      <w:pPr>
        <w:pStyle w:val="Heading2"/>
        <w:spacing w:before="37"/>
        <w:ind w:left="11035"/>
      </w:pPr>
      <w:r>
        <w:rPr/>
        <w:t>Organizing</w:t>
      </w:r>
      <w:r>
        <w:rPr>
          <w:spacing w:val="15"/>
        </w:rPr>
        <w:t> </w:t>
      </w:r>
      <w:r>
        <w:rPr>
          <w:spacing w:val="-2"/>
        </w:rPr>
        <w:t>Structure</w:t>
      </w:r>
    </w:p>
    <w:p>
      <w:pPr>
        <w:pStyle w:val="BodyText"/>
        <w:spacing w:before="8"/>
        <w:rPr>
          <w:b/>
          <w:sz w:val="25"/>
        </w:rPr>
      </w:pPr>
    </w:p>
    <w:p>
      <w:pPr>
        <w:pStyle w:val="ListParagraph"/>
        <w:numPr>
          <w:ilvl w:val="1"/>
          <w:numId w:val="1"/>
        </w:numPr>
        <w:tabs>
          <w:tab w:pos="11307" w:val="left" w:leader="none"/>
        </w:tabs>
        <w:spacing w:line="240" w:lineRule="auto" w:before="0" w:after="0"/>
        <w:ind w:left="11306" w:right="0" w:hanging="272"/>
        <w:jc w:val="left"/>
        <w:rPr>
          <w:sz w:val="24"/>
        </w:rPr>
      </w:pPr>
      <w:r>
        <w:rPr/>
        <w:pict>
          <v:rect style="position:absolute;margin-left:691.200012pt;margin-top:-5.716738pt;width:60pt;height:42.24pt;mso-position-horizontal-relative:page;mso-position-vertical-relative:paragraph;z-index:15733760" id="docshape14" filled="true" fillcolor="#1f95f3" stroked="false">
            <v:fill type="solid"/>
            <w10:wrap type="none"/>
          </v:rect>
        </w:pict>
      </w:r>
      <w:r>
        <w:rPr>
          <w:w w:val="90"/>
          <w:sz w:val="24"/>
        </w:rPr>
        <w:t>Homeowner</w:t>
      </w:r>
      <w:r>
        <w:rPr>
          <w:spacing w:val="26"/>
          <w:sz w:val="24"/>
        </w:rPr>
        <w:t> </w:t>
      </w:r>
      <w:r>
        <w:rPr>
          <w:spacing w:val="-2"/>
          <w:sz w:val="24"/>
        </w:rPr>
        <w:t>Programs</w:t>
      </w:r>
    </w:p>
    <w:p>
      <w:pPr>
        <w:pStyle w:val="ListParagraph"/>
        <w:numPr>
          <w:ilvl w:val="1"/>
          <w:numId w:val="1"/>
        </w:numPr>
        <w:tabs>
          <w:tab w:pos="11307" w:val="left" w:leader="none"/>
        </w:tabs>
        <w:spacing w:line="240" w:lineRule="auto" w:before="12" w:after="0"/>
        <w:ind w:left="11306" w:right="0" w:hanging="272"/>
        <w:jc w:val="left"/>
        <w:rPr>
          <w:sz w:val="24"/>
        </w:rPr>
      </w:pPr>
      <w:r>
        <w:rPr>
          <w:w w:val="90"/>
          <w:sz w:val="24"/>
        </w:rPr>
        <w:t>Developer</w:t>
      </w:r>
      <w:r>
        <w:rPr>
          <w:spacing w:val="21"/>
          <w:sz w:val="24"/>
        </w:rPr>
        <w:t> </w:t>
      </w:r>
      <w:r>
        <w:rPr>
          <w:spacing w:val="-2"/>
          <w:sz w:val="24"/>
        </w:rPr>
        <w:t>Programs</w:t>
      </w:r>
    </w:p>
    <w:p>
      <w:pPr>
        <w:pStyle w:val="ListParagraph"/>
        <w:numPr>
          <w:ilvl w:val="1"/>
          <w:numId w:val="1"/>
        </w:numPr>
        <w:tabs>
          <w:tab w:pos="11307" w:val="left" w:leader="none"/>
        </w:tabs>
        <w:spacing w:line="240" w:lineRule="auto" w:before="12" w:after="0"/>
        <w:ind w:left="11306" w:right="0" w:hanging="272"/>
        <w:jc w:val="left"/>
        <w:rPr>
          <w:sz w:val="24"/>
        </w:rPr>
      </w:pPr>
      <w:r>
        <w:rPr>
          <w:spacing w:val="-2"/>
          <w:sz w:val="24"/>
        </w:rPr>
        <w:t>Corporations</w:t>
      </w:r>
    </w:p>
    <w:p>
      <w:pPr>
        <w:pStyle w:val="ListParagraph"/>
        <w:numPr>
          <w:ilvl w:val="1"/>
          <w:numId w:val="1"/>
        </w:numPr>
        <w:tabs>
          <w:tab w:pos="11307" w:val="left" w:leader="none"/>
        </w:tabs>
        <w:spacing w:line="249" w:lineRule="auto" w:before="12" w:after="0"/>
        <w:ind w:left="11306" w:right="5601" w:hanging="272"/>
        <w:jc w:val="left"/>
        <w:rPr>
          <w:sz w:val="24"/>
        </w:rPr>
      </w:pPr>
      <w:r>
        <w:rPr>
          <w:spacing w:val="-8"/>
          <w:sz w:val="24"/>
        </w:rPr>
        <w:t>Compliance</w:t>
      </w:r>
      <w:r>
        <w:rPr>
          <w:spacing w:val="-9"/>
          <w:sz w:val="24"/>
        </w:rPr>
        <w:t> </w:t>
      </w:r>
      <w:r>
        <w:rPr>
          <w:spacing w:val="-8"/>
          <w:sz w:val="24"/>
        </w:rPr>
        <w:t>&amp;</w:t>
      </w:r>
      <w:r>
        <w:rPr>
          <w:spacing w:val="-9"/>
          <w:sz w:val="24"/>
        </w:rPr>
        <w:t> </w:t>
      </w:r>
      <w:r>
        <w:rPr>
          <w:spacing w:val="-8"/>
          <w:sz w:val="24"/>
        </w:rPr>
        <w:t>Funding</w:t>
      </w:r>
      <w:r>
        <w:rPr>
          <w:spacing w:val="-8"/>
          <w:sz w:val="24"/>
        </w:rPr>
        <w:t> </w:t>
      </w:r>
      <w:r>
        <w:rPr>
          <w:spacing w:val="-2"/>
          <w:sz w:val="24"/>
        </w:rPr>
        <w:t>Resources</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spacing w:before="147"/>
        <w:ind w:left="0" w:right="329" w:firstLine="0"/>
        <w:jc w:val="right"/>
        <w:rPr>
          <w:rFonts w:ascii="Calibri"/>
          <w:sz w:val="36"/>
        </w:rPr>
      </w:pPr>
      <w:r>
        <w:rPr>
          <w:rFonts w:ascii="Calibri"/>
          <w:color w:val="888888"/>
          <w:sz w:val="36"/>
        </w:rPr>
        <w:t>8</w:t>
      </w:r>
    </w:p>
    <w:p>
      <w:pPr>
        <w:spacing w:after="0"/>
        <w:jc w:val="right"/>
        <w:rPr>
          <w:rFonts w:ascii="Calibri"/>
          <w:sz w:val="36"/>
        </w:rPr>
        <w:sectPr>
          <w:pgSz w:w="19200" w:h="10800" w:orient="landscape"/>
          <w:pgMar w:top="220" w:bottom="0" w:left="0" w:right="0"/>
        </w:sectPr>
      </w:pPr>
    </w:p>
    <w:p>
      <w:pPr>
        <w:spacing w:line="1239" w:lineRule="exact" w:before="0"/>
        <w:ind w:left="1260" w:right="0" w:firstLine="0"/>
        <w:jc w:val="left"/>
        <w:rPr>
          <w:rFonts w:ascii="Century Gothic"/>
          <w:b/>
          <w:sz w:val="80"/>
        </w:rPr>
      </w:pPr>
      <w:r>
        <w:rPr/>
        <w:drawing>
          <wp:anchor distT="0" distB="0" distL="0" distR="0" allowOverlap="1" layoutInCell="1" locked="0" behindDoc="1" simplePos="0" relativeHeight="485574144">
            <wp:simplePos x="0" y="0"/>
            <wp:positionH relativeFrom="page">
              <wp:posOffset>0</wp:posOffset>
            </wp:positionH>
            <wp:positionV relativeFrom="page">
              <wp:posOffset>0</wp:posOffset>
            </wp:positionV>
            <wp:extent cx="12191998" cy="6754367"/>
            <wp:effectExtent l="0" t="0" r="0" b="0"/>
            <wp:wrapNone/>
            <wp:docPr id="13" name="image6.png"/>
            <wp:cNvGraphicFramePr>
              <a:graphicFrameLocks noChangeAspect="1"/>
            </wp:cNvGraphicFramePr>
            <a:graphic>
              <a:graphicData uri="http://schemas.openxmlformats.org/drawingml/2006/picture">
                <pic:pic>
                  <pic:nvPicPr>
                    <pic:cNvPr id="14" name="image6.png"/>
                    <pic:cNvPicPr/>
                  </pic:nvPicPr>
                  <pic:blipFill>
                    <a:blip r:embed="rId10" cstate="print"/>
                    <a:stretch>
                      <a:fillRect/>
                    </a:stretch>
                  </pic:blipFill>
                  <pic:spPr>
                    <a:xfrm>
                      <a:off x="0" y="0"/>
                      <a:ext cx="12191998" cy="6754367"/>
                    </a:xfrm>
                    <a:prstGeom prst="rect">
                      <a:avLst/>
                    </a:prstGeom>
                  </pic:spPr>
                </pic:pic>
              </a:graphicData>
            </a:graphic>
          </wp:anchor>
        </w:drawing>
      </w:r>
      <w:bookmarkStart w:name="Slide Number 9" w:id="10"/>
      <w:bookmarkEnd w:id="10"/>
      <w:r>
        <w:rPr/>
      </w:r>
      <w:r>
        <w:rPr>
          <w:rFonts w:ascii="Century Gothic"/>
          <w:b/>
          <w:color w:val="003E87"/>
          <w:sz w:val="80"/>
        </w:rPr>
        <w:t>Streamlined</w:t>
      </w:r>
      <w:r>
        <w:rPr>
          <w:rFonts w:ascii="Century Gothic"/>
          <w:b/>
          <w:color w:val="003E87"/>
          <w:spacing w:val="-47"/>
          <w:sz w:val="80"/>
        </w:rPr>
        <w:t> </w:t>
      </w:r>
      <w:r>
        <w:rPr>
          <w:rFonts w:ascii="Century Gothic"/>
          <w:b/>
          <w:color w:val="003E87"/>
          <w:spacing w:val="-2"/>
          <w:sz w:val="80"/>
        </w:rPr>
        <w:t>Opportunities</w:t>
      </w:r>
    </w:p>
    <w:p>
      <w:pPr>
        <w:pStyle w:val="BodyText"/>
        <w:spacing w:before="18"/>
        <w:rPr>
          <w:rFonts w:ascii="Century Gothic"/>
          <w:b/>
          <w:sz w:val="21"/>
        </w:rPr>
      </w:pPr>
    </w:p>
    <w:p>
      <w:pPr>
        <w:pStyle w:val="ListParagraph"/>
        <w:numPr>
          <w:ilvl w:val="0"/>
          <w:numId w:val="1"/>
        </w:numPr>
        <w:tabs>
          <w:tab w:pos="1666" w:val="left" w:leader="none"/>
        </w:tabs>
        <w:spacing w:line="586" w:lineRule="exact" w:before="0" w:after="0"/>
        <w:ind w:left="1665" w:right="0" w:hanging="361"/>
        <w:jc w:val="left"/>
        <w:rPr>
          <w:color w:val="003E87"/>
          <w:sz w:val="60"/>
        </w:rPr>
      </w:pPr>
      <w:r>
        <w:rPr>
          <w:rFonts w:ascii="Century Gothic" w:hAnsi="Century Gothic"/>
          <w:color w:val="003E87"/>
          <w:sz w:val="60"/>
        </w:rPr>
        <w:t>Streamline</w:t>
      </w:r>
      <w:r>
        <w:rPr>
          <w:rFonts w:ascii="Century Gothic" w:hAnsi="Century Gothic"/>
          <w:color w:val="003E87"/>
          <w:spacing w:val="-9"/>
          <w:sz w:val="60"/>
        </w:rPr>
        <w:t> </w:t>
      </w:r>
      <w:r>
        <w:rPr>
          <w:rFonts w:ascii="Century Gothic" w:hAnsi="Century Gothic"/>
          <w:color w:val="003E87"/>
          <w:sz w:val="60"/>
        </w:rPr>
        <w:t>processes</w:t>
      </w:r>
      <w:r>
        <w:rPr>
          <w:rFonts w:ascii="Century Gothic" w:hAnsi="Century Gothic"/>
          <w:color w:val="003E87"/>
          <w:spacing w:val="-5"/>
          <w:sz w:val="60"/>
        </w:rPr>
        <w:t> </w:t>
      </w:r>
      <w:r>
        <w:rPr>
          <w:rFonts w:ascii="Century Gothic" w:hAnsi="Century Gothic"/>
          <w:color w:val="003E87"/>
          <w:sz w:val="60"/>
        </w:rPr>
        <w:t>to</w:t>
      </w:r>
      <w:r>
        <w:rPr>
          <w:rFonts w:ascii="Century Gothic" w:hAnsi="Century Gothic"/>
          <w:color w:val="003E87"/>
          <w:spacing w:val="-8"/>
          <w:sz w:val="60"/>
        </w:rPr>
        <w:t> </w:t>
      </w:r>
      <w:r>
        <w:rPr>
          <w:rFonts w:ascii="Century Gothic" w:hAnsi="Century Gothic"/>
          <w:color w:val="003E87"/>
          <w:sz w:val="60"/>
        </w:rPr>
        <w:t>create</w:t>
      </w:r>
      <w:r>
        <w:rPr>
          <w:rFonts w:ascii="Century Gothic" w:hAnsi="Century Gothic"/>
          <w:color w:val="003E87"/>
          <w:spacing w:val="-7"/>
          <w:sz w:val="60"/>
        </w:rPr>
        <w:t> </w:t>
      </w:r>
      <w:r>
        <w:rPr>
          <w:rFonts w:ascii="Century Gothic" w:hAnsi="Century Gothic"/>
          <w:color w:val="003E87"/>
          <w:sz w:val="60"/>
        </w:rPr>
        <w:t>faster</w:t>
      </w:r>
      <w:r>
        <w:rPr>
          <w:rFonts w:ascii="Century Gothic" w:hAnsi="Century Gothic"/>
          <w:color w:val="003E87"/>
          <w:spacing w:val="-7"/>
          <w:sz w:val="60"/>
        </w:rPr>
        <w:t> </w:t>
      </w:r>
      <w:r>
        <w:rPr>
          <w:rFonts w:ascii="Century Gothic" w:hAnsi="Century Gothic"/>
          <w:color w:val="003E87"/>
          <w:spacing w:val="-2"/>
          <w:sz w:val="60"/>
        </w:rPr>
        <w:t>responses</w:t>
      </w:r>
    </w:p>
    <w:p>
      <w:pPr>
        <w:pStyle w:val="ListParagraph"/>
        <w:numPr>
          <w:ilvl w:val="1"/>
          <w:numId w:val="1"/>
        </w:numPr>
        <w:tabs>
          <w:tab w:pos="2386" w:val="left" w:leader="none"/>
        </w:tabs>
        <w:spacing w:line="738" w:lineRule="exact" w:before="0" w:after="0"/>
        <w:ind w:left="2385" w:right="0" w:hanging="361"/>
        <w:jc w:val="left"/>
        <w:rPr>
          <w:color w:val="003E87"/>
          <w:sz w:val="56"/>
        </w:rPr>
      </w:pPr>
      <w:r>
        <w:rPr>
          <w:rFonts w:ascii="Century Gothic" w:hAnsi="Century Gothic"/>
          <w:color w:val="003E87"/>
          <w:sz w:val="56"/>
        </w:rPr>
        <w:t>Program</w:t>
      </w:r>
      <w:r>
        <w:rPr>
          <w:rFonts w:ascii="Century Gothic" w:hAnsi="Century Gothic"/>
          <w:color w:val="003E87"/>
          <w:spacing w:val="-17"/>
          <w:sz w:val="56"/>
        </w:rPr>
        <w:t> </w:t>
      </w:r>
      <w:r>
        <w:rPr>
          <w:rFonts w:ascii="Century Gothic" w:hAnsi="Century Gothic"/>
          <w:color w:val="003E87"/>
          <w:sz w:val="56"/>
        </w:rPr>
        <w:t>terms</w:t>
      </w:r>
      <w:r>
        <w:rPr>
          <w:rFonts w:ascii="Century Gothic" w:hAnsi="Century Gothic"/>
          <w:color w:val="003E87"/>
          <w:spacing w:val="-17"/>
          <w:sz w:val="56"/>
        </w:rPr>
        <w:t> </w:t>
      </w:r>
      <w:r>
        <w:rPr>
          <w:rFonts w:ascii="Century Gothic" w:hAnsi="Century Gothic"/>
          <w:color w:val="003E87"/>
          <w:sz w:val="56"/>
        </w:rPr>
        <w:t>such</w:t>
      </w:r>
      <w:r>
        <w:rPr>
          <w:rFonts w:ascii="Century Gothic" w:hAnsi="Century Gothic"/>
          <w:color w:val="003E87"/>
          <w:spacing w:val="-17"/>
          <w:sz w:val="56"/>
        </w:rPr>
        <w:t> </w:t>
      </w:r>
      <w:r>
        <w:rPr>
          <w:rFonts w:ascii="Century Gothic" w:hAnsi="Century Gothic"/>
          <w:color w:val="003E87"/>
          <w:spacing w:val="-5"/>
          <w:sz w:val="56"/>
        </w:rPr>
        <w:t>as:</w:t>
      </w:r>
    </w:p>
    <w:p>
      <w:pPr>
        <w:pStyle w:val="ListParagraph"/>
        <w:numPr>
          <w:ilvl w:val="2"/>
          <w:numId w:val="1"/>
        </w:numPr>
        <w:tabs>
          <w:tab w:pos="3106" w:val="left" w:leader="none"/>
        </w:tabs>
        <w:spacing w:line="466" w:lineRule="exact" w:before="0" w:after="0"/>
        <w:ind w:left="3105" w:right="0" w:hanging="361"/>
        <w:jc w:val="left"/>
        <w:rPr>
          <w:rFonts w:ascii="Century Gothic" w:hAnsi="Century Gothic"/>
          <w:sz w:val="40"/>
        </w:rPr>
      </w:pPr>
      <w:r>
        <w:rPr>
          <w:rFonts w:ascii="Century Gothic" w:hAnsi="Century Gothic"/>
          <w:color w:val="003E87"/>
          <w:sz w:val="40"/>
        </w:rPr>
        <w:t>Market</w:t>
      </w:r>
      <w:r>
        <w:rPr>
          <w:rFonts w:ascii="Century Gothic" w:hAnsi="Century Gothic"/>
          <w:color w:val="003E87"/>
          <w:spacing w:val="-10"/>
          <w:sz w:val="40"/>
        </w:rPr>
        <w:t> </w:t>
      </w:r>
      <w:r>
        <w:rPr>
          <w:rFonts w:ascii="Century Gothic" w:hAnsi="Century Gothic"/>
          <w:color w:val="003E87"/>
          <w:spacing w:val="-2"/>
          <w:sz w:val="40"/>
        </w:rPr>
        <w:t>conditions</w:t>
      </w:r>
    </w:p>
    <w:p>
      <w:pPr>
        <w:pStyle w:val="ListParagraph"/>
        <w:numPr>
          <w:ilvl w:val="2"/>
          <w:numId w:val="1"/>
        </w:numPr>
        <w:tabs>
          <w:tab w:pos="3106" w:val="left" w:leader="none"/>
        </w:tabs>
        <w:spacing w:line="485" w:lineRule="exact" w:before="0" w:after="0"/>
        <w:ind w:left="3105" w:right="0" w:hanging="361"/>
        <w:jc w:val="left"/>
        <w:rPr>
          <w:rFonts w:ascii="Century Gothic" w:hAnsi="Century Gothic"/>
          <w:sz w:val="40"/>
        </w:rPr>
      </w:pPr>
      <w:r>
        <w:rPr>
          <w:rFonts w:ascii="Century Gothic" w:hAnsi="Century Gothic"/>
          <w:color w:val="003E87"/>
          <w:sz w:val="40"/>
        </w:rPr>
        <w:t>Loan</w:t>
      </w:r>
      <w:r>
        <w:rPr>
          <w:rFonts w:ascii="Century Gothic" w:hAnsi="Century Gothic"/>
          <w:color w:val="003E87"/>
          <w:spacing w:val="-3"/>
          <w:sz w:val="40"/>
        </w:rPr>
        <w:t> </w:t>
      </w:r>
      <w:r>
        <w:rPr>
          <w:rFonts w:ascii="Century Gothic" w:hAnsi="Century Gothic"/>
          <w:color w:val="003E87"/>
          <w:sz w:val="40"/>
        </w:rPr>
        <w:t>/</w:t>
      </w:r>
      <w:r>
        <w:rPr>
          <w:rFonts w:ascii="Century Gothic" w:hAnsi="Century Gothic"/>
          <w:color w:val="003E87"/>
          <w:spacing w:val="-3"/>
          <w:sz w:val="40"/>
        </w:rPr>
        <w:t> </w:t>
      </w:r>
      <w:r>
        <w:rPr>
          <w:rFonts w:ascii="Century Gothic" w:hAnsi="Century Gothic"/>
          <w:color w:val="003E87"/>
          <w:sz w:val="40"/>
        </w:rPr>
        <w:t>grant</w:t>
      </w:r>
      <w:r>
        <w:rPr>
          <w:rFonts w:ascii="Century Gothic" w:hAnsi="Century Gothic"/>
          <w:color w:val="003E87"/>
          <w:spacing w:val="-3"/>
          <w:sz w:val="40"/>
        </w:rPr>
        <w:t> </w:t>
      </w:r>
      <w:r>
        <w:rPr>
          <w:rFonts w:ascii="Century Gothic" w:hAnsi="Century Gothic"/>
          <w:color w:val="003E87"/>
          <w:spacing w:val="-2"/>
          <w:sz w:val="40"/>
        </w:rPr>
        <w:t>terms</w:t>
      </w:r>
    </w:p>
    <w:p>
      <w:pPr>
        <w:pStyle w:val="ListParagraph"/>
        <w:numPr>
          <w:ilvl w:val="2"/>
          <w:numId w:val="1"/>
        </w:numPr>
        <w:tabs>
          <w:tab w:pos="3106" w:val="left" w:leader="none"/>
        </w:tabs>
        <w:spacing w:line="484" w:lineRule="exact" w:before="0" w:after="0"/>
        <w:ind w:left="3105" w:right="0" w:hanging="361"/>
        <w:jc w:val="left"/>
        <w:rPr>
          <w:rFonts w:ascii="Century Gothic" w:hAnsi="Century Gothic"/>
          <w:sz w:val="40"/>
        </w:rPr>
      </w:pPr>
      <w:r>
        <w:rPr>
          <w:rFonts w:ascii="Century Gothic" w:hAnsi="Century Gothic"/>
          <w:color w:val="003E87"/>
          <w:sz w:val="40"/>
        </w:rPr>
        <w:t>Assistance</w:t>
      </w:r>
      <w:r>
        <w:rPr>
          <w:rFonts w:ascii="Century Gothic" w:hAnsi="Century Gothic"/>
          <w:color w:val="003E87"/>
          <w:spacing w:val="-11"/>
          <w:sz w:val="40"/>
        </w:rPr>
        <w:t> </w:t>
      </w:r>
      <w:r>
        <w:rPr>
          <w:rFonts w:ascii="Century Gothic" w:hAnsi="Century Gothic"/>
          <w:color w:val="003E87"/>
          <w:spacing w:val="-2"/>
          <w:sz w:val="40"/>
        </w:rPr>
        <w:t>amounts</w:t>
      </w:r>
    </w:p>
    <w:p>
      <w:pPr>
        <w:pStyle w:val="ListParagraph"/>
        <w:numPr>
          <w:ilvl w:val="2"/>
          <w:numId w:val="1"/>
        </w:numPr>
        <w:tabs>
          <w:tab w:pos="3106" w:val="left" w:leader="none"/>
        </w:tabs>
        <w:spacing w:line="484" w:lineRule="exact" w:before="0" w:after="0"/>
        <w:ind w:left="3105" w:right="0" w:hanging="361"/>
        <w:jc w:val="left"/>
        <w:rPr>
          <w:rFonts w:ascii="Century Gothic" w:hAnsi="Century Gothic"/>
          <w:sz w:val="40"/>
        </w:rPr>
      </w:pPr>
      <w:r>
        <w:rPr>
          <w:rFonts w:ascii="Century Gothic" w:hAnsi="Century Gothic"/>
          <w:color w:val="003E87"/>
          <w:sz w:val="40"/>
        </w:rPr>
        <w:t>Loan</w:t>
      </w:r>
      <w:r>
        <w:rPr>
          <w:rFonts w:ascii="Century Gothic" w:hAnsi="Century Gothic"/>
          <w:color w:val="003E87"/>
          <w:spacing w:val="-3"/>
          <w:sz w:val="40"/>
        </w:rPr>
        <w:t> </w:t>
      </w:r>
      <w:r>
        <w:rPr>
          <w:rFonts w:ascii="Century Gothic" w:hAnsi="Century Gothic"/>
          <w:color w:val="003E87"/>
          <w:spacing w:val="-2"/>
          <w:sz w:val="40"/>
        </w:rPr>
        <w:t>terms</w:t>
      </w:r>
    </w:p>
    <w:p>
      <w:pPr>
        <w:pStyle w:val="ListParagraph"/>
        <w:numPr>
          <w:ilvl w:val="2"/>
          <w:numId w:val="1"/>
        </w:numPr>
        <w:tabs>
          <w:tab w:pos="3106" w:val="left" w:leader="none"/>
        </w:tabs>
        <w:spacing w:line="379" w:lineRule="exact" w:before="0" w:after="0"/>
        <w:ind w:left="3105" w:right="0" w:hanging="361"/>
        <w:jc w:val="left"/>
        <w:rPr>
          <w:rFonts w:ascii="Century Gothic" w:hAnsi="Century Gothic"/>
          <w:sz w:val="40"/>
        </w:rPr>
      </w:pPr>
      <w:r>
        <w:rPr>
          <w:rFonts w:ascii="Century Gothic" w:hAnsi="Century Gothic"/>
          <w:color w:val="003E87"/>
          <w:sz w:val="40"/>
        </w:rPr>
        <w:t>Administration</w:t>
      </w:r>
      <w:r>
        <w:rPr>
          <w:rFonts w:ascii="Century Gothic" w:hAnsi="Century Gothic"/>
          <w:color w:val="003E87"/>
          <w:spacing w:val="-10"/>
          <w:sz w:val="40"/>
        </w:rPr>
        <w:t> </w:t>
      </w:r>
      <w:r>
        <w:rPr>
          <w:rFonts w:ascii="Century Gothic" w:hAnsi="Century Gothic"/>
          <w:color w:val="003E87"/>
          <w:sz w:val="40"/>
        </w:rPr>
        <w:t>of</w:t>
      </w:r>
      <w:r>
        <w:rPr>
          <w:rFonts w:ascii="Century Gothic" w:hAnsi="Century Gothic"/>
          <w:color w:val="003E87"/>
          <w:spacing w:val="-7"/>
          <w:sz w:val="40"/>
        </w:rPr>
        <w:t> </w:t>
      </w:r>
      <w:r>
        <w:rPr>
          <w:rFonts w:ascii="Century Gothic" w:hAnsi="Century Gothic"/>
          <w:color w:val="003E87"/>
          <w:spacing w:val="-2"/>
          <w:sz w:val="40"/>
        </w:rPr>
        <w:t>services</w:t>
      </w:r>
    </w:p>
    <w:p>
      <w:pPr>
        <w:pStyle w:val="ListParagraph"/>
        <w:numPr>
          <w:ilvl w:val="1"/>
          <w:numId w:val="1"/>
        </w:numPr>
        <w:tabs>
          <w:tab w:pos="2386" w:val="left" w:leader="none"/>
        </w:tabs>
        <w:spacing w:line="761" w:lineRule="exact" w:before="0" w:after="0"/>
        <w:ind w:left="2385" w:right="0" w:hanging="361"/>
        <w:jc w:val="left"/>
        <w:rPr>
          <w:color w:val="003E87"/>
          <w:sz w:val="56"/>
        </w:rPr>
      </w:pPr>
      <w:r>
        <w:rPr>
          <w:rFonts w:ascii="Century Gothic" w:hAnsi="Century Gothic"/>
          <w:color w:val="003E87"/>
          <w:sz w:val="56"/>
        </w:rPr>
        <w:t>Legal</w:t>
      </w:r>
      <w:r>
        <w:rPr>
          <w:rFonts w:ascii="Century Gothic" w:hAnsi="Century Gothic"/>
          <w:color w:val="003E87"/>
          <w:spacing w:val="-22"/>
          <w:sz w:val="56"/>
        </w:rPr>
        <w:t> </w:t>
      </w:r>
      <w:r>
        <w:rPr>
          <w:rFonts w:ascii="Century Gothic" w:hAnsi="Century Gothic"/>
          <w:color w:val="003E87"/>
          <w:sz w:val="56"/>
        </w:rPr>
        <w:t>agreements</w:t>
      </w:r>
      <w:r>
        <w:rPr>
          <w:rFonts w:ascii="Century Gothic" w:hAnsi="Century Gothic"/>
          <w:color w:val="003E87"/>
          <w:spacing w:val="-12"/>
          <w:sz w:val="56"/>
        </w:rPr>
        <w:t> </w:t>
      </w:r>
      <w:r>
        <w:rPr>
          <w:rFonts w:ascii="Century Gothic" w:hAnsi="Century Gothic"/>
          <w:color w:val="003E87"/>
          <w:sz w:val="56"/>
        </w:rPr>
        <w:t>for</w:t>
      </w:r>
      <w:r>
        <w:rPr>
          <w:rFonts w:ascii="Century Gothic" w:hAnsi="Century Gothic"/>
          <w:color w:val="003E87"/>
          <w:spacing w:val="-24"/>
          <w:sz w:val="56"/>
        </w:rPr>
        <w:t> </w:t>
      </w:r>
      <w:r>
        <w:rPr>
          <w:rFonts w:ascii="Century Gothic" w:hAnsi="Century Gothic"/>
          <w:color w:val="003E87"/>
          <w:sz w:val="56"/>
        </w:rPr>
        <w:t>smaller</w:t>
      </w:r>
      <w:r>
        <w:rPr>
          <w:rFonts w:ascii="Century Gothic" w:hAnsi="Century Gothic"/>
          <w:color w:val="003E87"/>
          <w:spacing w:val="-19"/>
          <w:sz w:val="56"/>
        </w:rPr>
        <w:t> </w:t>
      </w:r>
      <w:r>
        <w:rPr>
          <w:rFonts w:ascii="Century Gothic" w:hAnsi="Century Gothic"/>
          <w:color w:val="003E87"/>
          <w:spacing w:val="-2"/>
          <w:sz w:val="56"/>
        </w:rPr>
        <w:t>projects:</w:t>
      </w:r>
    </w:p>
    <w:p>
      <w:pPr>
        <w:pStyle w:val="ListParagraph"/>
        <w:numPr>
          <w:ilvl w:val="2"/>
          <w:numId w:val="1"/>
        </w:numPr>
        <w:tabs>
          <w:tab w:pos="3106" w:val="left" w:leader="none"/>
        </w:tabs>
        <w:spacing w:line="466" w:lineRule="exact" w:before="0" w:after="0"/>
        <w:ind w:left="3105" w:right="0" w:hanging="361"/>
        <w:jc w:val="left"/>
        <w:rPr>
          <w:rFonts w:ascii="Century Gothic" w:hAnsi="Century Gothic"/>
          <w:sz w:val="40"/>
        </w:rPr>
      </w:pPr>
      <w:r>
        <w:rPr>
          <w:rFonts w:ascii="Century Gothic" w:hAnsi="Century Gothic"/>
          <w:color w:val="003E87"/>
          <w:spacing w:val="-2"/>
          <w:sz w:val="40"/>
        </w:rPr>
        <w:t>Developers</w:t>
      </w:r>
    </w:p>
    <w:p>
      <w:pPr>
        <w:pStyle w:val="ListParagraph"/>
        <w:numPr>
          <w:ilvl w:val="2"/>
          <w:numId w:val="1"/>
        </w:numPr>
        <w:tabs>
          <w:tab w:pos="3106" w:val="left" w:leader="none"/>
        </w:tabs>
        <w:spacing w:line="485" w:lineRule="exact" w:before="0" w:after="0"/>
        <w:ind w:left="3105" w:right="0" w:hanging="361"/>
        <w:jc w:val="left"/>
        <w:rPr>
          <w:rFonts w:ascii="Century Gothic" w:hAnsi="Century Gothic"/>
          <w:sz w:val="40"/>
        </w:rPr>
      </w:pPr>
      <w:r>
        <w:rPr>
          <w:rFonts w:ascii="Century Gothic" w:hAnsi="Century Gothic"/>
          <w:color w:val="003E87"/>
          <w:spacing w:val="-2"/>
          <w:sz w:val="40"/>
        </w:rPr>
        <w:t>Subrecipients</w:t>
      </w:r>
    </w:p>
    <w:p>
      <w:pPr>
        <w:pStyle w:val="ListParagraph"/>
        <w:numPr>
          <w:ilvl w:val="2"/>
          <w:numId w:val="1"/>
        </w:numPr>
        <w:tabs>
          <w:tab w:pos="3106" w:val="left" w:leader="none"/>
        </w:tabs>
        <w:spacing w:line="379" w:lineRule="exact" w:before="0" w:after="0"/>
        <w:ind w:left="3105" w:right="0" w:hanging="361"/>
        <w:jc w:val="left"/>
        <w:rPr>
          <w:rFonts w:ascii="Century Gothic" w:hAnsi="Century Gothic"/>
          <w:sz w:val="40"/>
        </w:rPr>
      </w:pPr>
      <w:r>
        <w:rPr>
          <w:rFonts w:ascii="Century Gothic" w:hAnsi="Century Gothic"/>
          <w:color w:val="003E87"/>
          <w:sz w:val="40"/>
        </w:rPr>
        <w:t>Builders</w:t>
      </w:r>
      <w:r>
        <w:rPr>
          <w:rFonts w:ascii="Century Gothic" w:hAnsi="Century Gothic"/>
          <w:color w:val="003E87"/>
          <w:spacing w:val="-6"/>
          <w:sz w:val="40"/>
        </w:rPr>
        <w:t> </w:t>
      </w:r>
      <w:r>
        <w:rPr>
          <w:rFonts w:ascii="Century Gothic" w:hAnsi="Century Gothic"/>
          <w:color w:val="003E87"/>
          <w:sz w:val="40"/>
        </w:rPr>
        <w:t>/</w:t>
      </w:r>
      <w:r>
        <w:rPr>
          <w:rFonts w:ascii="Century Gothic" w:hAnsi="Century Gothic"/>
          <w:color w:val="003E87"/>
          <w:spacing w:val="-1"/>
          <w:sz w:val="40"/>
        </w:rPr>
        <w:t> </w:t>
      </w:r>
      <w:r>
        <w:rPr>
          <w:rFonts w:ascii="Century Gothic" w:hAnsi="Century Gothic"/>
          <w:color w:val="003E87"/>
          <w:spacing w:val="-2"/>
          <w:sz w:val="40"/>
        </w:rPr>
        <w:t>Contractors</w:t>
      </w:r>
    </w:p>
    <w:p>
      <w:pPr>
        <w:pStyle w:val="ListParagraph"/>
        <w:numPr>
          <w:ilvl w:val="1"/>
          <w:numId w:val="1"/>
        </w:numPr>
        <w:tabs>
          <w:tab w:pos="2386" w:val="left" w:leader="none"/>
        </w:tabs>
        <w:spacing w:line="761" w:lineRule="exact" w:before="0" w:after="0"/>
        <w:ind w:left="2385" w:right="0" w:hanging="361"/>
        <w:jc w:val="left"/>
        <w:rPr>
          <w:color w:val="003E87"/>
          <w:sz w:val="56"/>
        </w:rPr>
      </w:pPr>
      <w:r>
        <w:rPr>
          <w:rFonts w:ascii="Century Gothic" w:hAnsi="Century Gothic"/>
          <w:color w:val="003E87"/>
          <w:sz w:val="56"/>
        </w:rPr>
        <w:t>Programs</w:t>
      </w:r>
      <w:r>
        <w:rPr>
          <w:rFonts w:ascii="Century Gothic" w:hAnsi="Century Gothic"/>
          <w:color w:val="003E87"/>
          <w:spacing w:val="-17"/>
          <w:sz w:val="56"/>
        </w:rPr>
        <w:t> </w:t>
      </w:r>
      <w:r>
        <w:rPr>
          <w:rFonts w:ascii="Century Gothic" w:hAnsi="Century Gothic"/>
          <w:color w:val="003E87"/>
          <w:sz w:val="56"/>
        </w:rPr>
        <w:t>that</w:t>
      </w:r>
      <w:r>
        <w:rPr>
          <w:rFonts w:ascii="Century Gothic" w:hAnsi="Century Gothic"/>
          <w:color w:val="003E87"/>
          <w:spacing w:val="-15"/>
          <w:sz w:val="56"/>
        </w:rPr>
        <w:t> </w:t>
      </w:r>
      <w:r>
        <w:rPr>
          <w:rFonts w:ascii="Century Gothic" w:hAnsi="Century Gothic"/>
          <w:color w:val="003E87"/>
          <w:sz w:val="56"/>
        </w:rPr>
        <w:t>use</w:t>
      </w:r>
      <w:r>
        <w:rPr>
          <w:rFonts w:ascii="Century Gothic" w:hAnsi="Century Gothic"/>
          <w:color w:val="003E87"/>
          <w:spacing w:val="-16"/>
          <w:sz w:val="56"/>
        </w:rPr>
        <w:t> </w:t>
      </w:r>
      <w:r>
        <w:rPr>
          <w:rFonts w:ascii="Century Gothic" w:hAnsi="Century Gothic"/>
          <w:color w:val="003E87"/>
          <w:sz w:val="56"/>
        </w:rPr>
        <w:t>Administrative</w:t>
      </w:r>
      <w:r>
        <w:rPr>
          <w:rFonts w:ascii="Century Gothic" w:hAnsi="Century Gothic"/>
          <w:color w:val="003E87"/>
          <w:spacing w:val="-21"/>
          <w:sz w:val="56"/>
        </w:rPr>
        <w:t> </w:t>
      </w:r>
      <w:r>
        <w:rPr>
          <w:rFonts w:ascii="Century Gothic" w:hAnsi="Century Gothic"/>
          <w:color w:val="003E87"/>
          <w:sz w:val="56"/>
        </w:rPr>
        <w:t>Action</w:t>
      </w:r>
      <w:r>
        <w:rPr>
          <w:rFonts w:ascii="Century Gothic" w:hAnsi="Century Gothic"/>
          <w:color w:val="003E87"/>
          <w:spacing w:val="-16"/>
          <w:sz w:val="56"/>
        </w:rPr>
        <w:t> </w:t>
      </w:r>
      <w:r>
        <w:rPr>
          <w:rFonts w:ascii="Century Gothic" w:hAnsi="Century Gothic"/>
          <w:color w:val="003E87"/>
          <w:sz w:val="56"/>
        </w:rPr>
        <w:t>for</w:t>
      </w:r>
      <w:r>
        <w:rPr>
          <w:rFonts w:ascii="Century Gothic" w:hAnsi="Century Gothic"/>
          <w:color w:val="003E87"/>
          <w:spacing w:val="-19"/>
          <w:sz w:val="56"/>
        </w:rPr>
        <w:t> </w:t>
      </w:r>
      <w:r>
        <w:rPr>
          <w:rFonts w:ascii="Century Gothic" w:hAnsi="Century Gothic"/>
          <w:color w:val="003E87"/>
          <w:spacing w:val="-2"/>
          <w:sz w:val="56"/>
        </w:rPr>
        <w:t>contracts:</w:t>
      </w:r>
    </w:p>
    <w:p>
      <w:pPr>
        <w:pStyle w:val="ListParagraph"/>
        <w:numPr>
          <w:ilvl w:val="2"/>
          <w:numId w:val="1"/>
        </w:numPr>
        <w:tabs>
          <w:tab w:pos="3106" w:val="left" w:leader="none"/>
        </w:tabs>
        <w:spacing w:line="725" w:lineRule="exact" w:before="0" w:after="0"/>
        <w:ind w:left="3105" w:right="0" w:hanging="361"/>
        <w:jc w:val="left"/>
        <w:rPr>
          <w:rFonts w:ascii="Century Gothic" w:hAnsi="Century Gothic"/>
          <w:sz w:val="40"/>
        </w:rPr>
      </w:pPr>
      <w:r>
        <w:rPr>
          <w:rFonts w:ascii="Century Gothic" w:hAnsi="Century Gothic"/>
          <w:color w:val="003E87"/>
          <w:sz w:val="40"/>
        </w:rPr>
        <w:t>HIPP,</w:t>
      </w:r>
      <w:r>
        <w:rPr>
          <w:rFonts w:ascii="Century Gothic" w:hAnsi="Century Gothic"/>
          <w:color w:val="003E87"/>
          <w:spacing w:val="-8"/>
          <w:sz w:val="40"/>
        </w:rPr>
        <w:t> </w:t>
      </w:r>
      <w:r>
        <w:rPr>
          <w:rFonts w:ascii="Century Gothic" w:hAnsi="Century Gothic"/>
          <w:color w:val="003E87"/>
          <w:sz w:val="40"/>
        </w:rPr>
        <w:t>TRP,</w:t>
      </w:r>
      <w:r>
        <w:rPr>
          <w:rFonts w:ascii="Century Gothic" w:hAnsi="Century Gothic"/>
          <w:color w:val="003E87"/>
          <w:spacing w:val="-5"/>
          <w:sz w:val="40"/>
        </w:rPr>
        <w:t> </w:t>
      </w:r>
      <w:r>
        <w:rPr>
          <w:rFonts w:ascii="Century Gothic" w:hAnsi="Century Gothic"/>
          <w:color w:val="003E87"/>
          <w:sz w:val="40"/>
        </w:rPr>
        <w:t>DTF,</w:t>
      </w:r>
      <w:r>
        <w:rPr>
          <w:rFonts w:ascii="Century Gothic" w:hAnsi="Century Gothic"/>
          <w:color w:val="003E87"/>
          <w:spacing w:val="-3"/>
          <w:sz w:val="40"/>
        </w:rPr>
        <w:t> </w:t>
      </w:r>
      <w:r>
        <w:rPr>
          <w:rFonts w:ascii="Century Gothic" w:hAnsi="Century Gothic"/>
          <w:color w:val="003E87"/>
          <w:sz w:val="40"/>
        </w:rPr>
        <w:t>HHLR,</w:t>
      </w:r>
      <w:r>
        <w:rPr>
          <w:rFonts w:ascii="Century Gothic" w:hAnsi="Century Gothic"/>
          <w:color w:val="003E87"/>
          <w:spacing w:val="-6"/>
          <w:sz w:val="40"/>
        </w:rPr>
        <w:t> </w:t>
      </w:r>
      <w:r>
        <w:rPr>
          <w:rFonts w:ascii="Century Gothic" w:hAnsi="Century Gothic"/>
          <w:color w:val="003E87"/>
          <w:sz w:val="40"/>
        </w:rPr>
        <w:t>ARPA</w:t>
      </w:r>
      <w:r>
        <w:rPr>
          <w:rFonts w:ascii="Century Gothic" w:hAnsi="Century Gothic"/>
          <w:color w:val="003E87"/>
          <w:spacing w:val="-6"/>
          <w:sz w:val="40"/>
        </w:rPr>
        <w:t> </w:t>
      </w:r>
      <w:r>
        <w:rPr>
          <w:rFonts w:ascii="Century Gothic" w:hAnsi="Century Gothic"/>
          <w:color w:val="003E87"/>
          <w:sz w:val="40"/>
        </w:rPr>
        <w:t>NRP,</w:t>
      </w:r>
      <w:r>
        <w:rPr>
          <w:rFonts w:ascii="Century Gothic" w:hAnsi="Century Gothic"/>
          <w:color w:val="003E87"/>
          <w:spacing w:val="-5"/>
          <w:sz w:val="40"/>
        </w:rPr>
        <w:t> </w:t>
      </w:r>
      <w:r>
        <w:rPr>
          <w:rFonts w:ascii="Century Gothic" w:hAnsi="Century Gothic"/>
          <w:color w:val="003E87"/>
          <w:spacing w:val="-4"/>
          <w:sz w:val="40"/>
        </w:rPr>
        <w:t>DHAP</w:t>
      </w:r>
    </w:p>
    <w:p>
      <w:pPr>
        <w:pStyle w:val="BodyText"/>
        <w:rPr>
          <w:rFonts w:ascii="Century Gothic"/>
          <w:sz w:val="20"/>
        </w:rPr>
      </w:pPr>
    </w:p>
    <w:p>
      <w:pPr>
        <w:pStyle w:val="BodyText"/>
        <w:rPr>
          <w:rFonts w:ascii="Century Gothic"/>
          <w:sz w:val="15"/>
        </w:rPr>
      </w:pPr>
    </w:p>
    <w:p>
      <w:pPr>
        <w:spacing w:before="27"/>
        <w:ind w:left="0" w:right="329" w:firstLine="0"/>
        <w:jc w:val="right"/>
        <w:rPr>
          <w:rFonts w:ascii="Calibri"/>
          <w:sz w:val="36"/>
        </w:rPr>
      </w:pPr>
      <w:r>
        <w:rPr>
          <w:rFonts w:ascii="Calibri"/>
          <w:color w:val="888888"/>
          <w:sz w:val="36"/>
        </w:rPr>
        <w:t>9</w:t>
      </w:r>
    </w:p>
    <w:p>
      <w:pPr>
        <w:spacing w:after="0"/>
        <w:jc w:val="right"/>
        <w:rPr>
          <w:rFonts w:ascii="Calibri"/>
          <w:sz w:val="36"/>
        </w:rPr>
        <w:sectPr>
          <w:pgSz w:w="19200" w:h="10800" w:orient="landscape"/>
          <w:pgMar w:top="340" w:bottom="0" w:left="0" w:right="0"/>
        </w:sectPr>
      </w:pPr>
    </w:p>
    <w:p>
      <w:pPr>
        <w:spacing w:line="1239" w:lineRule="exact" w:before="0"/>
        <w:ind w:left="1260" w:right="0" w:firstLine="0"/>
        <w:jc w:val="left"/>
        <w:rPr>
          <w:rFonts w:ascii="Century Gothic"/>
          <w:b/>
          <w:sz w:val="80"/>
        </w:rPr>
      </w:pPr>
      <w:r>
        <w:rPr/>
        <w:drawing>
          <wp:anchor distT="0" distB="0" distL="0" distR="0" allowOverlap="1" layoutInCell="1" locked="0" behindDoc="1" simplePos="0" relativeHeight="485574656">
            <wp:simplePos x="0" y="0"/>
            <wp:positionH relativeFrom="page">
              <wp:posOffset>0</wp:posOffset>
            </wp:positionH>
            <wp:positionV relativeFrom="page">
              <wp:posOffset>0</wp:posOffset>
            </wp:positionV>
            <wp:extent cx="12191998" cy="6754367"/>
            <wp:effectExtent l="0" t="0" r="0" b="0"/>
            <wp:wrapNone/>
            <wp:docPr id="15" name="image6.png"/>
            <wp:cNvGraphicFramePr>
              <a:graphicFrameLocks noChangeAspect="1"/>
            </wp:cNvGraphicFramePr>
            <a:graphic>
              <a:graphicData uri="http://schemas.openxmlformats.org/drawingml/2006/picture">
                <pic:pic>
                  <pic:nvPicPr>
                    <pic:cNvPr id="16" name="image6.png"/>
                    <pic:cNvPicPr/>
                  </pic:nvPicPr>
                  <pic:blipFill>
                    <a:blip r:embed="rId10" cstate="print"/>
                    <a:stretch>
                      <a:fillRect/>
                    </a:stretch>
                  </pic:blipFill>
                  <pic:spPr>
                    <a:xfrm>
                      <a:off x="0" y="0"/>
                      <a:ext cx="12191998" cy="6754367"/>
                    </a:xfrm>
                    <a:prstGeom prst="rect">
                      <a:avLst/>
                    </a:prstGeom>
                  </pic:spPr>
                </pic:pic>
              </a:graphicData>
            </a:graphic>
          </wp:anchor>
        </w:drawing>
      </w:r>
      <w:bookmarkStart w:name="Slide Number 10" w:id="11"/>
      <w:bookmarkEnd w:id="11"/>
      <w:r>
        <w:rPr/>
      </w:r>
      <w:r>
        <w:rPr>
          <w:rFonts w:ascii="Century Gothic"/>
          <w:b/>
          <w:color w:val="003E87"/>
          <w:sz w:val="80"/>
        </w:rPr>
        <w:t>Community</w:t>
      </w:r>
      <w:r>
        <w:rPr>
          <w:rFonts w:ascii="Century Gothic"/>
          <w:b/>
          <w:color w:val="003E87"/>
          <w:spacing w:val="-39"/>
          <w:sz w:val="80"/>
        </w:rPr>
        <w:t> </w:t>
      </w:r>
      <w:r>
        <w:rPr>
          <w:rFonts w:ascii="Century Gothic"/>
          <w:b/>
          <w:color w:val="003E87"/>
          <w:spacing w:val="-2"/>
          <w:sz w:val="80"/>
        </w:rPr>
        <w:t>Engagement</w:t>
      </w:r>
    </w:p>
    <w:p>
      <w:pPr>
        <w:pStyle w:val="BodyText"/>
        <w:spacing w:before="14"/>
        <w:rPr>
          <w:rFonts w:ascii="Century Gothic"/>
          <w:b/>
          <w:sz w:val="20"/>
        </w:rPr>
      </w:pPr>
    </w:p>
    <w:p>
      <w:pPr>
        <w:pStyle w:val="ListParagraph"/>
        <w:numPr>
          <w:ilvl w:val="0"/>
          <w:numId w:val="1"/>
        </w:numPr>
        <w:tabs>
          <w:tab w:pos="1622" w:val="left" w:leader="none"/>
        </w:tabs>
        <w:spacing w:line="79" w:lineRule="auto" w:before="282" w:after="0"/>
        <w:ind w:left="1621" w:right="1490" w:hanging="361"/>
        <w:jc w:val="left"/>
        <w:rPr>
          <w:color w:val="003E87"/>
          <w:sz w:val="56"/>
        </w:rPr>
      </w:pPr>
      <w:r>
        <w:rPr>
          <w:rFonts w:ascii="Century Gothic" w:hAnsi="Century Gothic"/>
          <w:color w:val="003E87"/>
          <w:sz w:val="56"/>
        </w:rPr>
        <w:t>Engagement activities related to development and preservation activities</w:t>
      </w:r>
      <w:r>
        <w:rPr>
          <w:rFonts w:ascii="Century Gothic" w:hAnsi="Century Gothic"/>
          <w:color w:val="003E87"/>
          <w:spacing w:val="-8"/>
          <w:sz w:val="56"/>
        </w:rPr>
        <w:t> </w:t>
      </w:r>
      <w:r>
        <w:rPr>
          <w:rFonts w:ascii="Century Gothic" w:hAnsi="Century Gothic"/>
          <w:color w:val="003E87"/>
          <w:sz w:val="56"/>
        </w:rPr>
        <w:t>will</w:t>
      </w:r>
      <w:r>
        <w:rPr>
          <w:rFonts w:ascii="Century Gothic" w:hAnsi="Century Gothic"/>
          <w:color w:val="003E87"/>
          <w:spacing w:val="-8"/>
          <w:sz w:val="56"/>
        </w:rPr>
        <w:t> </w:t>
      </w:r>
      <w:r>
        <w:rPr>
          <w:rFonts w:ascii="Century Gothic" w:hAnsi="Century Gothic"/>
          <w:color w:val="003E87"/>
          <w:sz w:val="56"/>
        </w:rPr>
        <w:t>take</w:t>
      </w:r>
      <w:r>
        <w:rPr>
          <w:rFonts w:ascii="Century Gothic" w:hAnsi="Century Gothic"/>
          <w:color w:val="003E87"/>
          <w:spacing w:val="-6"/>
          <w:sz w:val="56"/>
        </w:rPr>
        <w:t> </w:t>
      </w:r>
      <w:r>
        <w:rPr>
          <w:rFonts w:ascii="Century Gothic" w:hAnsi="Century Gothic"/>
          <w:color w:val="003E87"/>
          <w:sz w:val="56"/>
        </w:rPr>
        <w:t>robust</w:t>
      </w:r>
      <w:r>
        <w:rPr>
          <w:rFonts w:ascii="Century Gothic" w:hAnsi="Century Gothic"/>
          <w:color w:val="003E87"/>
          <w:spacing w:val="-2"/>
          <w:sz w:val="56"/>
        </w:rPr>
        <w:t> </w:t>
      </w:r>
      <w:r>
        <w:rPr>
          <w:rFonts w:ascii="Century Gothic" w:hAnsi="Century Gothic"/>
          <w:color w:val="003E87"/>
          <w:sz w:val="56"/>
        </w:rPr>
        <w:t>engagement which</w:t>
      </w:r>
      <w:r>
        <w:rPr>
          <w:rFonts w:ascii="Century Gothic" w:hAnsi="Century Gothic"/>
          <w:color w:val="003E87"/>
          <w:spacing w:val="-5"/>
          <w:sz w:val="56"/>
        </w:rPr>
        <w:t> </w:t>
      </w:r>
      <w:r>
        <w:rPr>
          <w:rFonts w:ascii="Century Gothic" w:hAnsi="Century Gothic"/>
          <w:color w:val="003E87"/>
          <w:sz w:val="56"/>
        </w:rPr>
        <w:t>is outlined</w:t>
      </w:r>
      <w:r>
        <w:rPr>
          <w:rFonts w:ascii="Century Gothic" w:hAnsi="Century Gothic"/>
          <w:color w:val="003E87"/>
          <w:spacing w:val="-3"/>
          <w:sz w:val="56"/>
        </w:rPr>
        <w:t> </w:t>
      </w:r>
      <w:r>
        <w:rPr>
          <w:rFonts w:ascii="Century Gothic" w:hAnsi="Century Gothic"/>
          <w:color w:val="003E87"/>
          <w:sz w:val="56"/>
        </w:rPr>
        <w:t>in</w:t>
      </w:r>
      <w:r>
        <w:rPr>
          <w:rFonts w:ascii="Century Gothic" w:hAnsi="Century Gothic"/>
          <w:color w:val="003E87"/>
          <w:spacing w:val="-2"/>
          <w:sz w:val="56"/>
        </w:rPr>
        <w:t> </w:t>
      </w:r>
      <w:r>
        <w:rPr>
          <w:rFonts w:ascii="Century Gothic" w:hAnsi="Century Gothic"/>
          <w:color w:val="003E87"/>
          <w:sz w:val="56"/>
        </w:rPr>
        <w:t>the DHP33. Engagement is</w:t>
      </w:r>
      <w:r>
        <w:rPr>
          <w:rFonts w:ascii="Century Gothic" w:hAnsi="Century Gothic"/>
          <w:color w:val="003E87"/>
          <w:spacing w:val="-5"/>
          <w:sz w:val="56"/>
        </w:rPr>
        <w:t> </w:t>
      </w:r>
      <w:r>
        <w:rPr>
          <w:rFonts w:ascii="Century Gothic" w:hAnsi="Century Gothic"/>
          <w:color w:val="003E87"/>
          <w:sz w:val="56"/>
        </w:rPr>
        <w:t>not</w:t>
      </w:r>
      <w:r>
        <w:rPr>
          <w:rFonts w:ascii="Century Gothic" w:hAnsi="Century Gothic"/>
          <w:color w:val="003E87"/>
          <w:spacing w:val="-1"/>
          <w:sz w:val="56"/>
        </w:rPr>
        <w:t> </w:t>
      </w:r>
      <w:r>
        <w:rPr>
          <w:rFonts w:ascii="Century Gothic" w:hAnsi="Century Gothic"/>
          <w:color w:val="003E87"/>
          <w:sz w:val="56"/>
        </w:rPr>
        <w:t>a</w:t>
      </w:r>
      <w:r>
        <w:rPr>
          <w:rFonts w:ascii="Century Gothic" w:hAnsi="Century Gothic"/>
          <w:color w:val="003E87"/>
          <w:spacing w:val="-2"/>
          <w:sz w:val="56"/>
        </w:rPr>
        <w:t> </w:t>
      </w:r>
      <w:r>
        <w:rPr>
          <w:rFonts w:ascii="Century Gothic" w:hAnsi="Century Gothic"/>
          <w:color w:val="003E87"/>
          <w:sz w:val="56"/>
        </w:rPr>
        <w:t>one time</w:t>
      </w:r>
      <w:r>
        <w:rPr>
          <w:rFonts w:ascii="Century Gothic" w:hAnsi="Century Gothic"/>
          <w:color w:val="003E87"/>
          <w:spacing w:val="-5"/>
          <w:sz w:val="56"/>
        </w:rPr>
        <w:t> </w:t>
      </w:r>
      <w:r>
        <w:rPr>
          <w:rFonts w:ascii="Century Gothic" w:hAnsi="Century Gothic"/>
          <w:color w:val="003E87"/>
          <w:sz w:val="56"/>
        </w:rPr>
        <w:t>effort, rather it takes multiple frequent methods of connection and this may include but is not limited to:</w:t>
      </w:r>
    </w:p>
    <w:p>
      <w:pPr>
        <w:pStyle w:val="ListParagraph"/>
        <w:numPr>
          <w:ilvl w:val="1"/>
          <w:numId w:val="1"/>
        </w:numPr>
        <w:tabs>
          <w:tab w:pos="2342" w:val="left" w:leader="none"/>
        </w:tabs>
        <w:spacing w:line="333" w:lineRule="exact" w:before="0" w:after="0"/>
        <w:ind w:left="2341" w:right="0" w:hanging="361"/>
        <w:jc w:val="left"/>
        <w:rPr>
          <w:color w:val="003E87"/>
          <w:sz w:val="50"/>
        </w:rPr>
      </w:pPr>
      <w:r>
        <w:rPr>
          <w:rFonts w:ascii="Century Gothic" w:hAnsi="Century Gothic"/>
          <w:color w:val="003E87"/>
          <w:sz w:val="50"/>
        </w:rPr>
        <w:t>Dedicated</w:t>
      </w:r>
      <w:r>
        <w:rPr>
          <w:rFonts w:ascii="Century Gothic" w:hAnsi="Century Gothic"/>
          <w:color w:val="003E87"/>
          <w:spacing w:val="-26"/>
          <w:sz w:val="50"/>
        </w:rPr>
        <w:t> </w:t>
      </w:r>
      <w:r>
        <w:rPr>
          <w:rFonts w:ascii="Century Gothic" w:hAnsi="Century Gothic"/>
          <w:color w:val="003E87"/>
          <w:sz w:val="50"/>
        </w:rPr>
        <w:t>outreach</w:t>
      </w:r>
      <w:r>
        <w:rPr>
          <w:rFonts w:ascii="Century Gothic" w:hAnsi="Century Gothic"/>
          <w:color w:val="003E87"/>
          <w:spacing w:val="-24"/>
          <w:sz w:val="50"/>
        </w:rPr>
        <w:t> </w:t>
      </w:r>
      <w:r>
        <w:rPr>
          <w:rFonts w:ascii="Century Gothic" w:hAnsi="Century Gothic"/>
          <w:color w:val="003E87"/>
          <w:spacing w:val="-2"/>
          <w:sz w:val="50"/>
        </w:rPr>
        <w:t>staff</w:t>
      </w:r>
    </w:p>
    <w:p>
      <w:pPr>
        <w:pStyle w:val="ListParagraph"/>
        <w:numPr>
          <w:ilvl w:val="1"/>
          <w:numId w:val="1"/>
        </w:numPr>
        <w:tabs>
          <w:tab w:pos="2342" w:val="left" w:leader="none"/>
        </w:tabs>
        <w:spacing w:line="519" w:lineRule="exact" w:before="0" w:after="0"/>
        <w:ind w:left="2341" w:right="0" w:hanging="361"/>
        <w:jc w:val="left"/>
        <w:rPr>
          <w:color w:val="003E87"/>
          <w:sz w:val="50"/>
        </w:rPr>
      </w:pPr>
      <w:r>
        <w:rPr>
          <w:rFonts w:ascii="Century Gothic" w:hAnsi="Century Gothic"/>
          <w:color w:val="003E87"/>
          <w:sz w:val="50"/>
        </w:rPr>
        <w:t>HPTF</w:t>
      </w:r>
      <w:r>
        <w:rPr>
          <w:rFonts w:ascii="Century Gothic" w:hAnsi="Century Gothic"/>
          <w:color w:val="003E87"/>
          <w:spacing w:val="-14"/>
          <w:sz w:val="50"/>
        </w:rPr>
        <w:t> </w:t>
      </w:r>
      <w:r>
        <w:rPr>
          <w:rFonts w:ascii="Century Gothic" w:hAnsi="Century Gothic"/>
          <w:color w:val="003E87"/>
          <w:spacing w:val="-2"/>
          <w:sz w:val="50"/>
        </w:rPr>
        <w:t>meetings</w:t>
      </w:r>
    </w:p>
    <w:p>
      <w:pPr>
        <w:pStyle w:val="ListParagraph"/>
        <w:numPr>
          <w:ilvl w:val="1"/>
          <w:numId w:val="1"/>
        </w:numPr>
        <w:tabs>
          <w:tab w:pos="2342" w:val="left" w:leader="none"/>
        </w:tabs>
        <w:spacing w:line="519" w:lineRule="exact" w:before="0" w:after="0"/>
        <w:ind w:left="2341" w:right="0" w:hanging="361"/>
        <w:jc w:val="left"/>
        <w:rPr>
          <w:color w:val="003E87"/>
          <w:sz w:val="50"/>
        </w:rPr>
      </w:pPr>
      <w:r>
        <w:rPr>
          <w:rFonts w:ascii="Century Gothic" w:hAnsi="Century Gothic"/>
          <w:color w:val="003E87"/>
          <w:sz w:val="50"/>
        </w:rPr>
        <w:t>Committee</w:t>
      </w:r>
      <w:r>
        <w:rPr>
          <w:rFonts w:ascii="Century Gothic" w:hAnsi="Century Gothic"/>
          <w:color w:val="003E87"/>
          <w:spacing w:val="-12"/>
          <w:sz w:val="50"/>
        </w:rPr>
        <w:t> </w:t>
      </w:r>
      <w:r>
        <w:rPr>
          <w:rFonts w:ascii="Century Gothic" w:hAnsi="Century Gothic"/>
          <w:color w:val="003E87"/>
          <w:sz w:val="50"/>
        </w:rPr>
        <w:t>/</w:t>
      </w:r>
      <w:r>
        <w:rPr>
          <w:rFonts w:ascii="Century Gothic" w:hAnsi="Century Gothic"/>
          <w:color w:val="003E87"/>
          <w:spacing w:val="-22"/>
          <w:sz w:val="50"/>
        </w:rPr>
        <w:t> </w:t>
      </w:r>
      <w:r>
        <w:rPr>
          <w:rFonts w:ascii="Century Gothic" w:hAnsi="Century Gothic"/>
          <w:color w:val="003E87"/>
          <w:sz w:val="50"/>
        </w:rPr>
        <w:t>Council</w:t>
      </w:r>
      <w:r>
        <w:rPr>
          <w:rFonts w:ascii="Century Gothic" w:hAnsi="Century Gothic"/>
          <w:color w:val="003E87"/>
          <w:spacing w:val="-16"/>
          <w:sz w:val="50"/>
        </w:rPr>
        <w:t> </w:t>
      </w:r>
      <w:r>
        <w:rPr>
          <w:rFonts w:ascii="Century Gothic" w:hAnsi="Century Gothic"/>
          <w:color w:val="003E87"/>
          <w:spacing w:val="-2"/>
          <w:sz w:val="50"/>
        </w:rPr>
        <w:t>briefings</w:t>
      </w:r>
    </w:p>
    <w:p>
      <w:pPr>
        <w:pStyle w:val="ListParagraph"/>
        <w:numPr>
          <w:ilvl w:val="1"/>
          <w:numId w:val="1"/>
        </w:numPr>
        <w:tabs>
          <w:tab w:pos="2342" w:val="left" w:leader="none"/>
        </w:tabs>
        <w:spacing w:line="521" w:lineRule="exact" w:before="0" w:after="0"/>
        <w:ind w:left="2341" w:right="0" w:hanging="361"/>
        <w:jc w:val="left"/>
        <w:rPr>
          <w:color w:val="003E87"/>
          <w:sz w:val="50"/>
        </w:rPr>
      </w:pPr>
      <w:r>
        <w:rPr>
          <w:rFonts w:ascii="Century Gothic" w:hAnsi="Century Gothic"/>
          <w:color w:val="003E87"/>
          <w:sz w:val="50"/>
        </w:rPr>
        <w:t>Focus</w:t>
      </w:r>
      <w:r>
        <w:rPr>
          <w:rFonts w:ascii="Century Gothic" w:hAnsi="Century Gothic"/>
          <w:color w:val="003E87"/>
          <w:spacing w:val="-15"/>
          <w:sz w:val="50"/>
        </w:rPr>
        <w:t> </w:t>
      </w:r>
      <w:r>
        <w:rPr>
          <w:rFonts w:ascii="Century Gothic" w:hAnsi="Century Gothic"/>
          <w:color w:val="003E87"/>
          <w:spacing w:val="-2"/>
          <w:sz w:val="50"/>
        </w:rPr>
        <w:t>groups</w:t>
      </w:r>
    </w:p>
    <w:p>
      <w:pPr>
        <w:pStyle w:val="ListParagraph"/>
        <w:numPr>
          <w:ilvl w:val="1"/>
          <w:numId w:val="1"/>
        </w:numPr>
        <w:tabs>
          <w:tab w:pos="2342" w:val="left" w:leader="none"/>
        </w:tabs>
        <w:spacing w:line="519" w:lineRule="exact" w:before="0" w:after="0"/>
        <w:ind w:left="2341" w:right="0" w:hanging="361"/>
        <w:jc w:val="left"/>
        <w:rPr>
          <w:color w:val="003E87"/>
          <w:sz w:val="50"/>
        </w:rPr>
      </w:pPr>
      <w:r>
        <w:rPr>
          <w:rFonts w:ascii="Century Gothic" w:hAnsi="Century Gothic"/>
          <w:color w:val="003E87"/>
          <w:sz w:val="50"/>
        </w:rPr>
        <w:t>Community</w:t>
      </w:r>
      <w:r>
        <w:rPr>
          <w:rFonts w:ascii="Century Gothic" w:hAnsi="Century Gothic"/>
          <w:color w:val="003E87"/>
          <w:spacing w:val="-29"/>
          <w:sz w:val="50"/>
        </w:rPr>
        <w:t> </w:t>
      </w:r>
      <w:r>
        <w:rPr>
          <w:rFonts w:ascii="Century Gothic" w:hAnsi="Century Gothic"/>
          <w:color w:val="003E87"/>
          <w:spacing w:val="-2"/>
          <w:sz w:val="50"/>
        </w:rPr>
        <w:t>meetings</w:t>
      </w:r>
    </w:p>
    <w:p>
      <w:pPr>
        <w:pStyle w:val="ListParagraph"/>
        <w:numPr>
          <w:ilvl w:val="1"/>
          <w:numId w:val="1"/>
        </w:numPr>
        <w:tabs>
          <w:tab w:pos="2342" w:val="left" w:leader="none"/>
        </w:tabs>
        <w:spacing w:line="519" w:lineRule="exact" w:before="0" w:after="0"/>
        <w:ind w:left="2341" w:right="0" w:hanging="361"/>
        <w:jc w:val="left"/>
        <w:rPr>
          <w:color w:val="003E87"/>
          <w:sz w:val="50"/>
        </w:rPr>
      </w:pPr>
      <w:r>
        <w:rPr>
          <w:rFonts w:ascii="Century Gothic" w:hAnsi="Century Gothic"/>
          <w:color w:val="003E87"/>
          <w:spacing w:val="-2"/>
          <w:sz w:val="50"/>
        </w:rPr>
        <w:t>Surveys</w:t>
      </w:r>
    </w:p>
    <w:p>
      <w:pPr>
        <w:pStyle w:val="ListParagraph"/>
        <w:numPr>
          <w:ilvl w:val="1"/>
          <w:numId w:val="1"/>
        </w:numPr>
        <w:tabs>
          <w:tab w:pos="2342" w:val="left" w:leader="none"/>
        </w:tabs>
        <w:spacing w:line="521" w:lineRule="exact" w:before="0" w:after="0"/>
        <w:ind w:left="2341" w:right="0" w:hanging="361"/>
        <w:jc w:val="left"/>
        <w:rPr>
          <w:color w:val="003E87"/>
          <w:sz w:val="50"/>
        </w:rPr>
      </w:pPr>
      <w:r>
        <w:rPr>
          <w:rFonts w:ascii="Century Gothic" w:hAnsi="Century Gothic"/>
          <w:color w:val="003E87"/>
          <w:spacing w:val="-2"/>
          <w:sz w:val="50"/>
        </w:rPr>
        <w:t>Canvassing</w:t>
      </w:r>
    </w:p>
    <w:p>
      <w:pPr>
        <w:pStyle w:val="ListParagraph"/>
        <w:numPr>
          <w:ilvl w:val="1"/>
          <w:numId w:val="1"/>
        </w:numPr>
        <w:tabs>
          <w:tab w:pos="2342" w:val="left" w:leader="none"/>
        </w:tabs>
        <w:spacing w:line="888" w:lineRule="exact" w:before="0" w:after="0"/>
        <w:ind w:left="2341" w:right="0" w:hanging="361"/>
        <w:jc w:val="left"/>
        <w:rPr>
          <w:color w:val="003E87"/>
          <w:sz w:val="50"/>
        </w:rPr>
      </w:pPr>
      <w:r>
        <w:rPr>
          <w:rFonts w:ascii="Century Gothic" w:hAnsi="Century Gothic"/>
          <w:color w:val="003E87"/>
          <w:sz w:val="50"/>
        </w:rPr>
        <w:t>Combination</w:t>
      </w:r>
      <w:r>
        <w:rPr>
          <w:rFonts w:ascii="Century Gothic" w:hAnsi="Century Gothic"/>
          <w:color w:val="003E87"/>
          <w:spacing w:val="-16"/>
          <w:sz w:val="50"/>
        </w:rPr>
        <w:t> </w:t>
      </w:r>
      <w:r>
        <w:rPr>
          <w:rFonts w:ascii="Century Gothic" w:hAnsi="Century Gothic"/>
          <w:color w:val="003E87"/>
          <w:sz w:val="50"/>
        </w:rPr>
        <w:t>of</w:t>
      </w:r>
      <w:r>
        <w:rPr>
          <w:rFonts w:ascii="Century Gothic" w:hAnsi="Century Gothic"/>
          <w:color w:val="003E87"/>
          <w:spacing w:val="-21"/>
          <w:sz w:val="50"/>
        </w:rPr>
        <w:t> </w:t>
      </w:r>
      <w:r>
        <w:rPr>
          <w:rFonts w:ascii="Century Gothic" w:hAnsi="Century Gothic"/>
          <w:color w:val="003E87"/>
          <w:spacing w:val="-2"/>
          <w:sz w:val="50"/>
        </w:rPr>
        <w:t>everything</w:t>
      </w:r>
    </w:p>
    <w:p>
      <w:pPr>
        <w:pStyle w:val="BodyText"/>
        <w:rPr>
          <w:rFonts w:ascii="Century Gothic"/>
          <w:sz w:val="20"/>
        </w:rPr>
      </w:pPr>
    </w:p>
    <w:p>
      <w:pPr>
        <w:pStyle w:val="BodyText"/>
        <w:spacing w:before="7"/>
        <w:rPr>
          <w:rFonts w:ascii="Century Gothic"/>
          <w:sz w:val="26"/>
        </w:rPr>
      </w:pPr>
    </w:p>
    <w:p>
      <w:pPr>
        <w:spacing w:before="28"/>
        <w:ind w:left="0" w:right="329" w:firstLine="0"/>
        <w:jc w:val="right"/>
        <w:rPr>
          <w:rFonts w:ascii="Calibri"/>
          <w:sz w:val="36"/>
        </w:rPr>
      </w:pPr>
      <w:r>
        <w:rPr>
          <w:rFonts w:ascii="Calibri"/>
          <w:color w:val="888888"/>
          <w:spacing w:val="-5"/>
          <w:sz w:val="36"/>
        </w:rPr>
        <w:t>10</w:t>
      </w:r>
    </w:p>
    <w:p>
      <w:pPr>
        <w:spacing w:after="0"/>
        <w:jc w:val="right"/>
        <w:rPr>
          <w:rFonts w:ascii="Calibri"/>
          <w:sz w:val="36"/>
        </w:rPr>
        <w:sectPr>
          <w:pgSz w:w="19200" w:h="10800" w:orient="landscape"/>
          <w:pgMar w:top="340" w:bottom="0" w:left="0" w:right="0"/>
        </w:sectPr>
      </w:pPr>
    </w:p>
    <w:p>
      <w:pPr>
        <w:spacing w:line="1176" w:lineRule="exact" w:before="0"/>
        <w:ind w:left="1260" w:right="0" w:firstLine="0"/>
        <w:jc w:val="left"/>
        <w:rPr>
          <w:rFonts w:ascii="Century Gothic"/>
          <w:b/>
          <w:sz w:val="80"/>
        </w:rPr>
      </w:pPr>
      <w:r>
        <w:rPr/>
        <w:drawing>
          <wp:anchor distT="0" distB="0" distL="0" distR="0" allowOverlap="1" layoutInCell="1" locked="0" behindDoc="1" simplePos="0" relativeHeight="485575168">
            <wp:simplePos x="0" y="0"/>
            <wp:positionH relativeFrom="page">
              <wp:posOffset>0</wp:posOffset>
            </wp:positionH>
            <wp:positionV relativeFrom="page">
              <wp:posOffset>0</wp:posOffset>
            </wp:positionV>
            <wp:extent cx="12191998" cy="6754367"/>
            <wp:effectExtent l="0" t="0" r="0" b="0"/>
            <wp:wrapNone/>
            <wp:docPr id="17" name="image6.png"/>
            <wp:cNvGraphicFramePr>
              <a:graphicFrameLocks noChangeAspect="1"/>
            </wp:cNvGraphicFramePr>
            <a:graphic>
              <a:graphicData uri="http://schemas.openxmlformats.org/drawingml/2006/picture">
                <pic:pic>
                  <pic:nvPicPr>
                    <pic:cNvPr id="18" name="image6.png"/>
                    <pic:cNvPicPr/>
                  </pic:nvPicPr>
                  <pic:blipFill>
                    <a:blip r:embed="rId10" cstate="print"/>
                    <a:stretch>
                      <a:fillRect/>
                    </a:stretch>
                  </pic:blipFill>
                  <pic:spPr>
                    <a:xfrm>
                      <a:off x="0" y="0"/>
                      <a:ext cx="12191998" cy="6754367"/>
                    </a:xfrm>
                    <a:prstGeom prst="rect">
                      <a:avLst/>
                    </a:prstGeom>
                  </pic:spPr>
                </pic:pic>
              </a:graphicData>
            </a:graphic>
          </wp:anchor>
        </w:drawing>
      </w:r>
      <w:bookmarkStart w:name="Slide Number 11" w:id="12"/>
      <w:bookmarkEnd w:id="12"/>
      <w:r>
        <w:rPr/>
      </w:r>
      <w:r>
        <w:rPr>
          <w:rFonts w:ascii="Century Gothic"/>
          <w:b/>
          <w:color w:val="003E87"/>
          <w:sz w:val="80"/>
        </w:rPr>
        <w:t>SMARTIE</w:t>
      </w:r>
      <w:r>
        <w:rPr>
          <w:rFonts w:ascii="Century Gothic"/>
          <w:b/>
          <w:color w:val="003E87"/>
          <w:spacing w:val="-30"/>
          <w:sz w:val="80"/>
        </w:rPr>
        <w:t> </w:t>
      </w:r>
      <w:r>
        <w:rPr>
          <w:rFonts w:ascii="Century Gothic"/>
          <w:b/>
          <w:color w:val="003E87"/>
          <w:spacing w:val="-2"/>
          <w:sz w:val="80"/>
        </w:rPr>
        <w:t>Goals</w:t>
      </w:r>
    </w:p>
    <w:p>
      <w:pPr>
        <w:pStyle w:val="ListParagraph"/>
        <w:numPr>
          <w:ilvl w:val="0"/>
          <w:numId w:val="1"/>
        </w:numPr>
        <w:tabs>
          <w:tab w:pos="1622" w:val="left" w:leader="none"/>
        </w:tabs>
        <w:spacing w:line="91" w:lineRule="auto" w:before="856" w:after="0"/>
        <w:ind w:left="1620" w:right="2127" w:hanging="360"/>
        <w:jc w:val="left"/>
        <w:rPr>
          <w:color w:val="003E87"/>
          <w:sz w:val="72"/>
        </w:rPr>
      </w:pPr>
      <w:r>
        <w:rPr>
          <w:rFonts w:ascii="Century Gothic" w:hAnsi="Century Gothic"/>
          <w:color w:val="003E87"/>
          <w:sz w:val="72"/>
        </w:rPr>
        <w:t>Specific,</w:t>
      </w:r>
      <w:r>
        <w:rPr>
          <w:rFonts w:ascii="Century Gothic" w:hAnsi="Century Gothic"/>
          <w:color w:val="003E87"/>
          <w:spacing w:val="-13"/>
          <w:sz w:val="72"/>
        </w:rPr>
        <w:t> </w:t>
      </w:r>
      <w:r>
        <w:rPr>
          <w:rFonts w:ascii="Century Gothic" w:hAnsi="Century Gothic"/>
          <w:color w:val="003E87"/>
          <w:sz w:val="72"/>
        </w:rPr>
        <w:t>Measurable,</w:t>
      </w:r>
      <w:r>
        <w:rPr>
          <w:rFonts w:ascii="Century Gothic" w:hAnsi="Century Gothic"/>
          <w:color w:val="003E87"/>
          <w:spacing w:val="-8"/>
          <w:sz w:val="72"/>
        </w:rPr>
        <w:t> </w:t>
      </w:r>
      <w:r>
        <w:rPr>
          <w:rFonts w:ascii="Century Gothic" w:hAnsi="Century Gothic"/>
          <w:color w:val="003E87"/>
          <w:sz w:val="72"/>
        </w:rPr>
        <w:t>Achievable,</w:t>
      </w:r>
      <w:r>
        <w:rPr>
          <w:rFonts w:ascii="Century Gothic" w:hAnsi="Century Gothic"/>
          <w:color w:val="003E87"/>
          <w:spacing w:val="-11"/>
          <w:sz w:val="72"/>
        </w:rPr>
        <w:t> </w:t>
      </w:r>
      <w:r>
        <w:rPr>
          <w:rFonts w:ascii="Century Gothic" w:hAnsi="Century Gothic"/>
          <w:color w:val="003E87"/>
          <w:sz w:val="72"/>
        </w:rPr>
        <w:t>Relevant, Time-Bound, Inclusive, Equitable (SMARTIE) goals will be established as part of the implementation plan of the DHP33 that:</w:t>
      </w:r>
    </w:p>
    <w:p>
      <w:pPr>
        <w:pStyle w:val="ListParagraph"/>
        <w:numPr>
          <w:ilvl w:val="1"/>
          <w:numId w:val="1"/>
        </w:numPr>
        <w:tabs>
          <w:tab w:pos="2342" w:val="left" w:leader="none"/>
        </w:tabs>
        <w:spacing w:line="465" w:lineRule="exact" w:before="0" w:after="0"/>
        <w:ind w:left="2341" w:right="0" w:hanging="361"/>
        <w:jc w:val="left"/>
        <w:rPr>
          <w:color w:val="003E87"/>
          <w:sz w:val="64"/>
        </w:rPr>
      </w:pPr>
      <w:r>
        <w:rPr>
          <w:rFonts w:ascii="Century Gothic" w:hAnsi="Century Gothic"/>
          <w:color w:val="003E87"/>
          <w:sz w:val="64"/>
        </w:rPr>
        <w:t>are</w:t>
      </w:r>
      <w:r>
        <w:rPr>
          <w:rFonts w:ascii="Century Gothic" w:hAnsi="Century Gothic"/>
          <w:color w:val="003E87"/>
          <w:spacing w:val="-6"/>
          <w:sz w:val="64"/>
        </w:rPr>
        <w:t> </w:t>
      </w:r>
      <w:r>
        <w:rPr>
          <w:rFonts w:ascii="Century Gothic" w:hAnsi="Century Gothic"/>
          <w:color w:val="003E87"/>
          <w:sz w:val="64"/>
        </w:rPr>
        <w:t>program</w:t>
      </w:r>
      <w:r>
        <w:rPr>
          <w:rFonts w:ascii="Century Gothic" w:hAnsi="Century Gothic"/>
          <w:color w:val="003E87"/>
          <w:spacing w:val="-2"/>
          <w:sz w:val="64"/>
        </w:rPr>
        <w:t> specific</w:t>
      </w:r>
    </w:p>
    <w:p>
      <w:pPr>
        <w:pStyle w:val="ListParagraph"/>
        <w:numPr>
          <w:ilvl w:val="1"/>
          <w:numId w:val="1"/>
        </w:numPr>
        <w:tabs>
          <w:tab w:pos="2342" w:val="left" w:leader="none"/>
        </w:tabs>
        <w:spacing w:line="714" w:lineRule="exact" w:before="0" w:after="0"/>
        <w:ind w:left="2341" w:right="0" w:hanging="361"/>
        <w:jc w:val="left"/>
        <w:rPr>
          <w:color w:val="003E87"/>
          <w:sz w:val="64"/>
        </w:rPr>
      </w:pPr>
      <w:r>
        <w:rPr>
          <w:rFonts w:ascii="Century Gothic" w:hAnsi="Century Gothic"/>
          <w:color w:val="003E87"/>
          <w:sz w:val="64"/>
        </w:rPr>
        <w:t>align</w:t>
      </w:r>
      <w:r>
        <w:rPr>
          <w:rFonts w:ascii="Century Gothic" w:hAnsi="Century Gothic"/>
          <w:color w:val="003E87"/>
          <w:spacing w:val="-6"/>
          <w:sz w:val="64"/>
        </w:rPr>
        <w:t> </w:t>
      </w:r>
      <w:r>
        <w:rPr>
          <w:rFonts w:ascii="Century Gothic" w:hAnsi="Century Gothic"/>
          <w:color w:val="003E87"/>
          <w:sz w:val="64"/>
        </w:rPr>
        <w:t>and</w:t>
      </w:r>
      <w:r>
        <w:rPr>
          <w:rFonts w:ascii="Century Gothic" w:hAnsi="Century Gothic"/>
          <w:color w:val="003E87"/>
          <w:spacing w:val="-4"/>
          <w:sz w:val="64"/>
        </w:rPr>
        <w:t> </w:t>
      </w:r>
      <w:r>
        <w:rPr>
          <w:rFonts w:ascii="Century Gothic" w:hAnsi="Century Gothic"/>
          <w:color w:val="003E87"/>
          <w:sz w:val="64"/>
        </w:rPr>
        <w:t>achieve</w:t>
      </w:r>
      <w:r>
        <w:rPr>
          <w:rFonts w:ascii="Century Gothic" w:hAnsi="Century Gothic"/>
          <w:color w:val="003E87"/>
          <w:spacing w:val="-5"/>
          <w:sz w:val="64"/>
        </w:rPr>
        <w:t> </w:t>
      </w:r>
      <w:r>
        <w:rPr>
          <w:rFonts w:ascii="Century Gothic" w:hAnsi="Century Gothic"/>
          <w:color w:val="003E87"/>
          <w:sz w:val="64"/>
        </w:rPr>
        <w:t>the</w:t>
      </w:r>
      <w:r>
        <w:rPr>
          <w:rFonts w:ascii="Century Gothic" w:hAnsi="Century Gothic"/>
          <w:color w:val="003E87"/>
          <w:spacing w:val="-3"/>
          <w:sz w:val="64"/>
        </w:rPr>
        <w:t> </w:t>
      </w:r>
      <w:r>
        <w:rPr>
          <w:rFonts w:ascii="Century Gothic" w:hAnsi="Century Gothic"/>
          <w:color w:val="003E87"/>
          <w:sz w:val="64"/>
        </w:rPr>
        <w:t>goal</w:t>
      </w:r>
      <w:r>
        <w:rPr>
          <w:rFonts w:ascii="Century Gothic" w:hAnsi="Century Gothic"/>
          <w:color w:val="003E87"/>
          <w:spacing w:val="-5"/>
          <w:sz w:val="64"/>
        </w:rPr>
        <w:t> </w:t>
      </w:r>
      <w:r>
        <w:rPr>
          <w:rFonts w:ascii="Century Gothic" w:hAnsi="Century Gothic"/>
          <w:color w:val="003E87"/>
          <w:sz w:val="64"/>
        </w:rPr>
        <w:t>of</w:t>
      </w:r>
      <w:r>
        <w:rPr>
          <w:rFonts w:ascii="Century Gothic" w:hAnsi="Century Gothic"/>
          <w:color w:val="003E87"/>
          <w:spacing w:val="-1"/>
          <w:sz w:val="64"/>
        </w:rPr>
        <w:t> </w:t>
      </w:r>
      <w:r>
        <w:rPr>
          <w:rFonts w:ascii="Century Gothic" w:hAnsi="Century Gothic"/>
          <w:color w:val="003E87"/>
          <w:sz w:val="64"/>
        </w:rPr>
        <w:t>each</w:t>
      </w:r>
      <w:r>
        <w:rPr>
          <w:rFonts w:ascii="Century Gothic" w:hAnsi="Century Gothic"/>
          <w:color w:val="003E87"/>
          <w:spacing w:val="-6"/>
          <w:sz w:val="64"/>
        </w:rPr>
        <w:t> </w:t>
      </w:r>
      <w:r>
        <w:rPr>
          <w:rFonts w:ascii="Century Gothic" w:hAnsi="Century Gothic"/>
          <w:color w:val="003E87"/>
          <w:spacing w:val="-2"/>
          <w:sz w:val="64"/>
        </w:rPr>
        <w:t>Pillar</w:t>
      </w:r>
    </w:p>
    <w:p>
      <w:pPr>
        <w:pStyle w:val="ListParagraph"/>
        <w:numPr>
          <w:ilvl w:val="1"/>
          <w:numId w:val="1"/>
        </w:numPr>
        <w:tabs>
          <w:tab w:pos="2342" w:val="left" w:leader="none"/>
        </w:tabs>
        <w:spacing w:line="91" w:lineRule="auto" w:before="372" w:after="0"/>
        <w:ind w:left="2341" w:right="4614" w:hanging="361"/>
        <w:jc w:val="left"/>
        <w:rPr>
          <w:color w:val="003E87"/>
          <w:sz w:val="64"/>
        </w:rPr>
      </w:pPr>
      <w:r>
        <w:rPr>
          <w:rFonts w:ascii="Century Gothic" w:hAnsi="Century Gothic"/>
          <w:color w:val="003E87"/>
          <w:sz w:val="64"/>
        </w:rPr>
        <w:t>are</w:t>
      </w:r>
      <w:r>
        <w:rPr>
          <w:rFonts w:ascii="Century Gothic" w:hAnsi="Century Gothic"/>
          <w:color w:val="003E87"/>
          <w:spacing w:val="-6"/>
          <w:sz w:val="64"/>
        </w:rPr>
        <w:t> </w:t>
      </w:r>
      <w:r>
        <w:rPr>
          <w:rFonts w:ascii="Century Gothic" w:hAnsi="Century Gothic"/>
          <w:color w:val="003E87"/>
          <w:sz w:val="64"/>
        </w:rPr>
        <w:t>added</w:t>
      </w:r>
      <w:r>
        <w:rPr>
          <w:rFonts w:ascii="Century Gothic" w:hAnsi="Century Gothic"/>
          <w:color w:val="003E87"/>
          <w:spacing w:val="-12"/>
          <w:sz w:val="64"/>
        </w:rPr>
        <w:t> </w:t>
      </w:r>
      <w:r>
        <w:rPr>
          <w:rFonts w:ascii="Century Gothic" w:hAnsi="Century Gothic"/>
          <w:color w:val="003E87"/>
          <w:sz w:val="64"/>
        </w:rPr>
        <w:t>to</w:t>
      </w:r>
      <w:r>
        <w:rPr>
          <w:rFonts w:ascii="Century Gothic" w:hAnsi="Century Gothic"/>
          <w:color w:val="003E87"/>
          <w:spacing w:val="-2"/>
          <w:sz w:val="64"/>
        </w:rPr>
        <w:t> </w:t>
      </w:r>
      <w:r>
        <w:rPr>
          <w:rFonts w:ascii="Century Gothic" w:hAnsi="Century Gothic"/>
          <w:color w:val="003E87"/>
          <w:sz w:val="64"/>
        </w:rPr>
        <w:t>performance</w:t>
      </w:r>
      <w:r>
        <w:rPr>
          <w:rFonts w:ascii="Century Gothic" w:hAnsi="Century Gothic"/>
          <w:color w:val="003E87"/>
          <w:spacing w:val="-9"/>
          <w:sz w:val="64"/>
        </w:rPr>
        <w:t> </w:t>
      </w:r>
      <w:r>
        <w:rPr>
          <w:rFonts w:ascii="Century Gothic" w:hAnsi="Century Gothic"/>
          <w:color w:val="003E87"/>
          <w:sz w:val="64"/>
        </w:rPr>
        <w:t>reports</w:t>
      </w:r>
      <w:r>
        <w:rPr>
          <w:rFonts w:ascii="Century Gothic" w:hAnsi="Century Gothic"/>
          <w:color w:val="003E87"/>
          <w:spacing w:val="-7"/>
          <w:sz w:val="64"/>
        </w:rPr>
        <w:t> </w:t>
      </w:r>
      <w:r>
        <w:rPr>
          <w:rFonts w:ascii="Century Gothic" w:hAnsi="Century Gothic"/>
          <w:color w:val="003E87"/>
          <w:sz w:val="64"/>
        </w:rPr>
        <w:t>and </w:t>
      </w:r>
      <w:r>
        <w:rPr>
          <w:rFonts w:ascii="Century Gothic" w:hAnsi="Century Gothic"/>
          <w:color w:val="003E87"/>
          <w:spacing w:val="-2"/>
          <w:sz w:val="64"/>
        </w:rPr>
        <w:t>dashboard</w:t>
      </w:r>
    </w:p>
    <w:p>
      <w:pPr>
        <w:pStyle w:val="ListParagraph"/>
        <w:numPr>
          <w:ilvl w:val="1"/>
          <w:numId w:val="1"/>
        </w:numPr>
        <w:tabs>
          <w:tab w:pos="2342" w:val="left" w:leader="none"/>
        </w:tabs>
        <w:spacing w:line="898" w:lineRule="exact" w:before="0" w:after="0"/>
        <w:ind w:left="2341" w:right="0" w:hanging="361"/>
        <w:jc w:val="left"/>
        <w:rPr>
          <w:color w:val="003E87"/>
          <w:sz w:val="64"/>
        </w:rPr>
      </w:pPr>
      <w:r>
        <w:rPr>
          <w:rFonts w:ascii="Century Gothic" w:hAnsi="Century Gothic"/>
          <w:color w:val="003E87"/>
          <w:sz w:val="64"/>
        </w:rPr>
        <w:t>are</w:t>
      </w:r>
      <w:r>
        <w:rPr>
          <w:rFonts w:ascii="Century Gothic" w:hAnsi="Century Gothic"/>
          <w:color w:val="003E87"/>
          <w:spacing w:val="-7"/>
          <w:sz w:val="64"/>
        </w:rPr>
        <w:t> </w:t>
      </w:r>
      <w:r>
        <w:rPr>
          <w:rFonts w:ascii="Century Gothic" w:hAnsi="Century Gothic"/>
          <w:color w:val="003E87"/>
          <w:sz w:val="64"/>
        </w:rPr>
        <w:t>informed</w:t>
      </w:r>
      <w:r>
        <w:rPr>
          <w:rFonts w:ascii="Century Gothic" w:hAnsi="Century Gothic"/>
          <w:color w:val="003E87"/>
          <w:spacing w:val="-9"/>
          <w:sz w:val="64"/>
        </w:rPr>
        <w:t> </w:t>
      </w:r>
      <w:r>
        <w:rPr>
          <w:rFonts w:ascii="Century Gothic" w:hAnsi="Century Gothic"/>
          <w:color w:val="003E87"/>
          <w:sz w:val="64"/>
        </w:rPr>
        <w:t>by</w:t>
      </w:r>
      <w:r>
        <w:rPr>
          <w:rFonts w:ascii="Century Gothic" w:hAnsi="Century Gothic"/>
          <w:color w:val="003E87"/>
          <w:spacing w:val="-4"/>
          <w:sz w:val="64"/>
        </w:rPr>
        <w:t> </w:t>
      </w:r>
      <w:r>
        <w:rPr>
          <w:rFonts w:ascii="Century Gothic" w:hAnsi="Century Gothic"/>
          <w:color w:val="003E87"/>
          <w:sz w:val="64"/>
        </w:rPr>
        <w:t>engagement</w:t>
      </w:r>
      <w:r>
        <w:rPr>
          <w:rFonts w:ascii="Century Gothic" w:hAnsi="Century Gothic"/>
          <w:color w:val="003E87"/>
          <w:spacing w:val="-9"/>
          <w:sz w:val="64"/>
        </w:rPr>
        <w:t> </w:t>
      </w:r>
      <w:r>
        <w:rPr>
          <w:rFonts w:ascii="Century Gothic" w:hAnsi="Century Gothic"/>
          <w:color w:val="003E87"/>
          <w:spacing w:val="-2"/>
          <w:sz w:val="64"/>
        </w:rPr>
        <w:t>efforts</w:t>
      </w:r>
    </w:p>
    <w:p>
      <w:pPr>
        <w:pStyle w:val="BodyText"/>
        <w:rPr>
          <w:rFonts w:ascii="Century Gothic"/>
          <w:sz w:val="20"/>
        </w:rPr>
      </w:pPr>
    </w:p>
    <w:p>
      <w:pPr>
        <w:pStyle w:val="BodyText"/>
        <w:rPr>
          <w:rFonts w:ascii="Century Gothic"/>
          <w:sz w:val="20"/>
        </w:rPr>
      </w:pPr>
    </w:p>
    <w:p>
      <w:pPr>
        <w:pStyle w:val="BodyText"/>
        <w:spacing w:before="4"/>
        <w:rPr>
          <w:rFonts w:ascii="Century Gothic"/>
          <w:sz w:val="16"/>
        </w:rPr>
      </w:pPr>
    </w:p>
    <w:p>
      <w:pPr>
        <w:spacing w:before="27"/>
        <w:ind w:left="0" w:right="329" w:firstLine="0"/>
        <w:jc w:val="right"/>
        <w:rPr>
          <w:rFonts w:ascii="Calibri"/>
          <w:sz w:val="36"/>
        </w:rPr>
      </w:pPr>
      <w:r>
        <w:rPr>
          <w:rFonts w:ascii="Calibri"/>
          <w:color w:val="888888"/>
          <w:spacing w:val="-5"/>
          <w:sz w:val="36"/>
        </w:rPr>
        <w:t>11</w:t>
      </w:r>
    </w:p>
    <w:p>
      <w:pPr>
        <w:spacing w:after="0"/>
        <w:jc w:val="right"/>
        <w:rPr>
          <w:rFonts w:ascii="Calibri"/>
          <w:sz w:val="36"/>
        </w:rPr>
        <w:sectPr>
          <w:pgSz w:w="19200" w:h="10800" w:orient="landscape"/>
          <w:pgMar w:top="340" w:bottom="0" w:left="0" w:right="0"/>
        </w:sectPr>
      </w:pPr>
    </w:p>
    <w:p>
      <w:pPr>
        <w:spacing w:line="1239" w:lineRule="exact" w:before="0"/>
        <w:ind w:left="1260" w:right="0" w:firstLine="0"/>
        <w:jc w:val="left"/>
        <w:rPr>
          <w:rFonts w:ascii="Century Gothic"/>
          <w:b/>
          <w:sz w:val="80"/>
        </w:rPr>
      </w:pPr>
      <w:r>
        <w:rPr/>
        <w:drawing>
          <wp:anchor distT="0" distB="0" distL="0" distR="0" allowOverlap="1" layoutInCell="1" locked="0" behindDoc="1" simplePos="0" relativeHeight="485575680">
            <wp:simplePos x="0" y="0"/>
            <wp:positionH relativeFrom="page">
              <wp:posOffset>0</wp:posOffset>
            </wp:positionH>
            <wp:positionV relativeFrom="page">
              <wp:posOffset>0</wp:posOffset>
            </wp:positionV>
            <wp:extent cx="12191998" cy="6754367"/>
            <wp:effectExtent l="0" t="0" r="0" b="0"/>
            <wp:wrapNone/>
            <wp:docPr id="19" name="image2.png"/>
            <wp:cNvGraphicFramePr>
              <a:graphicFrameLocks noChangeAspect="1"/>
            </wp:cNvGraphicFramePr>
            <a:graphic>
              <a:graphicData uri="http://schemas.openxmlformats.org/drawingml/2006/picture">
                <pic:pic>
                  <pic:nvPicPr>
                    <pic:cNvPr id="20" name="image2.png"/>
                    <pic:cNvPicPr/>
                  </pic:nvPicPr>
                  <pic:blipFill>
                    <a:blip r:embed="rId6" cstate="print"/>
                    <a:stretch>
                      <a:fillRect/>
                    </a:stretch>
                  </pic:blipFill>
                  <pic:spPr>
                    <a:xfrm>
                      <a:off x="0" y="0"/>
                      <a:ext cx="12191998" cy="6754367"/>
                    </a:xfrm>
                    <a:prstGeom prst="rect">
                      <a:avLst/>
                    </a:prstGeom>
                  </pic:spPr>
                </pic:pic>
              </a:graphicData>
            </a:graphic>
          </wp:anchor>
        </w:drawing>
      </w:r>
      <w:bookmarkStart w:name="Slide Number 12" w:id="13"/>
      <w:bookmarkEnd w:id="13"/>
      <w:r>
        <w:rPr/>
      </w:r>
      <w:r>
        <w:rPr>
          <w:rFonts w:ascii="Century Gothic"/>
          <w:b/>
          <w:color w:val="003E87"/>
          <w:sz w:val="80"/>
        </w:rPr>
        <w:t>Staff</w:t>
      </w:r>
      <w:r>
        <w:rPr>
          <w:rFonts w:ascii="Century Gothic"/>
          <w:b/>
          <w:color w:val="003E87"/>
          <w:spacing w:val="-16"/>
          <w:sz w:val="80"/>
        </w:rPr>
        <w:t> </w:t>
      </w:r>
      <w:r>
        <w:rPr>
          <w:rFonts w:ascii="Century Gothic"/>
          <w:b/>
          <w:color w:val="003E87"/>
          <w:spacing w:val="-2"/>
          <w:sz w:val="80"/>
        </w:rPr>
        <w:t>Recommendation</w:t>
      </w:r>
    </w:p>
    <w:p>
      <w:pPr>
        <w:pStyle w:val="BodyText"/>
        <w:spacing w:before="16"/>
        <w:rPr>
          <w:rFonts w:ascii="Century Gothic"/>
          <w:b/>
          <w:sz w:val="24"/>
        </w:rPr>
      </w:pPr>
    </w:p>
    <w:p>
      <w:pPr>
        <w:pStyle w:val="ListParagraph"/>
        <w:numPr>
          <w:ilvl w:val="0"/>
          <w:numId w:val="1"/>
        </w:numPr>
        <w:tabs>
          <w:tab w:pos="1622" w:val="left" w:leader="none"/>
        </w:tabs>
        <w:spacing w:line="103" w:lineRule="auto" w:before="187" w:after="0"/>
        <w:ind w:left="1621" w:right="3738" w:hanging="360"/>
        <w:jc w:val="left"/>
        <w:rPr>
          <w:color w:val="003E87"/>
          <w:sz w:val="72"/>
        </w:rPr>
      </w:pPr>
      <w:r>
        <w:rPr>
          <w:rFonts w:ascii="Century Gothic" w:hAnsi="Century Gothic"/>
          <w:color w:val="003E87"/>
          <w:sz w:val="72"/>
        </w:rPr>
        <w:t>Adoption</w:t>
      </w:r>
      <w:r>
        <w:rPr>
          <w:rFonts w:ascii="Century Gothic" w:hAnsi="Century Gothic"/>
          <w:color w:val="003E87"/>
          <w:spacing w:val="-4"/>
          <w:sz w:val="72"/>
        </w:rPr>
        <w:t> </w:t>
      </w:r>
      <w:r>
        <w:rPr>
          <w:rFonts w:ascii="Century Gothic" w:hAnsi="Century Gothic"/>
          <w:color w:val="003E87"/>
          <w:sz w:val="72"/>
        </w:rPr>
        <w:t>of</w:t>
      </w:r>
      <w:r>
        <w:rPr>
          <w:rFonts w:ascii="Century Gothic" w:hAnsi="Century Gothic"/>
          <w:color w:val="003E87"/>
          <w:spacing w:val="-5"/>
          <w:sz w:val="72"/>
        </w:rPr>
        <w:t> </w:t>
      </w:r>
      <w:r>
        <w:rPr>
          <w:rFonts w:ascii="Century Gothic" w:hAnsi="Century Gothic"/>
          <w:color w:val="003E87"/>
          <w:sz w:val="72"/>
        </w:rPr>
        <w:t>DHRC</w:t>
      </w:r>
      <w:r>
        <w:rPr>
          <w:rFonts w:ascii="Century Gothic" w:hAnsi="Century Gothic"/>
          <w:color w:val="003E87"/>
          <w:spacing w:val="-4"/>
          <w:sz w:val="72"/>
        </w:rPr>
        <w:t> </w:t>
      </w:r>
      <w:r>
        <w:rPr>
          <w:rFonts w:ascii="Century Gothic" w:hAnsi="Century Gothic"/>
          <w:color w:val="003E87"/>
          <w:sz w:val="72"/>
        </w:rPr>
        <w:t>on</w:t>
      </w:r>
      <w:r>
        <w:rPr>
          <w:rFonts w:ascii="Century Gothic" w:hAnsi="Century Gothic"/>
          <w:color w:val="003E87"/>
          <w:spacing w:val="-4"/>
          <w:sz w:val="72"/>
        </w:rPr>
        <w:t> </w:t>
      </w:r>
      <w:r>
        <w:rPr>
          <w:rFonts w:ascii="Century Gothic" w:hAnsi="Century Gothic"/>
          <w:color w:val="003E87"/>
          <w:sz w:val="72"/>
        </w:rPr>
        <w:t>April</w:t>
      </w:r>
      <w:r>
        <w:rPr>
          <w:rFonts w:ascii="Century Gothic" w:hAnsi="Century Gothic"/>
          <w:color w:val="003E87"/>
          <w:spacing w:val="-4"/>
          <w:sz w:val="72"/>
        </w:rPr>
        <w:t> </w:t>
      </w:r>
      <w:r>
        <w:rPr>
          <w:rFonts w:ascii="Century Gothic" w:hAnsi="Century Gothic"/>
          <w:color w:val="003E87"/>
          <w:sz w:val="72"/>
        </w:rPr>
        <w:t>12,</w:t>
      </w:r>
      <w:r>
        <w:rPr>
          <w:rFonts w:ascii="Century Gothic" w:hAnsi="Century Gothic"/>
          <w:color w:val="003E87"/>
          <w:spacing w:val="-2"/>
          <w:sz w:val="72"/>
        </w:rPr>
        <w:t> </w:t>
      </w:r>
      <w:r>
        <w:rPr>
          <w:rFonts w:ascii="Century Gothic" w:hAnsi="Century Gothic"/>
          <w:color w:val="003E87"/>
          <w:sz w:val="72"/>
        </w:rPr>
        <w:t>2023 City Council Agenda</w:t>
      </w: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rPr>
          <w:rFonts w:ascii="Century Gothic"/>
          <w:sz w:val="20"/>
        </w:rPr>
      </w:pPr>
    </w:p>
    <w:p>
      <w:pPr>
        <w:pStyle w:val="BodyText"/>
        <w:spacing w:before="8"/>
        <w:rPr>
          <w:rFonts w:ascii="Century Gothic"/>
          <w:sz w:val="29"/>
        </w:rPr>
      </w:pPr>
    </w:p>
    <w:p>
      <w:pPr>
        <w:spacing w:before="27"/>
        <w:ind w:left="0" w:right="329" w:firstLine="0"/>
        <w:jc w:val="right"/>
        <w:rPr>
          <w:rFonts w:ascii="Calibri"/>
          <w:sz w:val="36"/>
        </w:rPr>
      </w:pPr>
      <w:r>
        <w:rPr>
          <w:rFonts w:ascii="Calibri"/>
          <w:color w:val="888888"/>
          <w:spacing w:val="-5"/>
          <w:sz w:val="36"/>
        </w:rPr>
        <w:t>12</w:t>
      </w:r>
    </w:p>
    <w:p>
      <w:pPr>
        <w:spacing w:after="0"/>
        <w:jc w:val="right"/>
        <w:rPr>
          <w:rFonts w:ascii="Calibri"/>
          <w:sz w:val="36"/>
        </w:rPr>
        <w:sectPr>
          <w:pgSz w:w="19200" w:h="10800" w:orient="landscape"/>
          <w:pgMar w:top="340" w:bottom="0" w:left="0" w:right="0"/>
        </w:sectPr>
      </w:pPr>
    </w:p>
    <w:p>
      <w:pPr>
        <w:pStyle w:val="BodyText"/>
        <w:rPr>
          <w:rFonts w:ascii="Calibri"/>
          <w:sz w:val="20"/>
        </w:rPr>
      </w:pPr>
      <w:r>
        <w:rPr/>
        <w:drawing>
          <wp:anchor distT="0" distB="0" distL="0" distR="0" allowOverlap="1" layoutInCell="1" locked="0" behindDoc="1" simplePos="0" relativeHeight="485576192">
            <wp:simplePos x="0" y="0"/>
            <wp:positionH relativeFrom="page">
              <wp:posOffset>0</wp:posOffset>
            </wp:positionH>
            <wp:positionV relativeFrom="page">
              <wp:posOffset>0</wp:posOffset>
            </wp:positionV>
            <wp:extent cx="5899452" cy="6857999"/>
            <wp:effectExtent l="0" t="0" r="0" b="0"/>
            <wp:wrapNone/>
            <wp:docPr id="21" name="image1.jpeg"/>
            <wp:cNvGraphicFramePr>
              <a:graphicFrameLocks noChangeAspect="1"/>
            </wp:cNvGraphicFramePr>
            <a:graphic>
              <a:graphicData uri="http://schemas.openxmlformats.org/drawingml/2006/picture">
                <pic:pic>
                  <pic:nvPicPr>
                    <pic:cNvPr id="22" name="image1.jpeg"/>
                    <pic:cNvPicPr/>
                  </pic:nvPicPr>
                  <pic:blipFill>
                    <a:blip r:embed="rId5" cstate="print"/>
                    <a:stretch>
                      <a:fillRect/>
                    </a:stretch>
                  </pic:blipFill>
                  <pic:spPr>
                    <a:xfrm>
                      <a:off x="0" y="0"/>
                      <a:ext cx="5899452" cy="6857999"/>
                    </a:xfrm>
                    <a:prstGeom prst="rect">
                      <a:avLst/>
                    </a:prstGeom>
                  </pic:spPr>
                </pic:pic>
              </a:graphicData>
            </a:graphic>
          </wp:anchor>
        </w:drawing>
      </w:r>
    </w:p>
    <w:p>
      <w:pPr>
        <w:pStyle w:val="BodyText"/>
        <w:rPr>
          <w:rFonts w:ascii="Calibri"/>
          <w:sz w:val="20"/>
        </w:rPr>
      </w:pPr>
    </w:p>
    <w:p>
      <w:pPr>
        <w:pStyle w:val="BodyText"/>
        <w:rPr>
          <w:rFonts w:ascii="Calibri"/>
          <w:sz w:val="20"/>
        </w:rPr>
      </w:pPr>
    </w:p>
    <w:p>
      <w:pPr>
        <w:pStyle w:val="BodyText"/>
        <w:spacing w:before="1"/>
        <w:rPr>
          <w:rFonts w:ascii="Calibri"/>
          <w:sz w:val="23"/>
        </w:rPr>
      </w:pPr>
    </w:p>
    <w:p>
      <w:pPr>
        <w:spacing w:line="103" w:lineRule="auto" w:before="195"/>
        <w:ind w:left="10556" w:right="796" w:firstLine="434"/>
        <w:jc w:val="right"/>
        <w:rPr>
          <w:rFonts w:ascii="Century Gothic"/>
          <w:b/>
          <w:sz w:val="80"/>
        </w:rPr>
      </w:pPr>
      <w:bookmarkStart w:name="Slide Number 13" w:id="14"/>
      <w:bookmarkEnd w:id="14"/>
      <w:r>
        <w:rPr/>
      </w:r>
      <w:r>
        <w:rPr>
          <w:rFonts w:ascii="Century Gothic"/>
          <w:b/>
          <w:color w:val="003E87"/>
          <w:sz w:val="80"/>
        </w:rPr>
        <w:t>Upcoming</w:t>
      </w:r>
      <w:r>
        <w:rPr>
          <w:rFonts w:ascii="Century Gothic"/>
          <w:b/>
          <w:color w:val="003E87"/>
          <w:spacing w:val="-35"/>
          <w:sz w:val="80"/>
        </w:rPr>
        <w:t> </w:t>
      </w:r>
      <w:r>
        <w:rPr>
          <w:rFonts w:ascii="Century Gothic"/>
          <w:b/>
          <w:color w:val="003E87"/>
          <w:sz w:val="80"/>
        </w:rPr>
        <w:t>Agenda Item:</w:t>
      </w:r>
      <w:r>
        <w:rPr>
          <w:rFonts w:ascii="Century Gothic"/>
          <w:b/>
          <w:color w:val="003E87"/>
          <w:spacing w:val="-14"/>
          <w:sz w:val="80"/>
        </w:rPr>
        <w:t> </w:t>
      </w:r>
      <w:r>
        <w:rPr>
          <w:rFonts w:ascii="Century Gothic"/>
          <w:b/>
          <w:color w:val="003E87"/>
          <w:sz w:val="80"/>
        </w:rPr>
        <w:t>Dallas</w:t>
      </w:r>
      <w:r>
        <w:rPr>
          <w:rFonts w:ascii="Century Gothic"/>
          <w:b/>
          <w:color w:val="003E87"/>
          <w:spacing w:val="-18"/>
          <w:sz w:val="80"/>
        </w:rPr>
        <w:t> </w:t>
      </w:r>
      <w:r>
        <w:rPr>
          <w:rFonts w:ascii="Century Gothic"/>
          <w:b/>
          <w:color w:val="003E87"/>
          <w:sz w:val="80"/>
        </w:rPr>
        <w:t>Housing Resource Catalog</w:t>
      </w:r>
    </w:p>
    <w:p>
      <w:pPr>
        <w:spacing w:line="115" w:lineRule="auto" w:before="572"/>
        <w:ind w:left="12697" w:right="951" w:hanging="1796"/>
        <w:jc w:val="right"/>
        <w:rPr>
          <w:rFonts w:ascii="Century Gothic"/>
          <w:b/>
          <w:sz w:val="56"/>
        </w:rPr>
      </w:pPr>
      <w:r>
        <w:rPr>
          <w:rFonts w:ascii="Century Gothic"/>
          <w:b/>
          <w:color w:val="003E87"/>
          <w:sz w:val="56"/>
        </w:rPr>
        <w:t>Housing</w:t>
      </w:r>
      <w:r>
        <w:rPr>
          <w:rFonts w:ascii="Century Gothic"/>
          <w:b/>
          <w:color w:val="003E87"/>
          <w:spacing w:val="-19"/>
          <w:sz w:val="56"/>
        </w:rPr>
        <w:t> </w:t>
      </w:r>
      <w:r>
        <w:rPr>
          <w:rFonts w:ascii="Century Gothic"/>
          <w:b/>
          <w:color w:val="003E87"/>
          <w:sz w:val="56"/>
        </w:rPr>
        <w:t>and</w:t>
      </w:r>
      <w:r>
        <w:rPr>
          <w:rFonts w:ascii="Century Gothic"/>
          <w:b/>
          <w:color w:val="003E87"/>
          <w:spacing w:val="-22"/>
          <w:sz w:val="56"/>
        </w:rPr>
        <w:t> </w:t>
      </w:r>
      <w:r>
        <w:rPr>
          <w:rFonts w:ascii="Century Gothic"/>
          <w:b/>
          <w:color w:val="003E87"/>
          <w:sz w:val="56"/>
        </w:rPr>
        <w:t>Homelessness Solutions</w:t>
      </w:r>
      <w:r>
        <w:rPr>
          <w:rFonts w:ascii="Century Gothic"/>
          <w:b/>
          <w:color w:val="003E87"/>
          <w:spacing w:val="-40"/>
          <w:sz w:val="56"/>
        </w:rPr>
        <w:t> </w:t>
      </w:r>
      <w:r>
        <w:rPr>
          <w:rFonts w:ascii="Century Gothic"/>
          <w:b/>
          <w:color w:val="003E87"/>
          <w:sz w:val="56"/>
        </w:rPr>
        <w:t>Committee March 21, 2023</w:t>
      </w:r>
    </w:p>
    <w:p>
      <w:pPr>
        <w:pStyle w:val="BodyText"/>
        <w:spacing w:before="3"/>
        <w:rPr>
          <w:rFonts w:ascii="Century Gothic"/>
          <w:b/>
          <w:sz w:val="70"/>
        </w:rPr>
      </w:pPr>
    </w:p>
    <w:p>
      <w:pPr>
        <w:spacing w:line="278" w:lineRule="auto" w:before="0"/>
        <w:ind w:left="12597" w:right="798" w:firstLine="1507"/>
        <w:jc w:val="right"/>
        <w:rPr>
          <w:sz w:val="40"/>
        </w:rPr>
      </w:pPr>
      <w:r>
        <w:rPr>
          <w:color w:val="003E87"/>
          <w:sz w:val="40"/>
        </w:rPr>
        <w:t>David</w:t>
      </w:r>
      <w:r>
        <w:rPr>
          <w:color w:val="003E87"/>
          <w:spacing w:val="-13"/>
          <w:sz w:val="40"/>
        </w:rPr>
        <w:t> </w:t>
      </w:r>
      <w:r>
        <w:rPr>
          <w:color w:val="003E87"/>
          <w:sz w:val="40"/>
        </w:rPr>
        <w:t>Noguera,</w:t>
      </w:r>
      <w:r>
        <w:rPr>
          <w:color w:val="003E87"/>
          <w:spacing w:val="-21"/>
          <w:sz w:val="40"/>
        </w:rPr>
        <w:t> </w:t>
      </w:r>
      <w:r>
        <w:rPr>
          <w:color w:val="003E87"/>
          <w:sz w:val="40"/>
        </w:rPr>
        <w:t>Director Thor</w:t>
      </w:r>
      <w:r>
        <w:rPr>
          <w:color w:val="003E87"/>
          <w:spacing w:val="-3"/>
          <w:sz w:val="40"/>
        </w:rPr>
        <w:t> </w:t>
      </w:r>
      <w:r>
        <w:rPr>
          <w:color w:val="003E87"/>
          <w:sz w:val="40"/>
        </w:rPr>
        <w:t>Erickson,</w:t>
      </w:r>
      <w:r>
        <w:rPr>
          <w:color w:val="003E87"/>
          <w:spacing w:val="-31"/>
          <w:sz w:val="40"/>
        </w:rPr>
        <w:t> </w:t>
      </w:r>
      <w:r>
        <w:rPr>
          <w:color w:val="003E87"/>
          <w:sz w:val="40"/>
        </w:rPr>
        <w:t>Assistant</w:t>
      </w:r>
      <w:r>
        <w:rPr>
          <w:color w:val="003E87"/>
          <w:spacing w:val="-10"/>
          <w:sz w:val="40"/>
        </w:rPr>
        <w:t> </w:t>
      </w:r>
      <w:r>
        <w:rPr>
          <w:color w:val="003E87"/>
          <w:spacing w:val="-2"/>
          <w:sz w:val="40"/>
        </w:rPr>
        <w:t>Director</w:t>
      </w:r>
    </w:p>
    <w:p>
      <w:pPr>
        <w:spacing w:line="456" w:lineRule="exact" w:before="0"/>
        <w:ind w:left="0" w:right="797" w:firstLine="0"/>
        <w:jc w:val="right"/>
        <w:rPr>
          <w:sz w:val="40"/>
        </w:rPr>
      </w:pPr>
      <w:r>
        <w:rPr>
          <w:color w:val="003E87"/>
          <w:sz w:val="40"/>
        </w:rPr>
        <w:t>Department</w:t>
      </w:r>
      <w:r>
        <w:rPr>
          <w:color w:val="003E87"/>
          <w:spacing w:val="-13"/>
          <w:sz w:val="40"/>
        </w:rPr>
        <w:t> </w:t>
      </w:r>
      <w:r>
        <w:rPr>
          <w:color w:val="003E87"/>
          <w:sz w:val="40"/>
        </w:rPr>
        <w:t>of</w:t>
      </w:r>
      <w:r>
        <w:rPr>
          <w:color w:val="003E87"/>
          <w:spacing w:val="-6"/>
          <w:sz w:val="40"/>
        </w:rPr>
        <w:t> </w:t>
      </w:r>
      <w:r>
        <w:rPr>
          <w:color w:val="003E87"/>
          <w:sz w:val="40"/>
        </w:rPr>
        <w:t>Housing</w:t>
      </w:r>
      <w:r>
        <w:rPr>
          <w:color w:val="003E87"/>
          <w:spacing w:val="-6"/>
          <w:sz w:val="40"/>
        </w:rPr>
        <w:t> </w:t>
      </w:r>
      <w:r>
        <w:rPr>
          <w:color w:val="003E87"/>
          <w:sz w:val="40"/>
        </w:rPr>
        <w:t>&amp;</w:t>
      </w:r>
      <w:r>
        <w:rPr>
          <w:color w:val="003E87"/>
          <w:spacing w:val="-1"/>
          <w:sz w:val="40"/>
        </w:rPr>
        <w:t> </w:t>
      </w:r>
      <w:r>
        <w:rPr>
          <w:color w:val="003E87"/>
          <w:sz w:val="40"/>
        </w:rPr>
        <w:t>Neighborhood</w:t>
      </w:r>
      <w:r>
        <w:rPr>
          <w:color w:val="003E87"/>
          <w:spacing w:val="-11"/>
          <w:sz w:val="40"/>
        </w:rPr>
        <w:t> </w:t>
      </w:r>
      <w:r>
        <w:rPr>
          <w:color w:val="003E87"/>
          <w:spacing w:val="-2"/>
          <w:sz w:val="40"/>
        </w:rPr>
        <w:t>Revitalization</w:t>
      </w:r>
    </w:p>
    <w:p>
      <w:pPr>
        <w:spacing w:before="73"/>
        <w:ind w:left="0" w:right="799" w:firstLine="0"/>
        <w:jc w:val="right"/>
        <w:rPr>
          <w:sz w:val="40"/>
        </w:rPr>
      </w:pPr>
      <w:r>
        <w:rPr>
          <w:color w:val="003E87"/>
          <w:sz w:val="40"/>
        </w:rPr>
        <w:t>City</w:t>
      </w:r>
      <w:r>
        <w:rPr>
          <w:color w:val="003E87"/>
          <w:spacing w:val="-6"/>
          <w:sz w:val="40"/>
        </w:rPr>
        <w:t> </w:t>
      </w:r>
      <w:r>
        <w:rPr>
          <w:color w:val="003E87"/>
          <w:sz w:val="40"/>
        </w:rPr>
        <w:t>of</w:t>
      </w:r>
      <w:r>
        <w:rPr>
          <w:color w:val="003E87"/>
          <w:spacing w:val="-3"/>
          <w:sz w:val="40"/>
        </w:rPr>
        <w:t> </w:t>
      </w:r>
      <w:r>
        <w:rPr>
          <w:color w:val="003E87"/>
          <w:spacing w:val="-2"/>
          <w:sz w:val="40"/>
        </w:rPr>
        <w:t>Dallas</w:t>
      </w:r>
    </w:p>
    <w:p>
      <w:pPr>
        <w:spacing w:after="0"/>
        <w:jc w:val="right"/>
        <w:rPr>
          <w:sz w:val="40"/>
        </w:rPr>
        <w:sectPr>
          <w:pgSz w:w="19200" w:h="10800" w:orient="landscape"/>
          <w:pgMar w:top="0" w:bottom="0" w:left="0" w:right="0"/>
        </w:sectPr>
      </w:pPr>
    </w:p>
    <w:p>
      <w:pPr>
        <w:pStyle w:val="BodyText"/>
        <w:rPr>
          <w:sz w:val="20"/>
        </w:rPr>
      </w:pPr>
      <w:r>
        <w:rPr/>
        <w:drawing>
          <wp:anchor distT="0" distB="0" distL="0" distR="0" allowOverlap="1" layoutInCell="1" locked="0" behindDoc="1" simplePos="0" relativeHeight="485577216">
            <wp:simplePos x="0" y="0"/>
            <wp:positionH relativeFrom="page">
              <wp:posOffset>0</wp:posOffset>
            </wp:positionH>
            <wp:positionV relativeFrom="page">
              <wp:posOffset>0</wp:posOffset>
            </wp:positionV>
            <wp:extent cx="7772400" cy="10058400"/>
            <wp:effectExtent l="0" t="0" r="0" b="0"/>
            <wp:wrapNone/>
            <wp:docPr id="23" name="image8.jpeg"/>
            <wp:cNvGraphicFramePr>
              <a:graphicFrameLocks noChangeAspect="1"/>
            </wp:cNvGraphicFramePr>
            <a:graphic>
              <a:graphicData uri="http://schemas.openxmlformats.org/drawingml/2006/picture">
                <pic:pic>
                  <pic:nvPicPr>
                    <pic:cNvPr id="24" name="image8.jpeg"/>
                    <pic:cNvPicPr/>
                  </pic:nvPicPr>
                  <pic:blipFill>
                    <a:blip r:embed="rId12" cstate="print"/>
                    <a:stretch>
                      <a:fillRect/>
                    </a:stretch>
                  </pic:blipFill>
                  <pic:spPr>
                    <a:xfrm>
                      <a:off x="0" y="0"/>
                      <a:ext cx="7772400" cy="10058400"/>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6"/>
        </w:rPr>
      </w:pPr>
    </w:p>
    <w:p>
      <w:pPr>
        <w:spacing w:before="68"/>
        <w:ind w:left="559" w:right="599" w:hanging="1"/>
        <w:jc w:val="center"/>
        <w:rPr>
          <w:b/>
          <w:sz w:val="96"/>
        </w:rPr>
      </w:pPr>
      <w:r>
        <w:rPr/>
        <w:pict>
          <v:shape style="position:absolute;margin-left:90.065002pt;margin-top:-109.705605pt;width:395.3pt;height:419pt;mso-position-horizontal-relative:page;mso-position-vertical-relative:paragraph;z-index:-17739776" id="docshape15" coordorigin="1801,-2194" coordsize="7906,8380" path="m4498,5070l4492,4996,4477,4918,4455,4835,4432,4766,4403,4694,4367,4619,4325,4541,4276,4460,4237,4401,4200,4351,4200,5036,4197,5093,4186,5149,4167,5207,4138,5267,4097,5329,4044,5395,3979,5465,3674,5770,2216,4313,2517,4012,2598,3936,2672,3876,2740,3832,2801,3806,2868,3791,2941,3787,3020,3794,3105,3812,3195,3841,3255,3867,3317,3899,3380,3937,3446,3982,3514,4034,3584,4092,3656,4157,3729,4228,3789,4290,3845,4350,3896,4409,3943,4467,3986,4523,4025,4579,4059,4633,4101,4707,4136,4779,4163,4849,4183,4916,4196,4980,4200,5036,4200,4351,4194,4342,4148,4282,4098,4221,4045,4160,3989,4099,3929,4037,3865,3975,3801,3916,3737,3861,3673,3810,3643,3787,3609,3762,3546,3717,3482,3676,3419,3638,3346,3601,3274,3568,3203,3541,3132,3519,3062,3502,2992,3490,2923,3483,2850,3481,2779,3488,2709,3503,2642,3526,2577,3556,2528,3584,2476,3621,2420,3667,2359,3721,2294,3784,1801,4277,3710,6185,4124,5770,4226,5668,4287,5603,4341,5538,4386,5472,4424,5405,4454,5339,4476,5273,4491,5206,4498,5138,4498,5070xm6418,3476l6056,3349,5650,3206,5561,3177,5475,3153,5393,3134,5365,3129,5314,3119,5239,3109,5193,3108,5143,3111,5089,3118,5030,3129,5073,3059,5109,2989,5136,2920,5154,2851,5164,2783,5165,2715,5157,2647,5139,2569,5111,2493,5075,2418,5030,2345,4976,2275,4956,2252,4913,2206,4872,2168,4872,2725,4868,2781,4854,2836,4830,2892,4794,2950,4747,3011,4687,3075,4280,3482,3649,2851,4102,2398,4166,2341,4229,2298,4293,2268,4358,2253,4422,2252,4501,2267,4577,2297,4649,2342,4718,2401,4761,2449,4797,2500,4827,2553,4851,2610,4867,2668,4872,2725,4872,2168,4849,2146,4782,2094,4713,2049,4641,2010,4566,1978,4474,1950,4386,1937,4303,1939,4225,1955,4163,1980,4098,2016,4030,2064,3958,2124,3883,2195,3248,2830,5157,4738,5346,4548,4499,3701,4718,3482,4753,3448,4783,3420,4810,3399,4833,3385,4863,3371,4896,3361,4932,3353,4971,3349,5014,3349,5066,3354,5125,3364,5194,3381,5256,3398,5328,3419,5407,3444,5496,3473,6180,3715,6418,3476xm7780,2114l7415,1919,6555,1465,6555,1772,6070,2257,6030,2186,5989,2114,5748,1683,5708,1612,5668,1540,5629,1475,5590,1410,5550,1346,5509,1283,5467,1221,5424,1159,5380,1099,5436,1134,5498,1172,5564,1212,5635,1254,5792,1345,6555,1772,6555,1465,5862,1099,5286,792,5082,996,5277,1346,5316,1417,5701,2114,6207,3033,6441,3454,6642,3253,6565,3119,6298,2651,6221,2518,6481,2257,6820,1919,7173,2114,7565,2330,7780,2114xm8131,1764l7264,897,7936,225,7711,0,7039,672,6448,81,7224,-696,6999,-921,6033,45,7941,1953,8131,1764xm9707,188l8024,-1495,8497,-1969,8272,-2194,7138,-1060,7363,-834,7834,-1306,9517,377,9707,188xe" filled="true" fillcolor="#c0c0c0" stroked="false">
            <v:path arrowok="t"/>
            <v:fill opacity="32896f" type="solid"/>
            <w10:wrap type="none"/>
          </v:shape>
        </w:pict>
      </w:r>
      <w:bookmarkStart w:name="Dallas Housing Resource Catalog DRAFT.pd" w:id="15"/>
      <w:bookmarkEnd w:id="15"/>
      <w:r>
        <w:rPr/>
      </w:r>
      <w:r>
        <w:rPr>
          <w:b/>
          <w:color w:val="001F5F"/>
          <w:sz w:val="96"/>
        </w:rPr>
        <w:t>Dallas Housing Resource</w:t>
      </w:r>
      <w:r>
        <w:rPr>
          <w:b/>
          <w:color w:val="001F5F"/>
          <w:spacing w:val="-41"/>
          <w:sz w:val="96"/>
        </w:rPr>
        <w:t> </w:t>
      </w:r>
      <w:r>
        <w:rPr>
          <w:b/>
          <w:color w:val="001F5F"/>
          <w:sz w:val="96"/>
        </w:rPr>
        <w:t>Catalog: </w:t>
      </w:r>
      <w:r>
        <w:rPr>
          <w:b/>
          <w:color w:val="001F5F"/>
          <w:spacing w:val="-2"/>
          <w:sz w:val="96"/>
        </w:rPr>
        <w:t>Programs Corporations </w:t>
      </w:r>
      <w:r>
        <w:rPr>
          <w:b/>
          <w:color w:val="001F5F"/>
          <w:sz w:val="96"/>
        </w:rPr>
        <w:t>Compliance &amp; Funding Tools</w:t>
      </w:r>
    </w:p>
    <w:p>
      <w:pPr>
        <w:spacing w:after="0"/>
        <w:jc w:val="center"/>
        <w:rPr>
          <w:sz w:val="96"/>
        </w:rPr>
        <w:sectPr>
          <w:pgSz w:w="12240" w:h="15840"/>
          <w:pgMar w:top="1820" w:bottom="280" w:left="1320" w:right="1280"/>
        </w:sectPr>
      </w:pPr>
    </w:p>
    <w:p>
      <w:pPr>
        <w:pStyle w:val="Heading1"/>
        <w:rPr>
          <w:u w:val="none"/>
        </w:rPr>
      </w:pPr>
      <w:bookmarkStart w:name="OVERVIEW" w:id="16"/>
      <w:bookmarkEnd w:id="16"/>
      <w:r>
        <w:rPr>
          <w:b w:val="0"/>
          <w:u w:val="none"/>
        </w:rPr>
      </w:r>
      <w:bookmarkStart w:name="_bookmark0" w:id="17"/>
      <w:bookmarkEnd w:id="17"/>
      <w:r>
        <w:rPr>
          <w:b w:val="0"/>
          <w:u w:val="none"/>
        </w:rPr>
      </w:r>
      <w:r>
        <w:rPr>
          <w:spacing w:val="-2"/>
          <w:u w:val="single"/>
        </w:rPr>
        <w:t>OVERVIEW</w:t>
      </w:r>
    </w:p>
    <w:p>
      <w:pPr>
        <w:pStyle w:val="BodyText"/>
        <w:spacing w:before="2"/>
        <w:rPr>
          <w:b/>
          <w:sz w:val="16"/>
        </w:rPr>
      </w:pPr>
    </w:p>
    <w:p>
      <w:pPr>
        <w:spacing w:before="92"/>
        <w:ind w:left="119" w:right="154" w:firstLine="0"/>
        <w:jc w:val="both"/>
        <w:rPr>
          <w:sz w:val="24"/>
        </w:rPr>
      </w:pPr>
      <w:r>
        <w:rPr/>
        <w:pict>
          <v:shape style="position:absolute;margin-left:90.065002pt;margin-top:64.946838pt;width:395.3pt;height:419pt;mso-position-horizontal-relative:page;mso-position-vertical-relative:paragraph;z-index:-17738752" id="docshape17" coordorigin="1801,1299" coordsize="7906,8380" path="m4498,8563l4492,8489,4477,8411,4455,8328,4432,8259,4403,8187,4367,8112,4325,8034,4276,7953,4237,7894,4200,7844,4200,8529,4197,8586,4186,8642,4167,8700,4138,8760,4097,8822,4044,8888,3979,8958,3674,9263,2216,7806,2517,7505,2598,7429,2672,7369,2740,7325,2801,7299,2868,7284,2941,7280,3020,7287,3105,7305,3195,7334,3255,7360,3317,7392,3380,7430,3446,7476,3514,7527,3584,7585,3656,7650,3729,7721,3789,7783,3845,7843,3896,7902,3943,7960,3986,8016,4025,8072,4059,8126,4101,8200,4136,8272,4163,8342,4183,8409,4196,8473,4200,8529,4200,7844,4194,7835,4148,7775,4098,7714,4045,7653,3989,7592,3929,7530,3865,7468,3801,7409,3737,7354,3673,7303,3643,7280,3609,7255,3546,7210,3482,7169,3419,7131,3346,7094,3274,7061,3203,7034,3132,7012,3062,6995,2992,6983,2923,6976,2850,6974,2779,6981,2709,6996,2642,7019,2577,7049,2528,7077,2476,7114,2420,7160,2359,7214,2294,7277,1801,7770,3710,9678,4124,9263,4226,9162,4287,9096,4341,9031,4386,8965,4424,8899,4454,8832,4476,8766,4491,8699,4498,8631,4498,8563xm6418,6969l6056,6842,5650,6699,5561,6670,5475,6646,5393,6627,5365,6622,5314,6612,5239,6602,5193,6601,5143,6604,5089,6611,5030,6622,5073,6552,5109,6482,5136,6413,5154,6344,5164,6276,5165,6208,5157,6140,5139,6062,5111,5986,5075,5911,5030,5838,4976,5768,4956,5745,4913,5699,4872,5661,4872,6218,4868,6274,4854,6329,4830,6385,4794,6444,4747,6504,4687,6568,4280,6975,3649,6344,4102,5891,4166,5834,4229,5791,4293,5761,4358,5746,4422,5745,4501,5760,4577,5790,4649,5835,4718,5894,4761,5942,4797,5993,4827,6046,4851,6103,4867,6161,4872,6218,4872,5661,4849,5639,4782,5587,4713,5542,4641,5503,4566,5471,4474,5443,4386,5430,4303,5432,4225,5448,4163,5473,4098,5509,4030,5557,3958,5617,3883,5688,3248,6323,5157,8231,5346,8041,4499,7194,4718,6975,4753,6941,4783,6913,4810,6892,4833,6878,4863,6864,4896,6854,4932,6846,4971,6842,5014,6842,5066,6847,5125,6857,5194,6874,5256,6891,5328,6912,5407,6937,5496,6966,6180,7208,6418,6969xm7780,5607l7415,5412,6555,4958,6555,5265,6070,5750,6030,5679,5989,5607,5748,5176,5708,5105,5668,5033,5629,4968,5590,4903,5550,4839,5509,4776,5467,4714,5424,4652,5380,4592,5436,4627,5498,4665,5564,4705,5635,4747,5792,4838,6555,5265,6555,4958,5862,4592,5286,4285,5082,4489,5277,4839,5316,4910,5701,5607,6207,6526,6441,6947,6642,6746,6565,6612,6298,6144,6221,6011,6481,5750,6820,5412,7173,5607,7565,5823,7780,5607xm8131,5257l7264,4390,7936,3718,7711,3493,7039,4165,6448,3574,7224,2797,6999,2572,6033,3538,7941,5446,8131,5257xm9707,3681l8024,1998,8497,1524,8272,1299,7138,2434,7363,2659,7834,2187,9517,3870,9707,3681xe" filled="true" fillcolor="#c0c0c0" stroked="false">
            <v:path arrowok="t"/>
            <v:fill opacity="32896f" type="solid"/>
            <w10:wrap type="none"/>
          </v:shape>
        </w:pict>
      </w:r>
      <w:r>
        <w:rPr>
          <w:sz w:val="24"/>
        </w:rPr>
        <w:t>The Dallas Housing Resource Catalog is a clearinghouse for housing programs, corporations and compliance and funding tools that drive city investments in mixed- income</w:t>
      </w:r>
      <w:r>
        <w:rPr>
          <w:spacing w:val="-4"/>
          <w:sz w:val="24"/>
        </w:rPr>
        <w:t> </w:t>
      </w:r>
      <w:r>
        <w:rPr>
          <w:sz w:val="24"/>
        </w:rPr>
        <w:t>housing.</w:t>
      </w:r>
      <w:r>
        <w:rPr>
          <w:spacing w:val="-5"/>
          <w:sz w:val="24"/>
        </w:rPr>
        <w:t> </w:t>
      </w:r>
      <w:r>
        <w:rPr>
          <w:sz w:val="24"/>
        </w:rPr>
        <w:t>Resources</w:t>
      </w:r>
      <w:r>
        <w:rPr>
          <w:spacing w:val="-5"/>
          <w:sz w:val="24"/>
        </w:rPr>
        <w:t> </w:t>
      </w:r>
      <w:r>
        <w:rPr>
          <w:sz w:val="24"/>
        </w:rPr>
        <w:t>included</w:t>
      </w:r>
      <w:r>
        <w:rPr>
          <w:spacing w:val="-4"/>
          <w:sz w:val="24"/>
        </w:rPr>
        <w:t> </w:t>
      </w:r>
      <w:r>
        <w:rPr>
          <w:sz w:val="24"/>
        </w:rPr>
        <w:t>in</w:t>
      </w:r>
      <w:r>
        <w:rPr>
          <w:spacing w:val="-4"/>
          <w:sz w:val="24"/>
        </w:rPr>
        <w:t> </w:t>
      </w:r>
      <w:r>
        <w:rPr>
          <w:sz w:val="24"/>
        </w:rPr>
        <w:t>the</w:t>
      </w:r>
      <w:r>
        <w:rPr>
          <w:spacing w:val="-4"/>
          <w:sz w:val="24"/>
        </w:rPr>
        <w:t> </w:t>
      </w:r>
      <w:r>
        <w:rPr>
          <w:sz w:val="24"/>
        </w:rPr>
        <w:t>Catalog</w:t>
      </w:r>
      <w:r>
        <w:rPr>
          <w:spacing w:val="-4"/>
          <w:sz w:val="24"/>
        </w:rPr>
        <w:t> </w:t>
      </w:r>
      <w:r>
        <w:rPr>
          <w:sz w:val="24"/>
        </w:rPr>
        <w:t>are</w:t>
      </w:r>
      <w:r>
        <w:rPr>
          <w:spacing w:val="-4"/>
          <w:sz w:val="24"/>
        </w:rPr>
        <w:t> </w:t>
      </w:r>
      <w:r>
        <w:rPr>
          <w:sz w:val="24"/>
        </w:rPr>
        <w:t>organized</w:t>
      </w:r>
      <w:r>
        <w:rPr>
          <w:spacing w:val="-7"/>
          <w:sz w:val="24"/>
        </w:rPr>
        <w:t> </w:t>
      </w:r>
      <w:r>
        <w:rPr>
          <w:sz w:val="24"/>
        </w:rPr>
        <w:t>around</w:t>
      </w:r>
      <w:r>
        <w:rPr>
          <w:spacing w:val="-4"/>
          <w:sz w:val="24"/>
        </w:rPr>
        <w:t> </w:t>
      </w:r>
      <w:r>
        <w:rPr>
          <w:sz w:val="24"/>
        </w:rPr>
        <w:t>the</w:t>
      </w:r>
      <w:r>
        <w:rPr>
          <w:spacing w:val="-4"/>
          <w:sz w:val="24"/>
        </w:rPr>
        <w:t> </w:t>
      </w:r>
      <w:r>
        <w:rPr>
          <w:sz w:val="24"/>
        </w:rPr>
        <w:t>7</w:t>
      </w:r>
      <w:r>
        <w:rPr>
          <w:spacing w:val="-4"/>
          <w:sz w:val="24"/>
        </w:rPr>
        <w:t> </w:t>
      </w:r>
      <w:r>
        <w:rPr>
          <w:sz w:val="24"/>
        </w:rPr>
        <w:t>pillars</w:t>
      </w:r>
      <w:r>
        <w:rPr>
          <w:spacing w:val="-5"/>
          <w:sz w:val="24"/>
        </w:rPr>
        <w:t> </w:t>
      </w:r>
      <w:r>
        <w:rPr>
          <w:sz w:val="24"/>
        </w:rPr>
        <w:t>of housing equity described in Dallas Housing Policy 2033 (DHP33).</w:t>
      </w:r>
      <w:r>
        <w:rPr>
          <w:spacing w:val="40"/>
          <w:sz w:val="24"/>
        </w:rPr>
        <w:t> </w:t>
      </w:r>
      <w:r>
        <w:rPr>
          <w:sz w:val="24"/>
        </w:rPr>
        <w:t>Goals for each resource are established annually to monitor progress and alignment with DHP33. Revisions will be made as new resources are realized or existing resources require modifications. Through community engagement, industry best practices and service delivery experience the Dallas Housing Resource Catalog will help build racial equity.</w:t>
      </w:r>
    </w:p>
    <w:p>
      <w:pPr>
        <w:pStyle w:val="BodyText"/>
        <w:spacing w:before="11"/>
        <w:rPr>
          <w:sz w:val="23"/>
        </w:rPr>
      </w:pPr>
    </w:p>
    <w:p>
      <w:pPr>
        <w:pStyle w:val="Heading2"/>
        <w:spacing w:line="368" w:lineRule="exact"/>
      </w:pPr>
      <w:r>
        <w:rPr>
          <w:u w:val="single"/>
        </w:rPr>
        <w:t>DHP33</w:t>
      </w:r>
      <w:r>
        <w:rPr>
          <w:spacing w:val="-14"/>
          <w:u w:val="single"/>
        </w:rPr>
        <w:t> </w:t>
      </w:r>
      <w:r>
        <w:rPr>
          <w:u w:val="single"/>
        </w:rPr>
        <w:t>Equity</w:t>
      </w:r>
      <w:r>
        <w:rPr>
          <w:spacing w:val="-13"/>
          <w:u w:val="single"/>
        </w:rPr>
        <w:t> </w:t>
      </w:r>
      <w:r>
        <w:rPr>
          <w:spacing w:val="-2"/>
          <w:u w:val="single"/>
        </w:rPr>
        <w:t>Pillars</w:t>
      </w:r>
    </w:p>
    <w:p>
      <w:pPr>
        <w:pStyle w:val="ListParagraph"/>
        <w:numPr>
          <w:ilvl w:val="0"/>
          <w:numId w:val="3"/>
        </w:numPr>
        <w:tabs>
          <w:tab w:pos="840" w:val="left" w:leader="none"/>
        </w:tabs>
        <w:spacing w:line="367" w:lineRule="exact" w:before="0" w:after="0"/>
        <w:ind w:left="839" w:right="0" w:hanging="360"/>
        <w:jc w:val="left"/>
        <w:rPr>
          <w:sz w:val="32"/>
        </w:rPr>
      </w:pPr>
      <w:r>
        <w:rPr>
          <w:sz w:val="32"/>
        </w:rPr>
        <w:t>Equity</w:t>
      </w:r>
      <w:r>
        <w:rPr>
          <w:spacing w:val="-13"/>
          <w:sz w:val="32"/>
        </w:rPr>
        <w:t> </w:t>
      </w:r>
      <w:r>
        <w:rPr>
          <w:sz w:val="32"/>
        </w:rPr>
        <w:t>Strategy</w:t>
      </w:r>
      <w:r>
        <w:rPr>
          <w:spacing w:val="-12"/>
          <w:sz w:val="32"/>
        </w:rPr>
        <w:t> </w:t>
      </w:r>
      <w:r>
        <w:rPr>
          <w:spacing w:val="-2"/>
          <w:sz w:val="32"/>
        </w:rPr>
        <w:t>Targets</w:t>
      </w:r>
    </w:p>
    <w:p>
      <w:pPr>
        <w:pStyle w:val="ListParagraph"/>
        <w:numPr>
          <w:ilvl w:val="0"/>
          <w:numId w:val="3"/>
        </w:numPr>
        <w:tabs>
          <w:tab w:pos="840" w:val="left" w:leader="none"/>
        </w:tabs>
        <w:spacing w:line="368" w:lineRule="exact" w:before="0" w:after="0"/>
        <w:ind w:left="839" w:right="0" w:hanging="360"/>
        <w:jc w:val="left"/>
        <w:rPr>
          <w:sz w:val="32"/>
        </w:rPr>
      </w:pPr>
      <w:r>
        <w:rPr>
          <w:sz w:val="32"/>
        </w:rPr>
        <w:t>Citywide</w:t>
      </w:r>
      <w:r>
        <w:rPr>
          <w:spacing w:val="-14"/>
          <w:sz w:val="32"/>
        </w:rPr>
        <w:t> </w:t>
      </w:r>
      <w:r>
        <w:rPr>
          <w:spacing w:val="-2"/>
          <w:sz w:val="32"/>
        </w:rPr>
        <w:t>Production</w:t>
      </w:r>
    </w:p>
    <w:p>
      <w:pPr>
        <w:pStyle w:val="ListParagraph"/>
        <w:numPr>
          <w:ilvl w:val="0"/>
          <w:numId w:val="3"/>
        </w:numPr>
        <w:tabs>
          <w:tab w:pos="840" w:val="left" w:leader="none"/>
        </w:tabs>
        <w:spacing w:line="368" w:lineRule="exact" w:before="2" w:after="0"/>
        <w:ind w:left="839" w:right="0" w:hanging="360"/>
        <w:jc w:val="left"/>
        <w:rPr>
          <w:sz w:val="32"/>
        </w:rPr>
      </w:pPr>
      <w:r>
        <w:rPr>
          <w:sz w:val="32"/>
        </w:rPr>
        <w:t>Citywide</w:t>
      </w:r>
      <w:r>
        <w:rPr>
          <w:spacing w:val="-14"/>
          <w:sz w:val="32"/>
        </w:rPr>
        <w:t> </w:t>
      </w:r>
      <w:r>
        <w:rPr>
          <w:spacing w:val="-2"/>
          <w:sz w:val="32"/>
        </w:rPr>
        <w:t>Preservation</w:t>
      </w:r>
    </w:p>
    <w:p>
      <w:pPr>
        <w:pStyle w:val="ListParagraph"/>
        <w:numPr>
          <w:ilvl w:val="0"/>
          <w:numId w:val="3"/>
        </w:numPr>
        <w:tabs>
          <w:tab w:pos="840" w:val="left" w:leader="none"/>
        </w:tabs>
        <w:spacing w:line="367" w:lineRule="exact" w:before="0" w:after="0"/>
        <w:ind w:left="839" w:right="0" w:hanging="360"/>
        <w:jc w:val="left"/>
        <w:rPr>
          <w:sz w:val="32"/>
        </w:rPr>
      </w:pPr>
      <w:r>
        <w:rPr>
          <w:spacing w:val="-2"/>
          <w:sz w:val="32"/>
        </w:rPr>
        <w:t>Infrastructure</w:t>
      </w:r>
    </w:p>
    <w:p>
      <w:pPr>
        <w:pStyle w:val="ListParagraph"/>
        <w:numPr>
          <w:ilvl w:val="0"/>
          <w:numId w:val="3"/>
        </w:numPr>
        <w:tabs>
          <w:tab w:pos="840" w:val="left" w:leader="none"/>
        </w:tabs>
        <w:spacing w:line="367" w:lineRule="exact" w:before="0" w:after="0"/>
        <w:ind w:left="839" w:right="0" w:hanging="360"/>
        <w:jc w:val="left"/>
        <w:rPr>
          <w:sz w:val="32"/>
        </w:rPr>
      </w:pPr>
      <w:r>
        <w:rPr>
          <w:sz w:val="32"/>
        </w:rPr>
        <w:t>Collaboration</w:t>
      </w:r>
      <w:r>
        <w:rPr>
          <w:spacing w:val="-16"/>
          <w:sz w:val="32"/>
        </w:rPr>
        <w:t> </w:t>
      </w:r>
      <w:r>
        <w:rPr>
          <w:sz w:val="32"/>
        </w:rPr>
        <w:t>and</w:t>
      </w:r>
      <w:r>
        <w:rPr>
          <w:spacing w:val="-16"/>
          <w:sz w:val="32"/>
        </w:rPr>
        <w:t> </w:t>
      </w:r>
      <w:r>
        <w:rPr>
          <w:spacing w:val="-2"/>
          <w:sz w:val="32"/>
        </w:rPr>
        <w:t>Coordination</w:t>
      </w:r>
    </w:p>
    <w:p>
      <w:pPr>
        <w:pStyle w:val="ListParagraph"/>
        <w:numPr>
          <w:ilvl w:val="0"/>
          <w:numId w:val="3"/>
        </w:numPr>
        <w:tabs>
          <w:tab w:pos="841" w:val="left" w:leader="none"/>
        </w:tabs>
        <w:spacing w:line="368" w:lineRule="exact" w:before="0" w:after="0"/>
        <w:ind w:left="840" w:right="0" w:hanging="361"/>
        <w:jc w:val="left"/>
        <w:rPr>
          <w:sz w:val="32"/>
        </w:rPr>
      </w:pPr>
      <w:r>
        <w:rPr>
          <w:spacing w:val="-2"/>
          <w:sz w:val="32"/>
        </w:rPr>
        <w:t>Engagement</w:t>
      </w:r>
    </w:p>
    <w:p>
      <w:pPr>
        <w:pStyle w:val="ListParagraph"/>
        <w:numPr>
          <w:ilvl w:val="0"/>
          <w:numId w:val="3"/>
        </w:numPr>
        <w:tabs>
          <w:tab w:pos="841" w:val="left" w:leader="none"/>
        </w:tabs>
        <w:spacing w:line="240" w:lineRule="auto" w:before="1" w:after="0"/>
        <w:ind w:left="840" w:right="0" w:hanging="361"/>
        <w:jc w:val="left"/>
        <w:rPr>
          <w:sz w:val="32"/>
        </w:rPr>
      </w:pPr>
      <w:r>
        <w:rPr>
          <w:spacing w:val="-2"/>
          <w:sz w:val="32"/>
        </w:rPr>
        <w:t>Education</w:t>
      </w:r>
    </w:p>
    <w:p>
      <w:pPr>
        <w:spacing w:after="0" w:line="240" w:lineRule="auto"/>
        <w:jc w:val="left"/>
        <w:rPr>
          <w:sz w:val="32"/>
        </w:rPr>
        <w:sectPr>
          <w:footerReference w:type="default" r:id="rId13"/>
          <w:pgSz w:w="12240" w:h="15840"/>
          <w:pgMar w:footer="1738" w:header="0" w:top="1380" w:bottom="1920" w:left="1320" w:right="1280"/>
          <w:pgNumType w:start="2"/>
        </w:sectPr>
      </w:pPr>
    </w:p>
    <w:p>
      <w:pPr>
        <w:spacing w:line="207" w:lineRule="exact" w:before="79"/>
        <w:ind w:left="120" w:right="0" w:firstLine="0"/>
        <w:jc w:val="left"/>
        <w:rPr>
          <w:b/>
          <w:sz w:val="18"/>
        </w:rPr>
      </w:pPr>
      <w:r>
        <w:rPr>
          <w:b/>
          <w:sz w:val="18"/>
        </w:rPr>
        <w:t>Table</w:t>
      </w:r>
      <w:r>
        <w:rPr>
          <w:b/>
          <w:spacing w:val="1"/>
          <w:sz w:val="18"/>
        </w:rPr>
        <w:t> </w:t>
      </w:r>
      <w:r>
        <w:rPr>
          <w:b/>
          <w:sz w:val="18"/>
        </w:rPr>
        <w:t>of</w:t>
      </w:r>
      <w:r>
        <w:rPr>
          <w:b/>
          <w:spacing w:val="-2"/>
          <w:sz w:val="18"/>
        </w:rPr>
        <w:t> Contents</w:t>
      </w:r>
    </w:p>
    <w:sdt>
      <w:sdtPr>
        <w:docPartObj>
          <w:docPartGallery w:val="Table of Contents"/>
          <w:docPartUnique/>
        </w:docPartObj>
      </w:sdtPr>
      <w:sdtEndPr/>
      <w:sdtContent>
        <w:p>
          <w:pPr>
            <w:pStyle w:val="TOC1"/>
            <w:tabs>
              <w:tab w:pos="9470" w:val="right" w:leader="dot"/>
            </w:tabs>
            <w:spacing w:line="219" w:lineRule="exact"/>
          </w:pPr>
          <w:hyperlink w:history="true" w:anchor="_bookmark0">
            <w:r>
              <w:rPr>
                <w:spacing w:val="-2"/>
              </w:rPr>
              <w:t>OVERVIEW</w:t>
            </w:r>
            <w:r>
              <w:rPr/>
              <w:tab/>
            </w:r>
            <w:r>
              <w:rPr>
                <w:spacing w:val="-10"/>
              </w:rPr>
              <w:t>2</w:t>
            </w:r>
          </w:hyperlink>
        </w:p>
        <w:p>
          <w:pPr>
            <w:pStyle w:val="TOC1"/>
            <w:tabs>
              <w:tab w:pos="9470" w:val="right" w:leader="dot"/>
            </w:tabs>
            <w:spacing w:before="34"/>
          </w:pPr>
          <w:hyperlink w:history="true" w:anchor="_bookmark1">
            <w:r>
              <w:rPr>
                <w:spacing w:val="-2"/>
              </w:rPr>
              <w:t>PROGRAMS</w:t>
            </w:r>
            <w:r>
              <w:rPr/>
              <w:tab/>
            </w:r>
            <w:r>
              <w:rPr>
                <w:spacing w:val="-10"/>
              </w:rPr>
              <w:t>4</w:t>
            </w:r>
          </w:hyperlink>
        </w:p>
        <w:p>
          <w:pPr>
            <w:pStyle w:val="TOC2"/>
            <w:tabs>
              <w:tab w:pos="9470" w:val="right" w:leader="dot"/>
            </w:tabs>
          </w:pPr>
          <w:hyperlink w:history="true" w:anchor="_bookmark2">
            <w:r>
              <w:rPr/>
              <w:t>HOMEOWNER</w:t>
            </w:r>
            <w:r>
              <w:rPr>
                <w:spacing w:val="-4"/>
              </w:rPr>
              <w:t> </w:t>
            </w:r>
            <w:r>
              <w:rPr>
                <w:spacing w:val="-2"/>
              </w:rPr>
              <w:t>PROGRAMS</w:t>
            </w:r>
            <w:r>
              <w:rPr/>
              <w:tab/>
            </w:r>
            <w:r>
              <w:rPr>
                <w:spacing w:val="-10"/>
              </w:rPr>
              <w:t>4</w:t>
            </w:r>
          </w:hyperlink>
        </w:p>
        <w:p>
          <w:pPr>
            <w:pStyle w:val="TOC3"/>
            <w:tabs>
              <w:tab w:pos="9470" w:val="right" w:leader="dot"/>
            </w:tabs>
            <w:spacing w:before="32"/>
          </w:pPr>
          <w:hyperlink w:history="true" w:anchor="_bookmark3">
            <w:r>
              <w:rPr/>
              <w:t>Home</w:t>
            </w:r>
            <w:r>
              <w:rPr>
                <w:spacing w:val="-2"/>
              </w:rPr>
              <w:t> </w:t>
            </w:r>
            <w:r>
              <w:rPr/>
              <w:t>Improvement</w:t>
            </w:r>
            <w:r>
              <w:rPr>
                <w:spacing w:val="-2"/>
              </w:rPr>
              <w:t> </w:t>
            </w:r>
            <w:r>
              <w:rPr/>
              <w:t>and</w:t>
            </w:r>
            <w:r>
              <w:rPr>
                <w:spacing w:val="-2"/>
              </w:rPr>
              <w:t> </w:t>
            </w:r>
            <w:r>
              <w:rPr/>
              <w:t>Preservation</w:t>
            </w:r>
            <w:r>
              <w:rPr>
                <w:spacing w:val="-2"/>
              </w:rPr>
              <w:t> </w:t>
            </w:r>
            <w:r>
              <w:rPr/>
              <w:t>Program</w:t>
            </w:r>
            <w:r>
              <w:rPr>
                <w:spacing w:val="-1"/>
              </w:rPr>
              <w:t> </w:t>
            </w:r>
            <w:r>
              <w:rPr/>
              <w:t>–</w:t>
            </w:r>
            <w:r>
              <w:rPr>
                <w:spacing w:val="-2"/>
              </w:rPr>
              <w:t> </w:t>
            </w:r>
            <w:r>
              <w:rPr/>
              <w:t>Pillars</w:t>
            </w:r>
            <w:r>
              <w:rPr>
                <w:spacing w:val="-2"/>
              </w:rPr>
              <w:t> </w:t>
            </w:r>
            <w:r>
              <w:rPr/>
              <w:t>1,</w:t>
            </w:r>
            <w:r>
              <w:rPr>
                <w:spacing w:val="-1"/>
              </w:rPr>
              <w:t> </w:t>
            </w:r>
            <w:r>
              <w:rPr/>
              <w:t>3,</w:t>
            </w:r>
            <w:r>
              <w:rPr>
                <w:spacing w:val="-1"/>
              </w:rPr>
              <w:t> </w:t>
            </w:r>
            <w:r>
              <w:rPr/>
              <w:t>4,</w:t>
            </w:r>
            <w:r>
              <w:rPr>
                <w:spacing w:val="-1"/>
              </w:rPr>
              <w:t> </w:t>
            </w:r>
            <w:r>
              <w:rPr/>
              <w:t>5,</w:t>
            </w:r>
            <w:r>
              <w:rPr>
                <w:spacing w:val="-1"/>
              </w:rPr>
              <w:t> </w:t>
            </w:r>
            <w:r>
              <w:rPr/>
              <w:t>6,</w:t>
            </w:r>
            <w:r>
              <w:rPr>
                <w:spacing w:val="-1"/>
              </w:rPr>
              <w:t> </w:t>
            </w:r>
            <w:r>
              <w:rPr>
                <w:spacing w:val="-10"/>
              </w:rPr>
              <w:t>7</w:t>
            </w:r>
            <w:r>
              <w:rPr/>
              <w:tab/>
            </w:r>
            <w:r>
              <w:rPr>
                <w:spacing w:val="-10"/>
              </w:rPr>
              <w:t>4</w:t>
            </w:r>
          </w:hyperlink>
        </w:p>
        <w:p>
          <w:pPr>
            <w:pStyle w:val="TOC3"/>
            <w:tabs>
              <w:tab w:pos="9470" w:val="right" w:leader="dot"/>
            </w:tabs>
          </w:pPr>
          <w:hyperlink w:history="true" w:anchor="_bookmark4">
            <w:r>
              <w:rPr/>
              <w:t>Dallas</w:t>
            </w:r>
            <w:r>
              <w:rPr>
                <w:spacing w:val="-6"/>
              </w:rPr>
              <w:t> </w:t>
            </w:r>
            <w:r>
              <w:rPr/>
              <w:t>Homebuyer Assistance</w:t>
            </w:r>
            <w:r>
              <w:rPr>
                <w:spacing w:val="-4"/>
              </w:rPr>
              <w:t> </w:t>
            </w:r>
            <w:r>
              <w:rPr/>
              <w:t>Program</w:t>
            </w:r>
            <w:r>
              <w:rPr>
                <w:spacing w:val="-2"/>
              </w:rPr>
              <w:t> </w:t>
            </w:r>
            <w:r>
              <w:rPr/>
              <w:t>Pillars</w:t>
            </w:r>
            <w:r>
              <w:rPr>
                <w:spacing w:val="-4"/>
              </w:rPr>
              <w:t> </w:t>
            </w:r>
            <w:r>
              <w:rPr/>
              <w:t>1,</w:t>
            </w:r>
            <w:r>
              <w:rPr>
                <w:spacing w:val="-2"/>
              </w:rPr>
              <w:t> </w:t>
            </w:r>
            <w:r>
              <w:rPr/>
              <w:t>6,</w:t>
            </w:r>
            <w:r>
              <w:rPr>
                <w:spacing w:val="-2"/>
              </w:rPr>
              <w:t> </w:t>
            </w:r>
            <w:r>
              <w:rPr>
                <w:spacing w:val="-10"/>
              </w:rPr>
              <w:t>7</w:t>
            </w:r>
            <w:r>
              <w:rPr/>
              <w:tab/>
            </w:r>
            <w:r>
              <w:rPr>
                <w:spacing w:val="-5"/>
              </w:rPr>
              <w:t>21</w:t>
            </w:r>
          </w:hyperlink>
        </w:p>
        <w:p>
          <w:pPr>
            <w:pStyle w:val="TOC3"/>
            <w:tabs>
              <w:tab w:pos="9470" w:val="right" w:leader="dot"/>
            </w:tabs>
            <w:spacing w:before="102"/>
          </w:pPr>
          <w:hyperlink w:history="true" w:anchor="_bookmark5">
            <w:r>
              <w:rPr/>
              <w:t>DHAP</w:t>
            </w:r>
            <w:r>
              <w:rPr>
                <w:spacing w:val="-4"/>
              </w:rPr>
              <w:t> </w:t>
            </w:r>
            <w:r>
              <w:rPr/>
              <w:t>Targeted</w:t>
            </w:r>
            <w:r>
              <w:rPr>
                <w:spacing w:val="-3"/>
              </w:rPr>
              <w:t> </w:t>
            </w:r>
            <w:r>
              <w:rPr/>
              <w:t>Homebuyer</w:t>
            </w:r>
            <w:r>
              <w:rPr>
                <w:spacing w:val="-3"/>
              </w:rPr>
              <w:t> </w:t>
            </w:r>
            <w:r>
              <w:rPr/>
              <w:t>Incentive</w:t>
            </w:r>
            <w:r>
              <w:rPr>
                <w:spacing w:val="-3"/>
              </w:rPr>
              <w:t> </w:t>
            </w:r>
            <w:r>
              <w:rPr/>
              <w:t>Program</w:t>
            </w:r>
            <w:r>
              <w:rPr>
                <w:spacing w:val="-2"/>
              </w:rPr>
              <w:t> </w:t>
            </w:r>
            <w:r>
              <w:rPr/>
              <w:t>Pillars</w:t>
            </w:r>
            <w:r>
              <w:rPr>
                <w:spacing w:val="-3"/>
              </w:rPr>
              <w:t> </w:t>
            </w:r>
            <w:r>
              <w:rPr/>
              <w:t>1,</w:t>
            </w:r>
            <w:r>
              <w:rPr>
                <w:spacing w:val="-2"/>
              </w:rPr>
              <w:t> </w:t>
            </w:r>
            <w:r>
              <w:rPr/>
              <w:t>3,</w:t>
            </w:r>
            <w:r>
              <w:rPr>
                <w:spacing w:val="-2"/>
              </w:rPr>
              <w:t> </w:t>
            </w:r>
            <w:r>
              <w:rPr/>
              <w:t>4,</w:t>
            </w:r>
            <w:r>
              <w:rPr>
                <w:spacing w:val="-2"/>
              </w:rPr>
              <w:t> </w:t>
            </w:r>
            <w:r>
              <w:rPr/>
              <w:t>5,</w:t>
            </w:r>
            <w:r>
              <w:rPr>
                <w:spacing w:val="-2"/>
              </w:rPr>
              <w:t> </w:t>
            </w:r>
            <w:r>
              <w:rPr/>
              <w:t>6,</w:t>
            </w:r>
            <w:r>
              <w:rPr>
                <w:spacing w:val="-1"/>
              </w:rPr>
              <w:t> </w:t>
            </w:r>
            <w:r>
              <w:rPr>
                <w:spacing w:val="-10"/>
              </w:rPr>
              <w:t>7</w:t>
            </w:r>
            <w:r>
              <w:rPr/>
              <w:tab/>
            </w:r>
            <w:r>
              <w:rPr>
                <w:spacing w:val="-5"/>
              </w:rPr>
              <w:t>23</w:t>
            </w:r>
          </w:hyperlink>
        </w:p>
        <w:p>
          <w:pPr>
            <w:pStyle w:val="TOC3"/>
            <w:tabs>
              <w:tab w:pos="9470" w:val="right" w:leader="dot"/>
            </w:tabs>
            <w:spacing w:before="100"/>
          </w:pPr>
          <w:r>
            <w:rPr/>
            <w:pict>
              <v:shape style="position:absolute;margin-left:90.065002pt;margin-top:6.026278pt;width:395.3pt;height:419pt;mso-position-horizontal-relative:page;mso-position-vertical-relative:paragraph;z-index:-17738240" id="docshape18" coordorigin="1801,121" coordsize="7906,8380" path="m4498,7384l4492,7311,4477,7233,4455,7150,4432,7081,4403,7009,4367,6934,4325,6856,4276,6775,4237,6716,4200,6665,4200,7351,4197,7407,4186,7464,4167,7522,4138,7581,4097,7644,4044,7710,3979,7779,3674,8085,2216,6627,2517,6326,2598,6250,2672,6190,2740,6147,2801,6120,2868,6106,2941,6102,3020,6108,3105,6126,3195,6155,3255,6181,3317,6213,3380,6252,3446,6297,3514,6349,3584,6407,3656,6472,3729,6543,3789,6604,3845,6665,3896,6724,3943,6781,3986,6838,4025,6893,4059,6947,4101,7022,4136,7094,4163,7164,4183,7231,4196,7295,4200,7351,4200,6665,4194,6656,4148,6596,4098,6536,4045,6475,3989,6413,3929,6352,3865,6289,3801,6231,3737,6176,3673,6125,3643,6102,3609,6077,3546,6032,3482,5991,3419,5953,3346,5915,3274,5883,3203,5856,3132,5834,3062,5817,2992,5805,2923,5797,2850,5796,2779,5803,2709,5818,2642,5840,2577,5871,2528,5899,2476,5936,2420,5982,2359,6036,2294,6098,1801,6591,3710,8500,4124,8085,4226,7983,4287,7918,4341,7853,4386,7787,4424,7720,4454,7654,4476,7587,4491,7520,4498,7453,4498,7384xm6418,5791l6056,5664,5650,5521,5561,5491,5475,5468,5393,5448,5365,5443,5314,5434,5239,5424,5193,5422,5143,5425,5089,5432,5030,5443,5073,5374,5109,5304,5136,5235,5154,5166,5164,5097,5165,5029,5157,4961,5139,4883,5111,4807,5075,4733,5030,4660,4976,4589,4956,4567,4913,4521,4872,4482,4872,5040,4868,5096,4854,5150,4830,5207,4794,5265,4747,5326,4687,5390,4280,5797,3649,5166,4102,4713,4166,4656,4229,4612,4293,4583,4358,4568,4422,4567,4501,4582,4577,4612,4649,4656,4718,4716,4761,4763,4797,4814,4827,4868,4851,4924,4867,4983,4872,5040,4872,4482,4849,4461,4782,4409,4713,4363,4641,4325,4566,4292,4474,4264,4386,4251,4303,4253,4225,4269,4163,4294,4098,4331,4030,4379,3958,4439,3883,4510,3248,5144,5157,7053,5346,6863,4499,6016,4718,5797,4753,5762,4783,5735,4810,5714,4833,5700,4863,5686,4896,5675,4932,5668,4971,5664,5014,5664,5066,5669,5125,5679,5194,5695,5256,5713,5328,5734,5407,5759,5496,5788,6180,6029,6418,5791xm7780,4429l7415,4234,6555,3780,6555,4087,6070,4572,6030,4500,5989,4429,5748,3998,5708,3926,5668,3855,5629,3789,5590,3725,5550,3661,5509,3598,5467,3535,5424,3474,5380,3413,5436,3449,5498,3487,5564,3527,5635,3569,5792,3659,6555,4087,6555,3780,5862,3413,5286,3107,5082,3311,5277,3661,5316,3731,5701,4429,6207,5348,6441,5769,6642,5567,6565,5434,6298,4966,6221,4832,6481,4572,6820,4234,7173,4429,7565,4645,7780,4429xm8131,4078l7264,3211,7936,2540,7711,2314,7039,2986,6448,2395,7224,1619,6999,1394,6033,2360,7941,4268,8131,4078xm9707,2502l8024,819,8497,346,8272,121,7138,1255,7363,1480,7834,1009,9517,2692,9707,2502xe" filled="true" fillcolor="#c0c0c0" stroked="false">
                <v:path arrowok="t"/>
                <v:fill opacity="32896f" type="solid"/>
                <w10:wrap type="none"/>
              </v:shape>
            </w:pict>
          </w:r>
          <w:hyperlink w:history="true" w:anchor="_bookmark6">
            <w:r>
              <w:rPr/>
              <w:t>Anti-Displacement</w:t>
            </w:r>
            <w:r>
              <w:rPr>
                <w:spacing w:val="-18"/>
              </w:rPr>
              <w:t> </w:t>
            </w:r>
            <w:r>
              <w:rPr/>
              <w:t>Assistance</w:t>
            </w:r>
            <w:r>
              <w:rPr>
                <w:spacing w:val="-18"/>
              </w:rPr>
              <w:t> </w:t>
            </w:r>
            <w:r>
              <w:rPr/>
              <w:t>Program</w:t>
            </w:r>
            <w:r>
              <w:rPr>
                <w:spacing w:val="-11"/>
              </w:rPr>
              <w:t> </w:t>
            </w:r>
            <w:r>
              <w:rPr/>
              <w:t>Pillars</w:t>
            </w:r>
            <w:r>
              <w:rPr>
                <w:spacing w:val="-6"/>
              </w:rPr>
              <w:t> </w:t>
            </w:r>
            <w:r>
              <w:rPr/>
              <w:t>1,</w:t>
            </w:r>
            <w:r>
              <w:rPr>
                <w:spacing w:val="-3"/>
              </w:rPr>
              <w:t> </w:t>
            </w:r>
            <w:r>
              <w:rPr/>
              <w:t>3,</w:t>
            </w:r>
            <w:r>
              <w:rPr>
                <w:spacing w:val="-4"/>
              </w:rPr>
              <w:t> </w:t>
            </w:r>
            <w:r>
              <w:rPr/>
              <w:t>4,</w:t>
            </w:r>
            <w:r>
              <w:rPr>
                <w:spacing w:val="-3"/>
              </w:rPr>
              <w:t> </w:t>
            </w:r>
            <w:r>
              <w:rPr/>
              <w:t>5,</w:t>
            </w:r>
            <w:r>
              <w:rPr>
                <w:spacing w:val="-4"/>
              </w:rPr>
              <w:t> </w:t>
            </w:r>
            <w:r>
              <w:rPr/>
              <w:t>6,</w:t>
            </w:r>
            <w:r>
              <w:rPr>
                <w:spacing w:val="-3"/>
              </w:rPr>
              <w:t> </w:t>
            </w:r>
            <w:r>
              <w:rPr>
                <w:spacing w:val="-10"/>
              </w:rPr>
              <w:t>7</w:t>
            </w:r>
            <w:r>
              <w:rPr/>
              <w:tab/>
            </w:r>
            <w:r>
              <w:rPr>
                <w:spacing w:val="-5"/>
              </w:rPr>
              <w:t>26</w:t>
            </w:r>
          </w:hyperlink>
        </w:p>
        <w:p>
          <w:pPr>
            <w:pStyle w:val="TOC3"/>
            <w:tabs>
              <w:tab w:pos="9470" w:val="right" w:leader="dot"/>
            </w:tabs>
          </w:pPr>
          <w:hyperlink w:history="true" w:anchor="_bookmark7">
            <w:r>
              <w:rPr/>
              <w:t>Title</w:t>
            </w:r>
            <w:r>
              <w:rPr>
                <w:spacing w:val="-5"/>
              </w:rPr>
              <w:t> </w:t>
            </w:r>
            <w:r>
              <w:rPr/>
              <w:t>Clearing</w:t>
            </w:r>
            <w:r>
              <w:rPr>
                <w:spacing w:val="-2"/>
              </w:rPr>
              <w:t> </w:t>
            </w:r>
            <w:r>
              <w:rPr/>
              <w:t>and</w:t>
            </w:r>
            <w:r>
              <w:rPr>
                <w:spacing w:val="-3"/>
              </w:rPr>
              <w:t> </w:t>
            </w:r>
            <w:r>
              <w:rPr/>
              <w:t>Clouded</w:t>
            </w:r>
            <w:r>
              <w:rPr>
                <w:spacing w:val="-2"/>
              </w:rPr>
              <w:t> </w:t>
            </w:r>
            <w:r>
              <w:rPr/>
              <w:t>Title</w:t>
            </w:r>
            <w:r>
              <w:rPr>
                <w:spacing w:val="-3"/>
              </w:rPr>
              <w:t> </w:t>
            </w:r>
            <w:r>
              <w:rPr/>
              <w:t>Prevention</w:t>
            </w:r>
            <w:r>
              <w:rPr>
                <w:spacing w:val="-2"/>
              </w:rPr>
              <w:t> </w:t>
            </w:r>
            <w:r>
              <w:rPr/>
              <w:t>Program</w:t>
            </w:r>
            <w:r>
              <w:rPr>
                <w:spacing w:val="-2"/>
              </w:rPr>
              <w:t> </w:t>
            </w:r>
            <w:r>
              <w:rPr/>
              <w:t>Pillars</w:t>
            </w:r>
            <w:r>
              <w:rPr>
                <w:spacing w:val="-2"/>
              </w:rPr>
              <w:t> </w:t>
            </w:r>
            <w:r>
              <w:rPr/>
              <w:t>1,</w:t>
            </w:r>
            <w:r>
              <w:rPr>
                <w:spacing w:val="-2"/>
              </w:rPr>
              <w:t> </w:t>
            </w:r>
            <w:r>
              <w:rPr/>
              <w:t>3,</w:t>
            </w:r>
            <w:r>
              <w:rPr>
                <w:spacing w:val="-1"/>
              </w:rPr>
              <w:t> </w:t>
            </w:r>
            <w:r>
              <w:rPr>
                <w:spacing w:val="-10"/>
              </w:rPr>
              <w:t>6</w:t>
            </w:r>
            <w:r>
              <w:rPr/>
              <w:tab/>
            </w:r>
            <w:r>
              <w:rPr>
                <w:spacing w:val="-5"/>
              </w:rPr>
              <w:t>29</w:t>
            </w:r>
          </w:hyperlink>
        </w:p>
        <w:p>
          <w:pPr>
            <w:pStyle w:val="TOC3"/>
            <w:tabs>
              <w:tab w:pos="9470" w:val="right" w:leader="dot"/>
            </w:tabs>
            <w:spacing w:before="100"/>
          </w:pPr>
          <w:hyperlink w:history="true" w:anchor="_bookmark8">
            <w:r>
              <w:rPr/>
              <w:t>Targeted</w:t>
            </w:r>
            <w:r>
              <w:rPr>
                <w:spacing w:val="-6"/>
              </w:rPr>
              <w:t> </w:t>
            </w:r>
            <w:r>
              <w:rPr/>
              <w:t>Rehabilitation</w:t>
            </w:r>
            <w:r>
              <w:rPr>
                <w:spacing w:val="-4"/>
              </w:rPr>
              <w:t> </w:t>
            </w:r>
            <w:r>
              <w:rPr/>
              <w:t>Program</w:t>
            </w:r>
            <w:r>
              <w:rPr>
                <w:spacing w:val="-1"/>
              </w:rPr>
              <w:t> </w:t>
            </w:r>
            <w:r>
              <w:rPr/>
              <w:t>Pillars</w:t>
            </w:r>
            <w:r>
              <w:rPr>
                <w:spacing w:val="-3"/>
              </w:rPr>
              <w:t> </w:t>
            </w:r>
            <w:r>
              <w:rPr/>
              <w:t>1,</w:t>
            </w:r>
            <w:r>
              <w:rPr>
                <w:spacing w:val="-3"/>
              </w:rPr>
              <w:t> </w:t>
            </w:r>
            <w:r>
              <w:rPr/>
              <w:t>3,</w:t>
            </w:r>
            <w:r>
              <w:rPr>
                <w:spacing w:val="-2"/>
              </w:rPr>
              <w:t> </w:t>
            </w:r>
            <w:r>
              <w:rPr>
                <w:spacing w:val="-10"/>
              </w:rPr>
              <w:t>6</w:t>
            </w:r>
            <w:r>
              <w:rPr/>
              <w:tab/>
            </w:r>
            <w:r>
              <w:rPr>
                <w:spacing w:val="-5"/>
              </w:rPr>
              <w:t>31</w:t>
            </w:r>
          </w:hyperlink>
        </w:p>
        <w:p>
          <w:pPr>
            <w:pStyle w:val="TOC3"/>
            <w:tabs>
              <w:tab w:pos="9470" w:val="right" w:leader="dot"/>
            </w:tabs>
          </w:pPr>
          <w:hyperlink w:history="true" w:anchor="_bookmark9">
            <w:r>
              <w:rPr/>
              <w:t>Targeted</w:t>
            </w:r>
            <w:r>
              <w:rPr>
                <w:spacing w:val="-4"/>
              </w:rPr>
              <w:t> </w:t>
            </w:r>
            <w:r>
              <w:rPr/>
              <w:t>Rehabilitation</w:t>
            </w:r>
            <w:r>
              <w:rPr>
                <w:spacing w:val="-3"/>
              </w:rPr>
              <w:t> </w:t>
            </w:r>
            <w:r>
              <w:rPr/>
              <w:t>Program</w:t>
            </w:r>
            <w:r>
              <w:rPr>
                <w:spacing w:val="-1"/>
              </w:rPr>
              <w:t> </w:t>
            </w:r>
            <w:r>
              <w:rPr/>
              <w:t>-</w:t>
            </w:r>
            <w:r>
              <w:rPr>
                <w:spacing w:val="-2"/>
              </w:rPr>
              <w:t> </w:t>
            </w:r>
            <w:r>
              <w:rPr/>
              <w:t>West</w:t>
            </w:r>
            <w:r>
              <w:rPr>
                <w:spacing w:val="-4"/>
              </w:rPr>
              <w:t> </w:t>
            </w:r>
            <w:r>
              <w:rPr/>
              <w:t>Dallas</w:t>
            </w:r>
            <w:r>
              <w:rPr>
                <w:spacing w:val="-1"/>
              </w:rPr>
              <w:t> </w:t>
            </w:r>
            <w:r>
              <w:rPr/>
              <w:t>Sub-Program</w:t>
            </w:r>
            <w:r>
              <w:rPr>
                <w:spacing w:val="-3"/>
              </w:rPr>
              <w:t> </w:t>
            </w:r>
            <w:r>
              <w:rPr/>
              <w:t>Module</w:t>
            </w:r>
            <w:r>
              <w:rPr>
                <w:spacing w:val="-3"/>
              </w:rPr>
              <w:t> </w:t>
            </w:r>
            <w:r>
              <w:rPr/>
              <w:t>Pillars</w:t>
            </w:r>
            <w:r>
              <w:rPr>
                <w:spacing w:val="-4"/>
              </w:rPr>
              <w:t> </w:t>
            </w:r>
            <w:r>
              <w:rPr/>
              <w:t>1,</w:t>
            </w:r>
            <w:r>
              <w:rPr>
                <w:spacing w:val="-2"/>
              </w:rPr>
              <w:t> </w:t>
            </w:r>
            <w:r>
              <w:rPr/>
              <w:t>3,</w:t>
            </w:r>
            <w:r>
              <w:rPr>
                <w:spacing w:val="-2"/>
              </w:rPr>
              <w:t> </w:t>
            </w:r>
            <w:r>
              <w:rPr>
                <w:spacing w:val="-10"/>
              </w:rPr>
              <w:t>6</w:t>
            </w:r>
            <w:r>
              <w:rPr/>
              <w:tab/>
            </w:r>
            <w:r>
              <w:rPr>
                <w:spacing w:val="-5"/>
              </w:rPr>
              <w:t>36</w:t>
            </w:r>
          </w:hyperlink>
        </w:p>
        <w:p>
          <w:pPr>
            <w:pStyle w:val="TOC3"/>
            <w:tabs>
              <w:tab w:pos="9471" w:val="right" w:leader="dot"/>
            </w:tabs>
            <w:spacing w:before="102"/>
          </w:pPr>
          <w:hyperlink w:history="true" w:anchor="_bookmark10">
            <w:r>
              <w:rPr/>
              <w:t>Targeted</w:t>
            </w:r>
            <w:r>
              <w:rPr>
                <w:spacing w:val="-6"/>
              </w:rPr>
              <w:t> </w:t>
            </w:r>
            <w:r>
              <w:rPr/>
              <w:t>Rehabilitation</w:t>
            </w:r>
            <w:r>
              <w:rPr>
                <w:spacing w:val="-4"/>
              </w:rPr>
              <w:t> </w:t>
            </w:r>
            <w:r>
              <w:rPr/>
              <w:t>Program</w:t>
            </w:r>
            <w:r>
              <w:rPr>
                <w:spacing w:val="-1"/>
              </w:rPr>
              <w:t> </w:t>
            </w:r>
            <w:r>
              <w:rPr/>
              <w:t>-</w:t>
            </w:r>
            <w:r>
              <w:rPr>
                <w:spacing w:val="-3"/>
              </w:rPr>
              <w:t> </w:t>
            </w:r>
            <w:r>
              <w:rPr/>
              <w:t>Tenth</w:t>
            </w:r>
            <w:r>
              <w:rPr>
                <w:spacing w:val="-3"/>
              </w:rPr>
              <w:t> </w:t>
            </w:r>
            <w:r>
              <w:rPr/>
              <w:t>Street</w:t>
            </w:r>
            <w:r>
              <w:rPr>
                <w:spacing w:val="-4"/>
              </w:rPr>
              <w:t> </w:t>
            </w:r>
            <w:r>
              <w:rPr/>
              <w:t>Historic</w:t>
            </w:r>
            <w:r>
              <w:rPr>
                <w:spacing w:val="-3"/>
              </w:rPr>
              <w:t> </w:t>
            </w:r>
            <w:r>
              <w:rPr/>
              <w:t>District</w:t>
            </w:r>
            <w:r>
              <w:rPr>
                <w:spacing w:val="-1"/>
              </w:rPr>
              <w:t> </w:t>
            </w:r>
            <w:r>
              <w:rPr/>
              <w:t>Sub-Program</w:t>
            </w:r>
            <w:r>
              <w:rPr>
                <w:spacing w:val="-3"/>
              </w:rPr>
              <w:t> </w:t>
            </w:r>
            <w:r>
              <w:rPr/>
              <w:t>Module</w:t>
            </w:r>
            <w:r>
              <w:rPr>
                <w:spacing w:val="-3"/>
              </w:rPr>
              <w:t> </w:t>
            </w:r>
            <w:r>
              <w:rPr/>
              <w:t>Pillars</w:t>
            </w:r>
            <w:r>
              <w:rPr>
                <w:spacing w:val="-4"/>
              </w:rPr>
              <w:t> </w:t>
            </w:r>
            <w:r>
              <w:rPr/>
              <w:t>1,</w:t>
            </w:r>
            <w:r>
              <w:rPr>
                <w:spacing w:val="-3"/>
              </w:rPr>
              <w:t> </w:t>
            </w:r>
            <w:r>
              <w:rPr/>
              <w:t>3,</w:t>
            </w:r>
            <w:r>
              <w:rPr>
                <w:spacing w:val="-2"/>
              </w:rPr>
              <w:t> </w:t>
            </w:r>
            <w:r>
              <w:rPr>
                <w:spacing w:val="-10"/>
              </w:rPr>
              <w:t>6</w:t>
            </w:r>
            <w:r>
              <w:rPr/>
              <w:tab/>
            </w:r>
            <w:r>
              <w:rPr>
                <w:spacing w:val="-5"/>
              </w:rPr>
              <w:t>39</w:t>
            </w:r>
          </w:hyperlink>
        </w:p>
        <w:p>
          <w:pPr>
            <w:pStyle w:val="TOC3"/>
            <w:tabs>
              <w:tab w:pos="9471" w:val="right" w:leader="dot"/>
            </w:tabs>
          </w:pPr>
          <w:hyperlink w:history="true" w:anchor="_bookmark11">
            <w:r>
              <w:rPr/>
              <w:t>Dallas</w:t>
            </w:r>
            <w:r>
              <w:rPr>
                <w:spacing w:val="-3"/>
              </w:rPr>
              <w:t> </w:t>
            </w:r>
            <w:r>
              <w:rPr/>
              <w:t>Tomorrow</w:t>
            </w:r>
            <w:r>
              <w:rPr>
                <w:spacing w:val="-2"/>
              </w:rPr>
              <w:t> </w:t>
            </w:r>
            <w:r>
              <w:rPr/>
              <w:t>Fund</w:t>
            </w:r>
            <w:r>
              <w:rPr>
                <w:spacing w:val="-2"/>
              </w:rPr>
              <w:t> </w:t>
            </w:r>
            <w:r>
              <w:rPr/>
              <w:t>Pillars</w:t>
            </w:r>
            <w:r>
              <w:rPr>
                <w:spacing w:val="-3"/>
              </w:rPr>
              <w:t> </w:t>
            </w:r>
            <w:r>
              <w:rPr/>
              <w:t>3,</w:t>
            </w:r>
            <w:r>
              <w:rPr>
                <w:spacing w:val="-2"/>
              </w:rPr>
              <w:t> </w:t>
            </w:r>
            <w:r>
              <w:rPr>
                <w:spacing w:val="-10"/>
              </w:rPr>
              <w:t>6</w:t>
            </w:r>
            <w:r>
              <w:rPr/>
              <w:tab/>
            </w:r>
            <w:r>
              <w:rPr>
                <w:spacing w:val="-5"/>
              </w:rPr>
              <w:t>42</w:t>
            </w:r>
          </w:hyperlink>
        </w:p>
        <w:p>
          <w:pPr>
            <w:pStyle w:val="TOC3"/>
            <w:tabs>
              <w:tab w:pos="9471" w:val="right" w:leader="dot"/>
            </w:tabs>
            <w:spacing w:before="100"/>
            <w:ind w:left="841"/>
          </w:pPr>
          <w:hyperlink w:history="true" w:anchor="_bookmark12">
            <w:r>
              <w:rPr/>
              <w:t>Lead</w:t>
            </w:r>
            <w:r>
              <w:rPr>
                <w:spacing w:val="-3"/>
              </w:rPr>
              <w:t> </w:t>
            </w:r>
            <w:r>
              <w:rPr/>
              <w:t>Hazard</w:t>
            </w:r>
            <w:r>
              <w:rPr>
                <w:spacing w:val="-2"/>
              </w:rPr>
              <w:t> </w:t>
            </w:r>
            <w:r>
              <w:rPr/>
              <w:t>Reduction</w:t>
            </w:r>
            <w:r>
              <w:rPr>
                <w:spacing w:val="-2"/>
              </w:rPr>
              <w:t> </w:t>
            </w:r>
            <w:r>
              <w:rPr/>
              <w:t>Demonstration</w:t>
            </w:r>
            <w:r>
              <w:rPr>
                <w:spacing w:val="-2"/>
              </w:rPr>
              <w:t> </w:t>
            </w:r>
            <w:r>
              <w:rPr/>
              <w:t>Grant</w:t>
            </w:r>
            <w:r>
              <w:rPr>
                <w:spacing w:val="77"/>
              </w:rPr>
              <w:t> </w:t>
            </w:r>
            <w:r>
              <w:rPr/>
              <w:t>Pillars</w:t>
            </w:r>
            <w:r>
              <w:rPr>
                <w:spacing w:val="-2"/>
              </w:rPr>
              <w:t> </w:t>
            </w:r>
            <w:r>
              <w:rPr/>
              <w:t>3,</w:t>
            </w:r>
            <w:r>
              <w:rPr>
                <w:spacing w:val="-1"/>
              </w:rPr>
              <w:t> </w:t>
            </w:r>
            <w:r>
              <w:rPr>
                <w:spacing w:val="-10"/>
              </w:rPr>
              <w:t>6</w:t>
            </w:r>
            <w:r>
              <w:rPr/>
              <w:tab/>
            </w:r>
            <w:r>
              <w:rPr>
                <w:spacing w:val="-5"/>
              </w:rPr>
              <w:t>45</w:t>
            </w:r>
          </w:hyperlink>
        </w:p>
        <w:p>
          <w:pPr>
            <w:pStyle w:val="TOC3"/>
            <w:tabs>
              <w:tab w:pos="9471" w:val="right" w:leader="dot"/>
            </w:tabs>
            <w:ind w:left="841"/>
          </w:pPr>
          <w:hyperlink w:history="true" w:anchor="_bookmark13">
            <w:r>
              <w:rPr/>
              <w:t>Senior</w:t>
            </w:r>
            <w:r>
              <w:rPr>
                <w:spacing w:val="-3"/>
              </w:rPr>
              <w:t> </w:t>
            </w:r>
            <w:r>
              <w:rPr/>
              <w:t>Home</w:t>
            </w:r>
            <w:r>
              <w:rPr>
                <w:spacing w:val="-3"/>
              </w:rPr>
              <w:t> </w:t>
            </w:r>
            <w:r>
              <w:rPr/>
              <w:t>Rehabilitation</w:t>
            </w:r>
            <w:r>
              <w:rPr>
                <w:spacing w:val="-3"/>
              </w:rPr>
              <w:t> </w:t>
            </w:r>
            <w:r>
              <w:rPr/>
              <w:t>Program</w:t>
            </w:r>
            <w:r>
              <w:rPr>
                <w:spacing w:val="37"/>
              </w:rPr>
              <w:t> </w:t>
            </w:r>
            <w:r>
              <w:rPr/>
              <w:t>Pillars</w:t>
            </w:r>
            <w:r>
              <w:rPr>
                <w:spacing w:val="-2"/>
              </w:rPr>
              <w:t> </w:t>
            </w:r>
            <w:r>
              <w:rPr/>
              <w:t>1,</w:t>
            </w:r>
            <w:r>
              <w:rPr>
                <w:spacing w:val="-2"/>
              </w:rPr>
              <w:t> </w:t>
            </w:r>
            <w:r>
              <w:rPr/>
              <w:t>3,</w:t>
            </w:r>
            <w:r>
              <w:rPr>
                <w:spacing w:val="-2"/>
              </w:rPr>
              <w:t> </w:t>
            </w:r>
            <w:r>
              <w:rPr>
                <w:spacing w:val="-10"/>
              </w:rPr>
              <w:t>6</w:t>
            </w:r>
            <w:r>
              <w:rPr/>
              <w:tab/>
            </w:r>
            <w:r>
              <w:rPr>
                <w:spacing w:val="-5"/>
              </w:rPr>
              <w:t>46</w:t>
            </w:r>
          </w:hyperlink>
        </w:p>
        <w:p>
          <w:pPr>
            <w:pStyle w:val="TOC3"/>
            <w:tabs>
              <w:tab w:pos="9471" w:val="right" w:leader="dot"/>
            </w:tabs>
            <w:spacing w:before="102"/>
            <w:ind w:left="841"/>
          </w:pPr>
          <w:hyperlink w:history="true" w:anchor="_bookmark14">
            <w:r>
              <w:rPr/>
              <w:t>American</w:t>
            </w:r>
            <w:r>
              <w:rPr>
                <w:spacing w:val="-3"/>
              </w:rPr>
              <w:t> </w:t>
            </w:r>
            <w:r>
              <w:rPr/>
              <w:t>Rescue</w:t>
            </w:r>
            <w:r>
              <w:rPr>
                <w:spacing w:val="-3"/>
              </w:rPr>
              <w:t> </w:t>
            </w:r>
            <w:r>
              <w:rPr/>
              <w:t>Plan</w:t>
            </w:r>
            <w:r>
              <w:rPr>
                <w:spacing w:val="-3"/>
              </w:rPr>
              <w:t> </w:t>
            </w:r>
            <w:r>
              <w:rPr/>
              <w:t>Act –</w:t>
            </w:r>
            <w:r>
              <w:rPr>
                <w:spacing w:val="-3"/>
              </w:rPr>
              <w:t> </w:t>
            </w:r>
            <w:r>
              <w:rPr/>
              <w:t>Neighborhood</w:t>
            </w:r>
            <w:r>
              <w:rPr>
                <w:spacing w:val="-3"/>
              </w:rPr>
              <w:t> </w:t>
            </w:r>
            <w:r>
              <w:rPr/>
              <w:t>Revitalization</w:t>
            </w:r>
            <w:r>
              <w:rPr>
                <w:spacing w:val="-3"/>
              </w:rPr>
              <w:t> </w:t>
            </w:r>
            <w:r>
              <w:rPr/>
              <w:t>Program Pillars</w:t>
            </w:r>
            <w:r>
              <w:rPr>
                <w:spacing w:val="-3"/>
              </w:rPr>
              <w:t> </w:t>
            </w:r>
            <w:r>
              <w:rPr/>
              <w:t>1,</w:t>
            </w:r>
            <w:r>
              <w:rPr>
                <w:spacing w:val="-2"/>
              </w:rPr>
              <w:t> </w:t>
            </w:r>
            <w:r>
              <w:rPr/>
              <w:t>3,</w:t>
            </w:r>
            <w:r>
              <w:rPr>
                <w:spacing w:val="-2"/>
              </w:rPr>
              <w:t> </w:t>
            </w:r>
            <w:r>
              <w:rPr>
                <w:spacing w:val="-10"/>
              </w:rPr>
              <w:t>6</w:t>
            </w:r>
            <w:r>
              <w:rPr/>
              <w:tab/>
            </w:r>
            <w:r>
              <w:rPr>
                <w:spacing w:val="-5"/>
              </w:rPr>
              <w:t>49</w:t>
            </w:r>
          </w:hyperlink>
        </w:p>
        <w:p>
          <w:pPr>
            <w:pStyle w:val="TOC2"/>
            <w:tabs>
              <w:tab w:pos="9471" w:val="right" w:leader="dot"/>
            </w:tabs>
            <w:spacing w:before="100"/>
            <w:ind w:left="572"/>
          </w:pPr>
          <w:hyperlink w:history="true" w:anchor="_bookmark15">
            <w:r>
              <w:rPr/>
              <w:t>DEVELOPER</w:t>
            </w:r>
            <w:r>
              <w:rPr>
                <w:spacing w:val="-3"/>
              </w:rPr>
              <w:t> </w:t>
            </w:r>
            <w:r>
              <w:rPr>
                <w:spacing w:val="-2"/>
              </w:rPr>
              <w:t>PROGRAMS</w:t>
            </w:r>
            <w:r>
              <w:rPr/>
              <w:tab/>
            </w:r>
            <w:r>
              <w:rPr>
                <w:spacing w:val="-7"/>
              </w:rPr>
              <w:t>55</w:t>
            </w:r>
          </w:hyperlink>
        </w:p>
        <w:p>
          <w:pPr>
            <w:pStyle w:val="TOC3"/>
            <w:tabs>
              <w:tab w:pos="9471" w:val="right" w:leader="dot"/>
            </w:tabs>
            <w:spacing w:before="32"/>
            <w:ind w:left="841"/>
          </w:pPr>
          <w:hyperlink w:history="true" w:anchor="_bookmark16">
            <w:r>
              <w:rPr/>
              <w:t>New</w:t>
            </w:r>
            <w:r>
              <w:rPr>
                <w:spacing w:val="-1"/>
              </w:rPr>
              <w:t> </w:t>
            </w:r>
            <w:r>
              <w:rPr/>
              <w:t>Construction</w:t>
            </w:r>
            <w:r>
              <w:rPr>
                <w:spacing w:val="-3"/>
              </w:rPr>
              <w:t> </w:t>
            </w:r>
            <w:r>
              <w:rPr/>
              <w:t>and</w:t>
            </w:r>
            <w:r>
              <w:rPr>
                <w:spacing w:val="-2"/>
              </w:rPr>
              <w:t> </w:t>
            </w:r>
            <w:r>
              <w:rPr/>
              <w:t>Substantial</w:t>
            </w:r>
            <w:r>
              <w:rPr>
                <w:spacing w:val="-2"/>
              </w:rPr>
              <w:t> </w:t>
            </w:r>
            <w:r>
              <w:rPr/>
              <w:t>Rehabilitation</w:t>
            </w:r>
            <w:r>
              <w:rPr>
                <w:spacing w:val="-3"/>
              </w:rPr>
              <w:t> </w:t>
            </w:r>
            <w:r>
              <w:rPr/>
              <w:t>Program</w:t>
            </w:r>
            <w:r>
              <w:rPr>
                <w:spacing w:val="-1"/>
              </w:rPr>
              <w:t> </w:t>
            </w:r>
            <w:r>
              <w:rPr/>
              <w:t>–</w:t>
            </w:r>
            <w:r>
              <w:rPr>
                <w:spacing w:val="-3"/>
              </w:rPr>
              <w:t> </w:t>
            </w:r>
            <w:r>
              <w:rPr/>
              <w:t>Pillars</w:t>
            </w:r>
            <w:r>
              <w:rPr>
                <w:spacing w:val="-1"/>
              </w:rPr>
              <w:t> </w:t>
            </w:r>
            <w:r>
              <w:rPr/>
              <w:t>1,</w:t>
            </w:r>
            <w:r>
              <w:rPr>
                <w:spacing w:val="-1"/>
              </w:rPr>
              <w:t> </w:t>
            </w:r>
            <w:r>
              <w:rPr/>
              <w:t>,2,</w:t>
            </w:r>
            <w:r>
              <w:rPr>
                <w:spacing w:val="-2"/>
              </w:rPr>
              <w:t> </w:t>
            </w:r>
            <w:r>
              <w:rPr/>
              <w:t>4,</w:t>
            </w:r>
            <w:r>
              <w:rPr>
                <w:spacing w:val="-1"/>
              </w:rPr>
              <w:t> </w:t>
            </w:r>
            <w:r>
              <w:rPr/>
              <w:t>6,</w:t>
            </w:r>
            <w:r>
              <w:rPr>
                <w:spacing w:val="-3"/>
              </w:rPr>
              <w:t> </w:t>
            </w:r>
            <w:r>
              <w:rPr>
                <w:spacing w:val="-10"/>
              </w:rPr>
              <w:t>7</w:t>
            </w:r>
            <w:r>
              <w:rPr/>
              <w:tab/>
            </w:r>
            <w:r>
              <w:rPr>
                <w:spacing w:val="-5"/>
              </w:rPr>
              <w:t>55</w:t>
            </w:r>
          </w:hyperlink>
        </w:p>
        <w:p>
          <w:pPr>
            <w:pStyle w:val="TOC3"/>
            <w:tabs>
              <w:tab w:pos="9471" w:val="right" w:leader="dot"/>
            </w:tabs>
            <w:ind w:left="841"/>
          </w:pPr>
          <w:hyperlink w:history="true" w:anchor="_bookmark17">
            <w:r>
              <w:rPr/>
              <w:t>Mixed</w:t>
            </w:r>
            <w:r>
              <w:rPr>
                <w:spacing w:val="-5"/>
              </w:rPr>
              <w:t> </w:t>
            </w:r>
            <w:r>
              <w:rPr/>
              <w:t>Income</w:t>
            </w:r>
            <w:r>
              <w:rPr>
                <w:spacing w:val="-2"/>
              </w:rPr>
              <w:t> </w:t>
            </w:r>
            <w:r>
              <w:rPr/>
              <w:t>Housing</w:t>
            </w:r>
            <w:r>
              <w:rPr>
                <w:spacing w:val="-2"/>
              </w:rPr>
              <w:t> </w:t>
            </w:r>
            <w:r>
              <w:rPr/>
              <w:t>Development</w:t>
            </w:r>
            <w:r>
              <w:rPr>
                <w:spacing w:val="-2"/>
              </w:rPr>
              <w:t> </w:t>
            </w:r>
            <w:r>
              <w:rPr/>
              <w:t>Bonus</w:t>
            </w:r>
            <w:r>
              <w:rPr>
                <w:spacing w:val="-3"/>
              </w:rPr>
              <w:t> </w:t>
            </w:r>
            <w:r>
              <w:rPr/>
              <w:t>Pillars</w:t>
            </w:r>
            <w:r>
              <w:rPr>
                <w:spacing w:val="-2"/>
              </w:rPr>
              <w:t> </w:t>
            </w:r>
            <w:r>
              <w:rPr/>
              <w:t>1,</w:t>
            </w:r>
            <w:r>
              <w:rPr>
                <w:spacing w:val="-1"/>
              </w:rPr>
              <w:t> </w:t>
            </w:r>
            <w:r>
              <w:rPr/>
              <w:t>2,</w:t>
            </w:r>
            <w:r>
              <w:rPr>
                <w:spacing w:val="-1"/>
              </w:rPr>
              <w:t> </w:t>
            </w:r>
            <w:r>
              <w:rPr/>
              <w:t>6,</w:t>
            </w:r>
            <w:r>
              <w:rPr>
                <w:spacing w:val="-1"/>
              </w:rPr>
              <w:t> </w:t>
            </w:r>
            <w:r>
              <w:rPr>
                <w:spacing w:val="-10"/>
              </w:rPr>
              <w:t>7</w:t>
            </w:r>
            <w:r>
              <w:rPr/>
              <w:tab/>
            </w:r>
            <w:r>
              <w:rPr>
                <w:spacing w:val="-5"/>
              </w:rPr>
              <w:t>64</w:t>
            </w:r>
          </w:hyperlink>
        </w:p>
        <w:p>
          <w:pPr>
            <w:pStyle w:val="TOC3"/>
            <w:tabs>
              <w:tab w:pos="9471" w:val="right" w:leader="dot"/>
            </w:tabs>
            <w:spacing w:before="100"/>
            <w:ind w:left="841"/>
          </w:pPr>
          <w:hyperlink w:history="true" w:anchor="_bookmark21">
            <w:r>
              <w:rPr/>
              <w:t>Land</w:t>
            </w:r>
            <w:r>
              <w:rPr>
                <w:spacing w:val="-3"/>
              </w:rPr>
              <w:t> </w:t>
            </w:r>
            <w:r>
              <w:rPr/>
              <w:t>Transfer</w:t>
            </w:r>
            <w:r>
              <w:rPr>
                <w:spacing w:val="-2"/>
              </w:rPr>
              <w:t> </w:t>
            </w:r>
            <w:r>
              <w:rPr/>
              <w:t>Program</w:t>
            </w:r>
            <w:r>
              <w:rPr>
                <w:spacing w:val="-1"/>
              </w:rPr>
              <w:t> </w:t>
            </w:r>
            <w:r>
              <w:rPr/>
              <w:t>Pillars</w:t>
            </w:r>
            <w:r>
              <w:rPr>
                <w:spacing w:val="-3"/>
              </w:rPr>
              <w:t> </w:t>
            </w:r>
            <w:r>
              <w:rPr/>
              <w:t>1,</w:t>
            </w:r>
            <w:r>
              <w:rPr>
                <w:spacing w:val="-1"/>
              </w:rPr>
              <w:t> </w:t>
            </w:r>
            <w:r>
              <w:rPr/>
              <w:t>2,</w:t>
            </w:r>
            <w:r>
              <w:rPr>
                <w:spacing w:val="-1"/>
              </w:rPr>
              <w:t> </w:t>
            </w:r>
            <w:r>
              <w:rPr/>
              <w:t>6,</w:t>
            </w:r>
            <w:r>
              <w:rPr>
                <w:spacing w:val="-1"/>
              </w:rPr>
              <w:t> </w:t>
            </w:r>
            <w:r>
              <w:rPr>
                <w:spacing w:val="-10"/>
              </w:rPr>
              <w:t>7</w:t>
            </w:r>
            <w:r>
              <w:rPr/>
              <w:tab/>
            </w:r>
            <w:r>
              <w:rPr>
                <w:spacing w:val="-5"/>
              </w:rPr>
              <w:t>68</w:t>
            </w:r>
          </w:hyperlink>
        </w:p>
        <w:p>
          <w:pPr>
            <w:pStyle w:val="TOC3"/>
            <w:tabs>
              <w:tab w:pos="9471" w:val="right" w:leader="dot"/>
            </w:tabs>
            <w:spacing w:before="102"/>
            <w:ind w:left="841"/>
          </w:pPr>
          <w:hyperlink w:history="true" w:anchor="_bookmark22">
            <w:r>
              <w:rPr/>
              <w:t>Community</w:t>
            </w:r>
            <w:r>
              <w:rPr>
                <w:spacing w:val="-4"/>
              </w:rPr>
              <w:t> </w:t>
            </w:r>
            <w:r>
              <w:rPr/>
              <w:t>Land</w:t>
            </w:r>
            <w:r>
              <w:rPr>
                <w:spacing w:val="-3"/>
              </w:rPr>
              <w:t> </w:t>
            </w:r>
            <w:r>
              <w:rPr/>
              <w:t>Trust</w:t>
            </w:r>
            <w:r>
              <w:rPr>
                <w:spacing w:val="-2"/>
              </w:rPr>
              <w:t> </w:t>
            </w:r>
            <w:r>
              <w:rPr/>
              <w:t>Program Pillars</w:t>
            </w:r>
            <w:r>
              <w:rPr>
                <w:spacing w:val="-3"/>
              </w:rPr>
              <w:t> </w:t>
            </w:r>
            <w:r>
              <w:rPr/>
              <w:t>1,</w:t>
            </w:r>
            <w:r>
              <w:rPr>
                <w:spacing w:val="-1"/>
              </w:rPr>
              <w:t> </w:t>
            </w:r>
            <w:r>
              <w:rPr/>
              <w:t>2,</w:t>
            </w:r>
            <w:r>
              <w:rPr>
                <w:spacing w:val="-2"/>
              </w:rPr>
              <w:t> </w:t>
            </w:r>
            <w:r>
              <w:rPr/>
              <w:t>5,</w:t>
            </w:r>
            <w:r>
              <w:rPr>
                <w:spacing w:val="-2"/>
              </w:rPr>
              <w:t> </w:t>
            </w:r>
            <w:r>
              <w:rPr/>
              <w:t>6,</w:t>
            </w:r>
            <w:r>
              <w:rPr>
                <w:spacing w:val="-1"/>
              </w:rPr>
              <w:t> </w:t>
            </w:r>
            <w:r>
              <w:rPr>
                <w:spacing w:val="-10"/>
              </w:rPr>
              <w:t>7</w:t>
            </w:r>
            <w:r>
              <w:rPr/>
              <w:tab/>
            </w:r>
            <w:r>
              <w:rPr>
                <w:spacing w:val="-5"/>
              </w:rPr>
              <w:t>73</w:t>
            </w:r>
          </w:hyperlink>
        </w:p>
        <w:p>
          <w:pPr>
            <w:pStyle w:val="TOC3"/>
            <w:tabs>
              <w:tab w:pos="9472" w:val="right" w:leader="dot"/>
            </w:tabs>
            <w:ind w:left="841"/>
          </w:pPr>
          <w:hyperlink w:history="true" w:anchor="_bookmark23">
            <w:r>
              <w:rPr/>
              <w:t>Emerging</w:t>
            </w:r>
            <w:r>
              <w:rPr>
                <w:spacing w:val="-5"/>
              </w:rPr>
              <w:t> </w:t>
            </w:r>
            <w:r>
              <w:rPr/>
              <w:t>Development</w:t>
            </w:r>
            <w:r>
              <w:rPr>
                <w:spacing w:val="-3"/>
              </w:rPr>
              <w:t> </w:t>
            </w:r>
            <w:r>
              <w:rPr/>
              <w:t>Program</w:t>
            </w:r>
            <w:r>
              <w:rPr>
                <w:spacing w:val="-2"/>
              </w:rPr>
              <w:t> </w:t>
            </w:r>
            <w:r>
              <w:rPr/>
              <w:t>-</w:t>
            </w:r>
            <w:r>
              <w:rPr>
                <w:spacing w:val="-3"/>
              </w:rPr>
              <w:t> </w:t>
            </w:r>
            <w:r>
              <w:rPr/>
              <w:t>Pillars</w:t>
            </w:r>
            <w:r>
              <w:rPr>
                <w:spacing w:val="-3"/>
              </w:rPr>
              <w:t> </w:t>
            </w:r>
            <w:r>
              <w:rPr/>
              <w:t>1,</w:t>
            </w:r>
            <w:r>
              <w:rPr>
                <w:spacing w:val="-2"/>
              </w:rPr>
              <w:t> </w:t>
            </w:r>
            <w:r>
              <w:rPr/>
              <w:t>5,</w:t>
            </w:r>
            <w:r>
              <w:rPr>
                <w:spacing w:val="-2"/>
              </w:rPr>
              <w:t> </w:t>
            </w:r>
            <w:r>
              <w:rPr/>
              <w:t>6,</w:t>
            </w:r>
            <w:r>
              <w:rPr>
                <w:spacing w:val="-1"/>
              </w:rPr>
              <w:t> </w:t>
            </w:r>
            <w:r>
              <w:rPr>
                <w:spacing w:val="-10"/>
              </w:rPr>
              <w:t>7</w:t>
            </w:r>
            <w:r>
              <w:rPr/>
              <w:tab/>
            </w:r>
            <w:r>
              <w:rPr>
                <w:spacing w:val="-5"/>
              </w:rPr>
              <w:t>77</w:t>
            </w:r>
          </w:hyperlink>
        </w:p>
        <w:p>
          <w:pPr>
            <w:pStyle w:val="TOC3"/>
            <w:tabs>
              <w:tab w:pos="9472" w:val="right" w:leader="dot"/>
            </w:tabs>
            <w:ind w:left="841"/>
          </w:pPr>
          <w:hyperlink w:history="true" w:anchor="_bookmark24">
            <w:r>
              <w:rPr/>
              <w:t>Housing</w:t>
            </w:r>
            <w:r>
              <w:rPr>
                <w:spacing w:val="-3"/>
              </w:rPr>
              <w:t> </w:t>
            </w:r>
            <w:r>
              <w:rPr/>
              <w:t>Tax Credits</w:t>
            </w:r>
            <w:r>
              <w:rPr>
                <w:spacing w:val="-2"/>
              </w:rPr>
              <w:t> </w:t>
            </w:r>
            <w:r>
              <w:rPr/>
              <w:t>Program</w:t>
            </w:r>
            <w:r>
              <w:rPr>
                <w:spacing w:val="-1"/>
              </w:rPr>
              <w:t> </w:t>
            </w:r>
            <w:r>
              <w:rPr/>
              <w:t>–</w:t>
            </w:r>
            <w:r>
              <w:rPr>
                <w:spacing w:val="-3"/>
              </w:rPr>
              <w:t> </w:t>
            </w:r>
            <w:r>
              <w:rPr/>
              <w:t>Pillars</w:t>
            </w:r>
            <w:r>
              <w:rPr>
                <w:spacing w:val="-2"/>
              </w:rPr>
              <w:t> </w:t>
            </w:r>
            <w:r>
              <w:rPr/>
              <w:t>1,</w:t>
            </w:r>
            <w:r>
              <w:rPr>
                <w:spacing w:val="-1"/>
              </w:rPr>
              <w:t> </w:t>
            </w:r>
            <w:r>
              <w:rPr/>
              <w:t>2,</w:t>
            </w:r>
            <w:r>
              <w:rPr>
                <w:spacing w:val="-1"/>
              </w:rPr>
              <w:t> </w:t>
            </w:r>
            <w:r>
              <w:rPr/>
              <w:t>3,</w:t>
            </w:r>
            <w:r>
              <w:rPr>
                <w:spacing w:val="-1"/>
              </w:rPr>
              <w:t> </w:t>
            </w:r>
            <w:r>
              <w:rPr/>
              <w:t>6,</w:t>
            </w:r>
            <w:r>
              <w:rPr>
                <w:spacing w:val="-1"/>
              </w:rPr>
              <w:t> </w:t>
            </w:r>
            <w:r>
              <w:rPr>
                <w:spacing w:val="-10"/>
              </w:rPr>
              <w:t>7</w:t>
            </w:r>
            <w:r>
              <w:rPr/>
              <w:tab/>
            </w:r>
            <w:r>
              <w:rPr>
                <w:spacing w:val="-5"/>
              </w:rPr>
              <w:t>78</w:t>
            </w:r>
          </w:hyperlink>
        </w:p>
        <w:p>
          <w:pPr>
            <w:pStyle w:val="TOC3"/>
            <w:tabs>
              <w:tab w:pos="9472" w:val="right" w:leader="dot"/>
            </w:tabs>
            <w:spacing w:before="100"/>
            <w:ind w:left="841"/>
          </w:pPr>
          <w:hyperlink w:history="true" w:anchor="_bookmark25">
            <w:r>
              <w:rPr>
                <w:spacing w:val="-2"/>
              </w:rPr>
              <w:t>Definitions</w:t>
            </w:r>
            <w:r>
              <w:rPr/>
              <w:tab/>
            </w:r>
            <w:r>
              <w:rPr>
                <w:spacing w:val="-5"/>
              </w:rPr>
              <w:t>79</w:t>
            </w:r>
          </w:hyperlink>
        </w:p>
        <w:p>
          <w:pPr>
            <w:pStyle w:val="TOC1"/>
            <w:tabs>
              <w:tab w:pos="9472" w:val="right" w:leader="dot"/>
            </w:tabs>
            <w:spacing w:before="102"/>
            <w:ind w:left="121"/>
          </w:pPr>
          <w:hyperlink w:history="true" w:anchor="_bookmark26">
            <w:r>
              <w:rPr>
                <w:spacing w:val="-2"/>
              </w:rPr>
              <w:t>CORPORATIONS</w:t>
            </w:r>
            <w:r>
              <w:rPr/>
              <w:tab/>
            </w:r>
            <w:r>
              <w:rPr>
                <w:spacing w:val="-5"/>
              </w:rPr>
              <w:t>85</w:t>
            </w:r>
          </w:hyperlink>
        </w:p>
        <w:p>
          <w:pPr>
            <w:pStyle w:val="TOC3"/>
            <w:tabs>
              <w:tab w:pos="9472" w:val="right" w:leader="dot"/>
            </w:tabs>
            <w:spacing w:before="32"/>
            <w:ind w:left="842"/>
          </w:pPr>
          <w:hyperlink w:history="true" w:anchor="_bookmark27">
            <w:r>
              <w:rPr/>
              <w:t>Dallas</w:t>
            </w:r>
            <w:r>
              <w:rPr>
                <w:spacing w:val="-5"/>
              </w:rPr>
              <w:t> </w:t>
            </w:r>
            <w:r>
              <w:rPr/>
              <w:t>Housing</w:t>
            </w:r>
            <w:r>
              <w:rPr>
                <w:spacing w:val="-2"/>
              </w:rPr>
              <w:t> </w:t>
            </w:r>
            <w:r>
              <w:rPr/>
              <w:t>Acquisition</w:t>
            </w:r>
            <w:r>
              <w:rPr>
                <w:spacing w:val="-3"/>
              </w:rPr>
              <w:t> </w:t>
            </w:r>
            <w:r>
              <w:rPr/>
              <w:t>and</w:t>
            </w:r>
            <w:r>
              <w:rPr>
                <w:spacing w:val="-2"/>
              </w:rPr>
              <w:t> </w:t>
            </w:r>
            <w:r>
              <w:rPr/>
              <w:t>Development</w:t>
            </w:r>
            <w:r>
              <w:rPr>
                <w:spacing w:val="-3"/>
              </w:rPr>
              <w:t> </w:t>
            </w:r>
            <w:r>
              <w:rPr/>
              <w:t>Corporation</w:t>
            </w:r>
            <w:r>
              <w:rPr>
                <w:spacing w:val="-2"/>
              </w:rPr>
              <w:t> </w:t>
            </w:r>
            <w:r>
              <w:rPr/>
              <w:t>(DHADC or</w:t>
            </w:r>
            <w:r>
              <w:rPr>
                <w:spacing w:val="-2"/>
              </w:rPr>
              <w:t> </w:t>
            </w:r>
            <w:r>
              <w:rPr/>
              <w:t>Land</w:t>
            </w:r>
            <w:r>
              <w:rPr>
                <w:spacing w:val="-3"/>
              </w:rPr>
              <w:t> </w:t>
            </w:r>
            <w:r>
              <w:rPr/>
              <w:t>Bank)</w:t>
            </w:r>
            <w:r>
              <w:rPr>
                <w:spacing w:val="-1"/>
              </w:rPr>
              <w:t> </w:t>
            </w:r>
            <w:r>
              <w:rPr/>
              <w:t>–</w:t>
            </w:r>
            <w:r>
              <w:rPr>
                <w:spacing w:val="-3"/>
              </w:rPr>
              <w:t> </w:t>
            </w:r>
            <w:r>
              <w:rPr/>
              <w:t>Pillars</w:t>
            </w:r>
            <w:r>
              <w:rPr>
                <w:spacing w:val="-2"/>
              </w:rPr>
              <w:t> </w:t>
            </w:r>
            <w:r>
              <w:rPr/>
              <w:t>1,</w:t>
            </w:r>
            <w:r>
              <w:rPr>
                <w:spacing w:val="-2"/>
              </w:rPr>
              <w:t> </w:t>
            </w:r>
            <w:r>
              <w:rPr/>
              <w:t>2,</w:t>
            </w:r>
            <w:r>
              <w:rPr>
                <w:spacing w:val="-1"/>
              </w:rPr>
              <w:t> </w:t>
            </w:r>
            <w:r>
              <w:rPr/>
              <w:t>6,</w:t>
            </w:r>
            <w:r>
              <w:rPr>
                <w:spacing w:val="-1"/>
              </w:rPr>
              <w:t> </w:t>
            </w:r>
            <w:r>
              <w:rPr>
                <w:spacing w:val="-10"/>
              </w:rPr>
              <w:t>7</w:t>
            </w:r>
            <w:r>
              <w:rPr/>
              <w:tab/>
            </w:r>
            <w:r>
              <w:rPr>
                <w:spacing w:val="-5"/>
              </w:rPr>
              <w:t>85</w:t>
            </w:r>
          </w:hyperlink>
        </w:p>
        <w:p>
          <w:pPr>
            <w:pStyle w:val="TOC3"/>
            <w:tabs>
              <w:tab w:pos="9472" w:val="right" w:leader="dot"/>
            </w:tabs>
            <w:ind w:left="842"/>
          </w:pPr>
          <w:hyperlink w:history="true" w:anchor="_bookmark28">
            <w:r>
              <w:rPr/>
              <w:t>Dallas</w:t>
            </w:r>
            <w:r>
              <w:rPr>
                <w:spacing w:val="-2"/>
              </w:rPr>
              <w:t> </w:t>
            </w:r>
            <w:r>
              <w:rPr/>
              <w:t>Housing</w:t>
            </w:r>
            <w:r>
              <w:rPr>
                <w:spacing w:val="-2"/>
              </w:rPr>
              <w:t> </w:t>
            </w:r>
            <w:r>
              <w:rPr/>
              <w:t>Finance</w:t>
            </w:r>
            <w:r>
              <w:rPr>
                <w:spacing w:val="-2"/>
              </w:rPr>
              <w:t> </w:t>
            </w:r>
            <w:r>
              <w:rPr/>
              <w:t>Corporation</w:t>
            </w:r>
            <w:r>
              <w:rPr>
                <w:spacing w:val="-2"/>
              </w:rPr>
              <w:t> </w:t>
            </w:r>
            <w:r>
              <w:rPr/>
              <w:t>(DHFC)</w:t>
            </w:r>
            <w:r>
              <w:rPr>
                <w:spacing w:val="38"/>
              </w:rPr>
              <w:t> </w:t>
            </w:r>
            <w:r>
              <w:rPr/>
              <w:t>–</w:t>
            </w:r>
            <w:r>
              <w:rPr>
                <w:spacing w:val="-2"/>
              </w:rPr>
              <w:t> </w:t>
            </w:r>
            <w:r>
              <w:rPr/>
              <w:t>Pillars</w:t>
            </w:r>
            <w:r>
              <w:rPr>
                <w:spacing w:val="-2"/>
              </w:rPr>
              <w:t> </w:t>
            </w:r>
            <w:r>
              <w:rPr/>
              <w:t>1,</w:t>
            </w:r>
            <w:r>
              <w:rPr>
                <w:spacing w:val="-1"/>
              </w:rPr>
              <w:t> </w:t>
            </w:r>
            <w:r>
              <w:rPr/>
              <w:t>2,</w:t>
            </w:r>
            <w:r>
              <w:rPr>
                <w:spacing w:val="-1"/>
              </w:rPr>
              <w:t> </w:t>
            </w:r>
            <w:r>
              <w:rPr/>
              <w:t>3,</w:t>
            </w:r>
            <w:r>
              <w:rPr>
                <w:spacing w:val="-1"/>
              </w:rPr>
              <w:t> </w:t>
            </w:r>
            <w:r>
              <w:rPr/>
              <w:t>4,</w:t>
            </w:r>
            <w:r>
              <w:rPr>
                <w:spacing w:val="-1"/>
              </w:rPr>
              <w:t> </w:t>
            </w:r>
            <w:r>
              <w:rPr/>
              <w:t>5,</w:t>
            </w:r>
            <w:r>
              <w:rPr>
                <w:spacing w:val="-1"/>
              </w:rPr>
              <w:t> </w:t>
            </w:r>
            <w:r>
              <w:rPr/>
              <w:t>6,</w:t>
            </w:r>
            <w:r>
              <w:rPr>
                <w:spacing w:val="-3"/>
              </w:rPr>
              <w:t> </w:t>
            </w:r>
            <w:r>
              <w:rPr>
                <w:spacing w:val="-10"/>
              </w:rPr>
              <w:t>7</w:t>
            </w:r>
            <w:r>
              <w:rPr/>
              <w:tab/>
            </w:r>
            <w:r>
              <w:rPr>
                <w:spacing w:val="-5"/>
              </w:rPr>
              <w:t>86</w:t>
            </w:r>
          </w:hyperlink>
        </w:p>
        <w:p>
          <w:pPr>
            <w:pStyle w:val="TOC3"/>
            <w:tabs>
              <w:tab w:pos="9472" w:val="right" w:leader="dot"/>
            </w:tabs>
            <w:spacing w:before="100"/>
            <w:ind w:left="842"/>
          </w:pPr>
          <w:hyperlink w:history="true" w:anchor="_bookmark29">
            <w:r>
              <w:rPr/>
              <w:t>Dallas</w:t>
            </w:r>
            <w:r>
              <w:rPr>
                <w:spacing w:val="-3"/>
              </w:rPr>
              <w:t> </w:t>
            </w:r>
            <w:r>
              <w:rPr/>
              <w:t>Public</w:t>
            </w:r>
            <w:r>
              <w:rPr>
                <w:spacing w:val="-2"/>
              </w:rPr>
              <w:t> </w:t>
            </w:r>
            <w:r>
              <w:rPr/>
              <w:t>Facility</w:t>
            </w:r>
            <w:r>
              <w:rPr>
                <w:spacing w:val="-1"/>
              </w:rPr>
              <w:t> </w:t>
            </w:r>
            <w:r>
              <w:rPr/>
              <w:t>Corporation</w:t>
            </w:r>
            <w:r>
              <w:rPr>
                <w:spacing w:val="-1"/>
              </w:rPr>
              <w:t> </w:t>
            </w:r>
            <w:r>
              <w:rPr/>
              <w:t>(DPFC)</w:t>
            </w:r>
            <w:r>
              <w:rPr>
                <w:spacing w:val="-1"/>
              </w:rPr>
              <w:t> </w:t>
            </w:r>
            <w:r>
              <w:rPr/>
              <w:t>–</w:t>
            </w:r>
            <w:r>
              <w:rPr>
                <w:spacing w:val="-3"/>
              </w:rPr>
              <w:t> </w:t>
            </w:r>
            <w:r>
              <w:rPr/>
              <w:t>Pillars</w:t>
            </w:r>
            <w:r>
              <w:rPr>
                <w:spacing w:val="-2"/>
              </w:rPr>
              <w:t> </w:t>
            </w:r>
            <w:r>
              <w:rPr/>
              <w:t>1,</w:t>
            </w:r>
            <w:r>
              <w:rPr>
                <w:spacing w:val="-2"/>
              </w:rPr>
              <w:t> </w:t>
            </w:r>
            <w:r>
              <w:rPr/>
              <w:t>2,</w:t>
            </w:r>
            <w:r>
              <w:rPr>
                <w:spacing w:val="-1"/>
              </w:rPr>
              <w:t> </w:t>
            </w:r>
            <w:r>
              <w:rPr/>
              <w:t>3,</w:t>
            </w:r>
            <w:r>
              <w:rPr>
                <w:spacing w:val="-2"/>
              </w:rPr>
              <w:t> </w:t>
            </w:r>
            <w:r>
              <w:rPr/>
              <w:t>4,</w:t>
            </w:r>
            <w:r>
              <w:rPr>
                <w:spacing w:val="-1"/>
              </w:rPr>
              <w:t> </w:t>
            </w:r>
            <w:r>
              <w:rPr/>
              <w:t>5,</w:t>
            </w:r>
            <w:r>
              <w:rPr>
                <w:spacing w:val="-2"/>
              </w:rPr>
              <w:t> </w:t>
            </w:r>
            <w:r>
              <w:rPr/>
              <w:t>6,</w:t>
            </w:r>
            <w:r>
              <w:rPr>
                <w:spacing w:val="-1"/>
              </w:rPr>
              <w:t> </w:t>
            </w:r>
            <w:r>
              <w:rPr>
                <w:spacing w:val="-10"/>
              </w:rPr>
              <w:t>7</w:t>
            </w:r>
            <w:r>
              <w:rPr/>
              <w:tab/>
            </w:r>
            <w:r>
              <w:rPr>
                <w:spacing w:val="-5"/>
              </w:rPr>
              <w:t>87</w:t>
            </w:r>
          </w:hyperlink>
        </w:p>
        <w:p>
          <w:pPr>
            <w:pStyle w:val="TOC1"/>
            <w:tabs>
              <w:tab w:pos="9472" w:val="right" w:leader="dot"/>
            </w:tabs>
            <w:spacing w:before="99"/>
            <w:ind w:left="122"/>
          </w:pPr>
          <w:hyperlink w:history="true" w:anchor="_bookmark30">
            <w:r>
              <w:rPr/>
              <w:t>COMPLIANCE</w:t>
            </w:r>
            <w:r>
              <w:rPr>
                <w:spacing w:val="-2"/>
              </w:rPr>
              <w:t> </w:t>
            </w:r>
            <w:r>
              <w:rPr/>
              <w:t>AND</w:t>
            </w:r>
            <w:r>
              <w:rPr>
                <w:spacing w:val="-4"/>
              </w:rPr>
              <w:t> </w:t>
            </w:r>
            <w:r>
              <w:rPr/>
              <w:t>FUNDING</w:t>
            </w:r>
            <w:r>
              <w:rPr>
                <w:spacing w:val="-3"/>
              </w:rPr>
              <w:t> </w:t>
            </w:r>
            <w:r>
              <w:rPr>
                <w:spacing w:val="-2"/>
              </w:rPr>
              <w:t>RESOURCES</w:t>
            </w:r>
            <w:r>
              <w:rPr/>
              <w:tab/>
            </w:r>
            <w:r>
              <w:rPr>
                <w:spacing w:val="-5"/>
              </w:rPr>
              <w:t>88</w:t>
            </w:r>
          </w:hyperlink>
        </w:p>
        <w:p>
          <w:pPr>
            <w:pStyle w:val="TOC3"/>
            <w:tabs>
              <w:tab w:pos="9470" w:val="right" w:leader="dot"/>
            </w:tabs>
            <w:spacing w:before="36"/>
            <w:ind w:left="839"/>
          </w:pPr>
          <w:hyperlink w:history="true" w:anchor="_bookmark31">
            <w:r>
              <w:rPr/>
              <w:t>Affordable</w:t>
            </w:r>
            <w:r>
              <w:rPr>
                <w:spacing w:val="-5"/>
              </w:rPr>
              <w:t> </w:t>
            </w:r>
            <w:r>
              <w:rPr/>
              <w:t>Housing</w:t>
            </w:r>
            <w:r>
              <w:rPr>
                <w:spacing w:val="-2"/>
              </w:rPr>
              <w:t> </w:t>
            </w:r>
            <w:r>
              <w:rPr/>
              <w:t>Trust</w:t>
            </w:r>
            <w:r>
              <w:rPr>
                <w:spacing w:val="-2"/>
              </w:rPr>
              <w:t> </w:t>
            </w:r>
            <w:r>
              <w:rPr/>
              <w:t>Fund</w:t>
            </w:r>
            <w:r>
              <w:rPr>
                <w:spacing w:val="36"/>
              </w:rPr>
              <w:t> </w:t>
            </w:r>
            <w:r>
              <w:rPr/>
              <w:t>Pillars</w:t>
            </w:r>
            <w:r>
              <w:rPr>
                <w:spacing w:val="-2"/>
              </w:rPr>
              <w:t> </w:t>
            </w:r>
            <w:r>
              <w:rPr/>
              <w:t>1,</w:t>
            </w:r>
            <w:r>
              <w:rPr>
                <w:spacing w:val="-2"/>
              </w:rPr>
              <w:t> </w:t>
            </w:r>
            <w:r>
              <w:rPr/>
              <w:t>2,</w:t>
            </w:r>
            <w:r>
              <w:rPr>
                <w:spacing w:val="-1"/>
              </w:rPr>
              <w:t> </w:t>
            </w:r>
            <w:r>
              <w:rPr/>
              <w:t>3,</w:t>
            </w:r>
            <w:r>
              <w:rPr>
                <w:spacing w:val="-1"/>
              </w:rPr>
              <w:t> </w:t>
            </w:r>
            <w:r>
              <w:rPr/>
              <w:t>4,</w:t>
            </w:r>
            <w:r>
              <w:rPr>
                <w:spacing w:val="-2"/>
              </w:rPr>
              <w:t> </w:t>
            </w:r>
            <w:r>
              <w:rPr/>
              <w:t>5,</w:t>
            </w:r>
            <w:r>
              <w:rPr>
                <w:spacing w:val="-1"/>
              </w:rPr>
              <w:t> </w:t>
            </w:r>
            <w:r>
              <w:rPr/>
              <w:t>6,</w:t>
            </w:r>
            <w:r>
              <w:rPr>
                <w:spacing w:val="-1"/>
              </w:rPr>
              <w:t> </w:t>
            </w:r>
            <w:r>
              <w:rPr>
                <w:spacing w:val="-10"/>
              </w:rPr>
              <w:t>7</w:t>
            </w:r>
            <w:r>
              <w:rPr/>
              <w:tab/>
            </w:r>
            <w:r>
              <w:rPr>
                <w:spacing w:val="-5"/>
              </w:rPr>
              <w:t>88</w:t>
            </w:r>
          </w:hyperlink>
        </w:p>
        <w:p>
          <w:pPr>
            <w:pStyle w:val="TOC3"/>
            <w:tabs>
              <w:tab w:pos="9470" w:val="right" w:leader="dot"/>
            </w:tabs>
          </w:pPr>
          <w:hyperlink w:history="true" w:anchor="_bookmark32">
            <w:r>
              <w:rPr/>
              <w:t>Anti-Displacement</w:t>
            </w:r>
            <w:r>
              <w:rPr>
                <w:spacing w:val="-6"/>
              </w:rPr>
              <w:t> </w:t>
            </w:r>
            <w:r>
              <w:rPr/>
              <w:t>Toolkit</w:t>
            </w:r>
            <w:r>
              <w:rPr>
                <w:spacing w:val="-3"/>
              </w:rPr>
              <w:t> </w:t>
            </w:r>
            <w:r>
              <w:rPr/>
              <w:t>Pillars</w:t>
            </w:r>
            <w:r>
              <w:rPr>
                <w:spacing w:val="-2"/>
              </w:rPr>
              <w:t> </w:t>
            </w:r>
            <w:r>
              <w:rPr/>
              <w:t>1,</w:t>
            </w:r>
            <w:r>
              <w:rPr>
                <w:spacing w:val="-2"/>
              </w:rPr>
              <w:t> </w:t>
            </w:r>
            <w:r>
              <w:rPr/>
              <w:t>2,</w:t>
            </w:r>
            <w:r>
              <w:rPr>
                <w:spacing w:val="-2"/>
              </w:rPr>
              <w:t> </w:t>
            </w:r>
            <w:r>
              <w:rPr/>
              <w:t>3,</w:t>
            </w:r>
            <w:r>
              <w:rPr>
                <w:spacing w:val="-3"/>
              </w:rPr>
              <w:t> </w:t>
            </w:r>
            <w:r>
              <w:rPr/>
              <w:t>5,</w:t>
            </w:r>
            <w:r>
              <w:rPr>
                <w:spacing w:val="-2"/>
              </w:rPr>
              <w:t> </w:t>
            </w:r>
            <w:r>
              <w:rPr/>
              <w:t>6,</w:t>
            </w:r>
            <w:r>
              <w:rPr>
                <w:spacing w:val="-2"/>
              </w:rPr>
              <w:t> </w:t>
            </w:r>
            <w:r>
              <w:rPr>
                <w:spacing w:val="-10"/>
              </w:rPr>
              <w:t>7</w:t>
            </w:r>
            <w:r>
              <w:rPr/>
              <w:tab/>
            </w:r>
            <w:r>
              <w:rPr>
                <w:spacing w:val="-5"/>
              </w:rPr>
              <w:t>89</w:t>
            </w:r>
          </w:hyperlink>
        </w:p>
        <w:p>
          <w:pPr>
            <w:pStyle w:val="TOC3"/>
            <w:tabs>
              <w:tab w:pos="9470" w:val="right" w:leader="dot"/>
            </w:tabs>
          </w:pPr>
          <w:hyperlink w:history="true" w:anchor="_bookmark33">
            <w:r>
              <w:rPr/>
              <w:t>City</w:t>
            </w:r>
            <w:r>
              <w:rPr>
                <w:spacing w:val="-2"/>
              </w:rPr>
              <w:t> </w:t>
            </w:r>
            <w:r>
              <w:rPr/>
              <w:t>of</w:t>
            </w:r>
            <w:r>
              <w:rPr>
                <w:spacing w:val="-1"/>
              </w:rPr>
              <w:t> </w:t>
            </w:r>
            <w:r>
              <w:rPr/>
              <w:t>Dallas</w:t>
            </w:r>
            <w:r>
              <w:rPr>
                <w:spacing w:val="-2"/>
              </w:rPr>
              <w:t> AffirmativeFairHousingMarketingPolicy</w:t>
            </w:r>
            <w:r>
              <w:rPr/>
              <w:tab/>
            </w:r>
            <w:r>
              <w:rPr>
                <w:spacing w:val="-5"/>
              </w:rPr>
              <w:t>90</w:t>
            </w:r>
          </w:hyperlink>
        </w:p>
        <w:p>
          <w:pPr>
            <w:pStyle w:val="TOC3"/>
            <w:tabs>
              <w:tab w:pos="9470" w:val="right" w:leader="dot"/>
            </w:tabs>
            <w:spacing w:before="100"/>
          </w:pPr>
          <w:hyperlink w:history="true" w:anchor="_bookmark34">
            <w:r>
              <w:rPr/>
              <w:t>Environmental</w:t>
            </w:r>
            <w:r>
              <w:rPr>
                <w:spacing w:val="-5"/>
              </w:rPr>
              <w:t> </w:t>
            </w:r>
            <w:r>
              <w:rPr/>
              <w:t>Review</w:t>
            </w:r>
            <w:r>
              <w:rPr>
                <w:spacing w:val="-2"/>
              </w:rPr>
              <w:t> </w:t>
            </w:r>
            <w:r>
              <w:rPr/>
              <w:t>Policy,</w:t>
            </w:r>
            <w:r>
              <w:rPr>
                <w:spacing w:val="-4"/>
              </w:rPr>
              <w:t> </w:t>
            </w:r>
            <w:r>
              <w:rPr/>
              <w:t>Procedures,</w:t>
            </w:r>
            <w:r>
              <w:rPr>
                <w:spacing w:val="-3"/>
              </w:rPr>
              <w:t> </w:t>
            </w:r>
            <w:r>
              <w:rPr/>
              <w:t>and</w:t>
            </w:r>
            <w:r>
              <w:rPr>
                <w:spacing w:val="-4"/>
              </w:rPr>
              <w:t> </w:t>
            </w:r>
            <w:r>
              <w:rPr>
                <w:spacing w:val="-2"/>
              </w:rPr>
              <w:t>Standards</w:t>
            </w:r>
            <w:r>
              <w:rPr/>
              <w:tab/>
            </w:r>
            <w:r>
              <w:rPr>
                <w:spacing w:val="-5"/>
              </w:rPr>
              <w:t>93</w:t>
            </w:r>
          </w:hyperlink>
        </w:p>
        <w:p>
          <w:pPr>
            <w:pStyle w:val="TOC3"/>
            <w:tabs>
              <w:tab w:pos="9470" w:val="right" w:leader="dot"/>
            </w:tabs>
            <w:spacing w:before="102"/>
          </w:pPr>
          <w:hyperlink w:history="true" w:anchor="_bookmark35">
            <w:r>
              <w:rPr/>
              <w:t>SECTION</w:t>
            </w:r>
            <w:r>
              <w:rPr>
                <w:spacing w:val="-2"/>
              </w:rPr>
              <w:t> </w:t>
            </w:r>
            <w:r>
              <w:rPr>
                <w:spacing w:val="-10"/>
              </w:rPr>
              <w:t>3</w:t>
            </w:r>
            <w:r>
              <w:rPr/>
              <w:tab/>
            </w:r>
            <w:r>
              <w:rPr>
                <w:spacing w:val="-5"/>
              </w:rPr>
              <w:t>94</w:t>
            </w:r>
          </w:hyperlink>
        </w:p>
        <w:p>
          <w:pPr>
            <w:pStyle w:val="TOC3"/>
            <w:tabs>
              <w:tab w:pos="9470" w:val="right" w:leader="dot"/>
            </w:tabs>
          </w:pPr>
          <w:hyperlink w:history="true" w:anchor="_bookmark36">
            <w:r>
              <w:rPr/>
              <w:t>Minority/Women</w:t>
            </w:r>
            <w:r>
              <w:rPr>
                <w:spacing w:val="-5"/>
              </w:rPr>
              <w:t> </w:t>
            </w:r>
            <w:r>
              <w:rPr/>
              <w:t>Business</w:t>
            </w:r>
            <w:r>
              <w:rPr>
                <w:spacing w:val="-4"/>
              </w:rPr>
              <w:t> </w:t>
            </w:r>
            <w:r>
              <w:rPr>
                <w:spacing w:val="-2"/>
              </w:rPr>
              <w:t>Enterprise</w:t>
            </w:r>
            <w:r>
              <w:rPr/>
              <w:tab/>
            </w:r>
            <w:r>
              <w:rPr>
                <w:spacing w:val="-5"/>
              </w:rPr>
              <w:t>95</w:t>
            </w:r>
          </w:hyperlink>
        </w:p>
        <w:p>
          <w:pPr>
            <w:pStyle w:val="TOC3"/>
            <w:tabs>
              <w:tab w:pos="9471" w:val="right" w:leader="dot"/>
            </w:tabs>
            <w:spacing w:before="100"/>
          </w:pPr>
          <w:hyperlink w:history="true" w:anchor="_bookmark37">
            <w:r>
              <w:rPr/>
              <w:t>Single</w:t>
            </w:r>
            <w:r>
              <w:rPr>
                <w:spacing w:val="-5"/>
              </w:rPr>
              <w:t> </w:t>
            </w:r>
            <w:r>
              <w:rPr/>
              <w:t>Family</w:t>
            </w:r>
            <w:r>
              <w:rPr>
                <w:spacing w:val="-3"/>
              </w:rPr>
              <w:t> </w:t>
            </w:r>
            <w:r>
              <w:rPr/>
              <w:t>Development</w:t>
            </w:r>
            <w:r>
              <w:rPr>
                <w:spacing w:val="-4"/>
              </w:rPr>
              <w:t> </w:t>
            </w:r>
            <w:r>
              <w:rPr>
                <w:spacing w:val="-2"/>
              </w:rPr>
              <w:t>Requirements/Underwriting</w:t>
            </w:r>
            <w:r>
              <w:rPr/>
              <w:tab/>
            </w:r>
            <w:r>
              <w:rPr>
                <w:spacing w:val="-5"/>
              </w:rPr>
              <w:t>96</w:t>
            </w:r>
          </w:hyperlink>
        </w:p>
        <w:p>
          <w:pPr>
            <w:pStyle w:val="TOC3"/>
            <w:tabs>
              <w:tab w:pos="9471" w:val="right" w:leader="dot"/>
            </w:tabs>
          </w:pPr>
          <w:hyperlink w:history="true" w:anchor="_bookmark38">
            <w:r>
              <w:rPr/>
              <w:t>Rental</w:t>
            </w:r>
            <w:r>
              <w:rPr>
                <w:spacing w:val="-5"/>
              </w:rPr>
              <w:t> </w:t>
            </w:r>
            <w:r>
              <w:rPr/>
              <w:t>Development</w:t>
            </w:r>
            <w:r>
              <w:rPr>
                <w:spacing w:val="-4"/>
              </w:rPr>
              <w:t> </w:t>
            </w:r>
            <w:r>
              <w:rPr>
                <w:spacing w:val="-2"/>
              </w:rPr>
              <w:t>Underwriting</w:t>
            </w:r>
            <w:r>
              <w:rPr/>
              <w:tab/>
            </w:r>
            <w:r>
              <w:rPr>
                <w:spacing w:val="-5"/>
              </w:rPr>
              <w:t>105</w:t>
            </w:r>
          </w:hyperlink>
        </w:p>
        <w:p>
          <w:pPr>
            <w:pStyle w:val="TOC3"/>
            <w:tabs>
              <w:tab w:pos="9471" w:val="right" w:leader="dot"/>
            </w:tabs>
            <w:spacing w:before="102"/>
          </w:pPr>
          <w:hyperlink w:history="true" w:anchor="_bookmark39">
            <w:r>
              <w:rPr/>
              <w:t>Design</w:t>
            </w:r>
            <w:r>
              <w:rPr>
                <w:spacing w:val="-6"/>
              </w:rPr>
              <w:t> </w:t>
            </w:r>
            <w:r>
              <w:rPr>
                <w:spacing w:val="-2"/>
              </w:rPr>
              <w:t>Guidelines</w:t>
            </w:r>
            <w:r>
              <w:rPr/>
              <w:tab/>
            </w:r>
            <w:r>
              <w:rPr>
                <w:spacing w:val="-5"/>
              </w:rPr>
              <w:t>116</w:t>
            </w:r>
          </w:hyperlink>
        </w:p>
        <w:p>
          <w:pPr>
            <w:pStyle w:val="TOC3"/>
            <w:tabs>
              <w:tab w:pos="9470" w:val="right" w:leader="dot"/>
            </w:tabs>
          </w:pPr>
          <w:hyperlink w:history="true" w:anchor="_bookmark40">
            <w:r>
              <w:rPr/>
              <w:t>Tenant</w:t>
            </w:r>
            <w:r>
              <w:rPr>
                <w:spacing w:val="-3"/>
              </w:rPr>
              <w:t> </w:t>
            </w:r>
            <w:r>
              <w:rPr/>
              <w:t>Based</w:t>
            </w:r>
            <w:r>
              <w:rPr>
                <w:spacing w:val="-3"/>
              </w:rPr>
              <w:t> </w:t>
            </w:r>
            <w:r>
              <w:rPr/>
              <w:t>Rental </w:t>
            </w:r>
            <w:r>
              <w:rPr>
                <w:spacing w:val="-2"/>
              </w:rPr>
              <w:t>Assistance</w:t>
            </w:r>
            <w:r>
              <w:rPr/>
              <w:tab/>
            </w:r>
            <w:r>
              <w:rPr>
                <w:spacing w:val="-5"/>
              </w:rPr>
              <w:t>118</w:t>
            </w:r>
          </w:hyperlink>
        </w:p>
        <w:p>
          <w:pPr>
            <w:pStyle w:val="TOC3"/>
            <w:tabs>
              <w:tab w:pos="9470" w:val="right" w:leader="dot"/>
            </w:tabs>
            <w:spacing w:before="100"/>
          </w:pPr>
          <w:hyperlink w:history="true" w:anchor="_bookmark41">
            <w:r>
              <w:rPr/>
              <w:t>Neighborhood</w:t>
            </w:r>
            <w:r>
              <w:rPr>
                <w:spacing w:val="-5"/>
              </w:rPr>
              <w:t> </w:t>
            </w:r>
            <w:r>
              <w:rPr/>
              <w:t>Empowerment</w:t>
            </w:r>
            <w:r>
              <w:rPr>
                <w:spacing w:val="-4"/>
              </w:rPr>
              <w:t> </w:t>
            </w:r>
            <w:r>
              <w:rPr>
                <w:spacing w:val="-2"/>
              </w:rPr>
              <w:t>Zones</w:t>
            </w:r>
            <w:r>
              <w:rPr/>
              <w:tab/>
            </w:r>
            <w:r>
              <w:rPr>
                <w:spacing w:val="-5"/>
              </w:rPr>
              <w:t>120</w:t>
            </w:r>
          </w:hyperlink>
        </w:p>
      </w:sdtContent>
    </w:sdt>
    <w:p>
      <w:pPr>
        <w:spacing w:after="0"/>
        <w:sectPr>
          <w:pgSz w:w="12240" w:h="15840"/>
          <w:pgMar w:header="0" w:footer="1738" w:top="1360" w:bottom="1920" w:left="1320" w:right="1280"/>
        </w:sectPr>
      </w:pPr>
    </w:p>
    <w:p>
      <w:pPr>
        <w:pStyle w:val="Heading1"/>
        <w:rPr>
          <w:u w:val="none"/>
        </w:rPr>
      </w:pPr>
      <w:bookmarkStart w:name="PROGRAMS" w:id="18"/>
      <w:bookmarkEnd w:id="18"/>
      <w:r>
        <w:rPr>
          <w:b w:val="0"/>
          <w:u w:val="none"/>
        </w:rPr>
      </w:r>
      <w:bookmarkStart w:name="_bookmark1" w:id="19"/>
      <w:bookmarkEnd w:id="19"/>
      <w:r>
        <w:rPr>
          <w:b w:val="0"/>
          <w:u w:val="none"/>
        </w:rPr>
      </w:r>
      <w:r>
        <w:rPr>
          <w:spacing w:val="-2"/>
          <w:u w:val="single"/>
        </w:rPr>
        <w:t>PROGRAMS</w:t>
      </w:r>
      <w:r>
        <w:rPr>
          <w:spacing w:val="40"/>
          <w:u w:val="single"/>
        </w:rPr>
        <w:t> </w:t>
      </w:r>
    </w:p>
    <w:p>
      <w:pPr>
        <w:pStyle w:val="Heading4"/>
        <w:spacing w:before="259"/>
      </w:pPr>
      <w:bookmarkStart w:name="HOMEOWNER PROGRAMS" w:id="20"/>
      <w:bookmarkEnd w:id="20"/>
      <w:r>
        <w:rPr>
          <w:b w:val="0"/>
        </w:rPr>
      </w:r>
      <w:bookmarkStart w:name="_bookmark2" w:id="21"/>
      <w:bookmarkEnd w:id="21"/>
      <w:r>
        <w:rPr>
          <w:b w:val="0"/>
        </w:rPr>
      </w:r>
      <w:r>
        <w:rPr/>
        <w:t>HOMEOWNER</w:t>
      </w:r>
      <w:r>
        <w:rPr>
          <w:spacing w:val="-5"/>
        </w:rPr>
        <w:t> </w:t>
      </w:r>
      <w:r>
        <w:rPr>
          <w:spacing w:val="-2"/>
        </w:rPr>
        <w:t>PROGRAMS</w:t>
      </w:r>
    </w:p>
    <w:p>
      <w:pPr>
        <w:pStyle w:val="BodyText"/>
        <w:spacing w:before="2"/>
        <w:rPr>
          <w:b/>
          <w:sz w:val="24"/>
        </w:rPr>
      </w:pPr>
    </w:p>
    <w:p>
      <w:pPr>
        <w:pStyle w:val="BodyText"/>
        <w:ind w:left="120" w:right="155"/>
      </w:pPr>
      <w:r>
        <w:rPr/>
        <w:pict>
          <v:shape style="position:absolute;margin-left:90.065002pt;margin-top:18.608858pt;width:395.3pt;height:419pt;mso-position-horizontal-relative:page;mso-position-vertical-relative:paragraph;z-index:-17737728" id="docshape19" coordorigin="1801,372" coordsize="7906,8380" path="m4498,7636l4492,7563,4477,7484,4455,7402,4432,7332,4403,7260,4367,7185,4325,7107,4276,7027,4237,6968,4200,6917,4200,7603,4197,7659,4186,7716,4167,7773,4138,7833,4097,7896,4044,7962,3979,8031,3674,8337,2216,6879,2517,6578,2598,6502,2672,6442,2740,6399,2801,6372,2868,6357,2941,6353,3020,6360,3105,6378,3195,6407,3255,6433,3317,6465,3380,6504,3446,6549,3514,6600,3584,6659,3656,6723,3729,6795,3789,6856,3845,6916,3896,6975,3943,7033,3986,7090,4025,7145,4059,7199,4101,7274,4136,7346,4163,7415,4183,7482,4196,7546,4200,7603,4200,6917,4194,6908,4148,6848,4098,6787,4045,6726,3989,6665,3929,6603,3865,6541,3801,6483,3737,6428,3673,6376,3643,6353,3609,6328,3546,6284,3482,6242,3419,6205,3346,6167,3274,6134,3203,6107,3132,6085,3062,6068,2992,6056,2923,6049,2850,6047,2779,6054,2709,6069,2642,6092,2577,6122,2528,6151,2476,6188,2420,6233,2359,6287,2294,6350,1801,6843,3710,8751,4124,8337,4226,8235,4287,8170,4341,8104,4386,8038,4424,7972,4454,7905,4476,7839,4491,7772,4498,7704,4498,7636xm6418,6043l6056,5915,5650,5772,5561,5743,5475,5719,5393,5700,5365,5695,5314,5686,5239,5676,5193,5674,5143,5677,5089,5684,5030,5695,5073,5625,5109,5556,5136,5487,5154,5418,5164,5349,5165,5281,5157,5213,5139,5135,5111,5059,5075,4984,5030,4912,4976,4841,4956,4818,4913,4772,4872,4734,4872,5291,4868,5347,4854,5402,4830,5458,4794,5517,4747,5578,4687,5641,4280,6049,3649,5417,4102,4964,4166,4907,4229,4864,4293,4835,4358,4819,4422,4818,4501,4833,4577,4863,4649,4908,4718,4967,4761,5015,4797,5066,4827,5120,4851,5176,4867,5234,4872,5291,4872,4734,4849,4713,4782,4660,4713,4615,4641,4576,4566,4544,4474,4516,4386,4503,4303,4505,4225,4521,4163,4546,4098,4582,4030,4631,3958,4690,3883,4761,3248,5396,5157,7304,5346,7115,4499,6267,4718,6049,4753,6014,4783,5987,4810,5966,4833,5951,4863,5938,4896,5927,4932,5919,4971,5915,5014,5915,5066,5920,5125,5931,5194,5947,5256,5964,5328,5985,5407,6010,5496,6039,6180,6281,6418,6043xm7780,4680l7415,4485,6555,4031,6555,4338,6070,4824,6030,4752,5989,4680,5748,4250,5708,4178,5668,4107,5629,4041,5590,3976,5550,3912,5509,3849,5467,3787,5424,3726,5380,3665,5436,3701,5498,3739,5564,3778,5635,3820,5792,3911,6555,4338,6555,4031,5862,3665,5286,3358,5082,3562,5277,3913,5316,3983,5701,4680,6207,5599,6441,6020,6642,5819,6565,5686,6298,5217,6221,5084,6481,4824,6820,4485,7173,4680,7565,4896,7780,4680xm8131,4330l7264,3463,7936,2791,7711,2566,7039,3238,6448,2647,7224,1871,6999,1645,6033,2611,7941,4519,8131,4330xm9707,2754l8024,1071,8497,597,8272,372,7138,1507,7363,1732,7834,1260,9517,2943,9707,2754xe" filled="true" fillcolor="#c0c0c0" stroked="false">
            <v:path arrowok="t"/>
            <v:fill opacity="32896f" type="solid"/>
            <w10:wrap type="none"/>
          </v:shape>
        </w:pict>
      </w:r>
      <w:r>
        <w:rPr/>
        <w:t>The Housing and Neighborhood Revitalization Department (Housing Department) strengthens families and neighborhoods to cultivate a diverse and economically inclusive City by creating affordable</w:t>
      </w:r>
      <w:r>
        <w:rPr>
          <w:spacing w:val="-3"/>
        </w:rPr>
        <w:t> </w:t>
      </w:r>
      <w:r>
        <w:rPr/>
        <w:t>and</w:t>
      </w:r>
      <w:r>
        <w:rPr>
          <w:spacing w:val="-5"/>
        </w:rPr>
        <w:t> </w:t>
      </w:r>
      <w:r>
        <w:rPr/>
        <w:t>safe</w:t>
      </w:r>
      <w:r>
        <w:rPr>
          <w:spacing w:val="-5"/>
        </w:rPr>
        <w:t> </w:t>
      </w:r>
      <w:r>
        <w:rPr/>
        <w:t>housing</w:t>
      </w:r>
      <w:r>
        <w:rPr>
          <w:spacing w:val="-3"/>
        </w:rPr>
        <w:t> </w:t>
      </w:r>
      <w:r>
        <w:rPr/>
        <w:t>and</w:t>
      </w:r>
      <w:r>
        <w:rPr>
          <w:spacing w:val="-3"/>
        </w:rPr>
        <w:t> </w:t>
      </w:r>
      <w:r>
        <w:rPr/>
        <w:t>mitigating</w:t>
      </w:r>
      <w:r>
        <w:rPr>
          <w:spacing w:val="-3"/>
        </w:rPr>
        <w:t> </w:t>
      </w:r>
      <w:r>
        <w:rPr/>
        <w:t>community</w:t>
      </w:r>
      <w:r>
        <w:rPr>
          <w:spacing w:val="-5"/>
        </w:rPr>
        <w:t> </w:t>
      </w:r>
      <w:r>
        <w:rPr/>
        <w:t>member</w:t>
      </w:r>
      <w:r>
        <w:rPr>
          <w:spacing w:val="-2"/>
        </w:rPr>
        <w:t> </w:t>
      </w:r>
      <w:r>
        <w:rPr/>
        <w:t>displacement.</w:t>
      </w:r>
      <w:r>
        <w:rPr>
          <w:spacing w:val="-3"/>
        </w:rPr>
        <w:t> </w:t>
      </w:r>
      <w:r>
        <w:rPr/>
        <w:t>Several</w:t>
      </w:r>
      <w:r>
        <w:rPr>
          <w:spacing w:val="-3"/>
        </w:rPr>
        <w:t> </w:t>
      </w:r>
      <w:r>
        <w:rPr/>
        <w:t>programs are offered to support homeownership: the Home Improvement and Preservation Program (HIPP), the Dallas Homebuyer Assistance Program (DHAP), the DHAP Targeted Homebuyer Incentive Program, and accessory dwelling units.</w:t>
      </w:r>
    </w:p>
    <w:p>
      <w:pPr>
        <w:pStyle w:val="BodyText"/>
        <w:spacing w:before="7"/>
        <w:rPr>
          <w:sz w:val="27"/>
        </w:rPr>
      </w:pPr>
    </w:p>
    <w:p>
      <w:pPr>
        <w:pStyle w:val="Heading3"/>
        <w:spacing w:before="0"/>
      </w:pPr>
      <w:bookmarkStart w:name="Home Improvement and Preservation Progra" w:id="22"/>
      <w:bookmarkEnd w:id="22"/>
      <w:r>
        <w:rPr/>
      </w:r>
      <w:bookmarkStart w:name="_bookmark3" w:id="23"/>
      <w:bookmarkEnd w:id="23"/>
      <w:r>
        <w:rPr/>
      </w:r>
      <w:r>
        <w:rPr>
          <w:color w:val="001F5F"/>
        </w:rPr>
        <w:t>Home</w:t>
      </w:r>
      <w:r>
        <w:rPr>
          <w:color w:val="001F5F"/>
          <w:spacing w:val="-10"/>
        </w:rPr>
        <w:t> </w:t>
      </w:r>
      <w:r>
        <w:rPr>
          <w:color w:val="001F5F"/>
        </w:rPr>
        <w:t>Improvement</w:t>
      </w:r>
      <w:r>
        <w:rPr>
          <w:color w:val="001F5F"/>
          <w:spacing w:val="-10"/>
        </w:rPr>
        <w:t> </w:t>
      </w:r>
      <w:r>
        <w:rPr>
          <w:color w:val="001F5F"/>
        </w:rPr>
        <w:t>and</w:t>
      </w:r>
      <w:r>
        <w:rPr>
          <w:color w:val="001F5F"/>
          <w:spacing w:val="-10"/>
        </w:rPr>
        <w:t> </w:t>
      </w:r>
      <w:r>
        <w:rPr>
          <w:color w:val="001F5F"/>
        </w:rPr>
        <w:t>Preservation</w:t>
      </w:r>
      <w:r>
        <w:rPr>
          <w:color w:val="001F5F"/>
          <w:spacing w:val="-10"/>
        </w:rPr>
        <w:t> </w:t>
      </w:r>
      <w:r>
        <w:rPr>
          <w:color w:val="001F5F"/>
        </w:rPr>
        <w:t>Program</w:t>
      </w:r>
      <w:r>
        <w:rPr>
          <w:color w:val="001F5F"/>
          <w:spacing w:val="-4"/>
        </w:rPr>
        <w:t> </w:t>
      </w:r>
      <w:r>
        <w:rPr>
          <w:color w:val="001F5F"/>
        </w:rPr>
        <w:t>–</w:t>
      </w:r>
      <w:r>
        <w:rPr>
          <w:color w:val="001F5F"/>
          <w:spacing w:val="-10"/>
        </w:rPr>
        <w:t> </w:t>
      </w:r>
      <w:r>
        <w:rPr>
          <w:color w:val="FF0000"/>
        </w:rPr>
        <w:t>Pillars</w:t>
      </w:r>
      <w:r>
        <w:rPr>
          <w:color w:val="FF0000"/>
          <w:spacing w:val="-8"/>
        </w:rPr>
        <w:t> </w:t>
      </w:r>
      <w:r>
        <w:rPr>
          <w:color w:val="FF0000"/>
        </w:rPr>
        <w:t>1,</w:t>
      </w:r>
      <w:r>
        <w:rPr>
          <w:color w:val="FF0000"/>
          <w:spacing w:val="-10"/>
        </w:rPr>
        <w:t> </w:t>
      </w:r>
      <w:r>
        <w:rPr>
          <w:color w:val="FF0000"/>
        </w:rPr>
        <w:t>3,</w:t>
      </w:r>
      <w:r>
        <w:rPr>
          <w:color w:val="FF0000"/>
          <w:spacing w:val="-10"/>
        </w:rPr>
        <w:t> </w:t>
      </w:r>
      <w:r>
        <w:rPr>
          <w:color w:val="FF0000"/>
        </w:rPr>
        <w:t>4,</w:t>
      </w:r>
      <w:r>
        <w:rPr>
          <w:color w:val="FF0000"/>
          <w:spacing w:val="-10"/>
        </w:rPr>
        <w:t> </w:t>
      </w:r>
      <w:r>
        <w:rPr>
          <w:color w:val="FF0000"/>
          <w:spacing w:val="-5"/>
        </w:rPr>
        <w:t>5,</w:t>
      </w:r>
    </w:p>
    <w:p>
      <w:pPr>
        <w:spacing w:before="28"/>
        <w:ind w:left="120" w:right="0" w:firstLine="0"/>
        <w:jc w:val="left"/>
        <w:rPr>
          <w:sz w:val="32"/>
        </w:rPr>
      </w:pPr>
      <w:r>
        <w:rPr>
          <w:color w:val="FF0000"/>
          <w:sz w:val="32"/>
        </w:rPr>
        <w:t>6,</w:t>
      </w:r>
      <w:r>
        <w:rPr>
          <w:color w:val="FF0000"/>
          <w:spacing w:val="-5"/>
          <w:sz w:val="32"/>
        </w:rPr>
        <w:t> </w:t>
      </w:r>
      <w:r>
        <w:rPr>
          <w:color w:val="FF0000"/>
          <w:spacing w:val="-10"/>
          <w:sz w:val="32"/>
        </w:rPr>
        <w:t>7</w:t>
      </w:r>
    </w:p>
    <w:p>
      <w:pPr>
        <w:pStyle w:val="BodyText"/>
        <w:spacing w:before="29"/>
        <w:ind w:left="120"/>
      </w:pPr>
      <w:r>
        <w:rPr/>
        <w:t>Added/amended</w:t>
      </w:r>
      <w:r>
        <w:rPr>
          <w:spacing w:val="-8"/>
        </w:rPr>
        <w:t> </w:t>
      </w:r>
      <w:r>
        <w:rPr/>
        <w:t>June</w:t>
      </w:r>
      <w:r>
        <w:rPr>
          <w:spacing w:val="-6"/>
        </w:rPr>
        <w:t> </w:t>
      </w:r>
      <w:r>
        <w:rPr/>
        <w:t>26,</w:t>
      </w:r>
      <w:r>
        <w:rPr>
          <w:spacing w:val="-4"/>
        </w:rPr>
        <w:t> </w:t>
      </w:r>
      <w:r>
        <w:rPr/>
        <w:t>2019</w:t>
      </w:r>
      <w:r>
        <w:rPr>
          <w:spacing w:val="-7"/>
        </w:rPr>
        <w:t> </w:t>
      </w:r>
      <w:r>
        <w:rPr/>
        <w:t>by</w:t>
      </w:r>
      <w:r>
        <w:rPr>
          <w:spacing w:val="-5"/>
        </w:rPr>
        <w:t> </w:t>
      </w:r>
      <w:r>
        <w:rPr/>
        <w:t>Resolution</w:t>
      </w:r>
      <w:r>
        <w:rPr>
          <w:spacing w:val="-6"/>
        </w:rPr>
        <w:t> </w:t>
      </w:r>
      <w:r>
        <w:rPr/>
        <w:t>No.</w:t>
      </w:r>
      <w:r>
        <w:rPr>
          <w:spacing w:val="-3"/>
        </w:rPr>
        <w:t> </w:t>
      </w:r>
      <w:r>
        <w:rPr/>
        <w:t>19-</w:t>
      </w:r>
      <w:r>
        <w:rPr>
          <w:spacing w:val="-4"/>
        </w:rPr>
        <w:t>1041</w:t>
      </w:r>
    </w:p>
    <w:p>
      <w:pPr>
        <w:pStyle w:val="BodyText"/>
        <w:spacing w:line="252" w:lineRule="exact" w:before="1"/>
        <w:ind w:left="120"/>
      </w:pPr>
      <w:r>
        <w:rPr/>
        <w:t>Amended</w:t>
      </w:r>
      <w:r>
        <w:rPr>
          <w:spacing w:val="-5"/>
        </w:rPr>
        <w:t> </w:t>
      </w:r>
      <w:r>
        <w:rPr/>
        <w:t>August</w:t>
      </w:r>
      <w:r>
        <w:rPr>
          <w:spacing w:val="-4"/>
        </w:rPr>
        <w:t> </w:t>
      </w:r>
      <w:r>
        <w:rPr/>
        <w:t>26,</w:t>
      </w:r>
      <w:r>
        <w:rPr>
          <w:spacing w:val="-4"/>
        </w:rPr>
        <w:t> </w:t>
      </w:r>
      <w:r>
        <w:rPr/>
        <w:t>2020</w:t>
      </w:r>
      <w:r>
        <w:rPr>
          <w:spacing w:val="-5"/>
        </w:rPr>
        <w:t> </w:t>
      </w:r>
      <w:r>
        <w:rPr/>
        <w:t>by</w:t>
      </w:r>
      <w:r>
        <w:rPr>
          <w:spacing w:val="-5"/>
        </w:rPr>
        <w:t> </w:t>
      </w:r>
      <w:r>
        <w:rPr/>
        <w:t>Resolution</w:t>
      </w:r>
      <w:r>
        <w:rPr>
          <w:spacing w:val="-7"/>
        </w:rPr>
        <w:t> </w:t>
      </w:r>
      <w:r>
        <w:rPr/>
        <w:t>No.</w:t>
      </w:r>
      <w:r>
        <w:rPr>
          <w:spacing w:val="-6"/>
        </w:rPr>
        <w:t> </w:t>
      </w:r>
      <w:r>
        <w:rPr/>
        <w:t>20-</w:t>
      </w:r>
      <w:r>
        <w:rPr>
          <w:spacing w:val="-4"/>
        </w:rPr>
        <w:t>1220</w:t>
      </w:r>
    </w:p>
    <w:p>
      <w:pPr>
        <w:pStyle w:val="BodyText"/>
        <w:spacing w:line="252" w:lineRule="exact"/>
        <w:ind w:left="120"/>
      </w:pPr>
      <w:r>
        <w:rPr/>
        <w:t>Amended</w:t>
      </w:r>
      <w:r>
        <w:rPr>
          <w:spacing w:val="-8"/>
        </w:rPr>
        <w:t> </w:t>
      </w:r>
      <w:r>
        <w:rPr/>
        <w:t>September</w:t>
      </w:r>
      <w:r>
        <w:rPr>
          <w:spacing w:val="-3"/>
        </w:rPr>
        <w:t> </w:t>
      </w:r>
      <w:r>
        <w:rPr/>
        <w:t>9,</w:t>
      </w:r>
      <w:r>
        <w:rPr>
          <w:spacing w:val="-6"/>
        </w:rPr>
        <w:t> </w:t>
      </w:r>
      <w:r>
        <w:rPr/>
        <w:t>2021</w:t>
      </w:r>
      <w:r>
        <w:rPr>
          <w:spacing w:val="-5"/>
        </w:rPr>
        <w:t> </w:t>
      </w:r>
      <w:r>
        <w:rPr/>
        <w:t>by</w:t>
      </w:r>
      <w:r>
        <w:rPr>
          <w:spacing w:val="-4"/>
        </w:rPr>
        <w:t> </w:t>
      </w:r>
      <w:r>
        <w:rPr/>
        <w:t>Resolution</w:t>
      </w:r>
      <w:r>
        <w:rPr>
          <w:spacing w:val="-7"/>
        </w:rPr>
        <w:t> </w:t>
      </w:r>
      <w:r>
        <w:rPr/>
        <w:t>No.</w:t>
      </w:r>
      <w:r>
        <w:rPr>
          <w:spacing w:val="-6"/>
        </w:rPr>
        <w:t> </w:t>
      </w:r>
      <w:r>
        <w:rPr/>
        <w:t>21-</w:t>
      </w:r>
      <w:r>
        <w:rPr>
          <w:spacing w:val="-4"/>
        </w:rPr>
        <w:t>1450</w:t>
      </w:r>
    </w:p>
    <w:p>
      <w:pPr>
        <w:pStyle w:val="BodyText"/>
        <w:spacing w:before="1"/>
        <w:ind w:left="120"/>
      </w:pPr>
      <w:r>
        <w:rPr/>
        <w:t>Amended</w:t>
      </w:r>
      <w:r>
        <w:rPr>
          <w:spacing w:val="-6"/>
        </w:rPr>
        <w:t> </w:t>
      </w:r>
      <w:r>
        <w:rPr/>
        <w:t>February</w:t>
      </w:r>
      <w:r>
        <w:rPr>
          <w:spacing w:val="-6"/>
        </w:rPr>
        <w:t> </w:t>
      </w:r>
      <w:r>
        <w:rPr/>
        <w:t>22,</w:t>
      </w:r>
      <w:r>
        <w:rPr>
          <w:spacing w:val="-6"/>
        </w:rPr>
        <w:t> </w:t>
      </w:r>
      <w:r>
        <w:rPr/>
        <w:t>2023</w:t>
      </w:r>
      <w:r>
        <w:rPr>
          <w:spacing w:val="-5"/>
        </w:rPr>
        <w:t> </w:t>
      </w:r>
      <w:r>
        <w:rPr/>
        <w:t>by</w:t>
      </w:r>
      <w:r>
        <w:rPr>
          <w:spacing w:val="-5"/>
        </w:rPr>
        <w:t> </w:t>
      </w:r>
      <w:r>
        <w:rPr/>
        <w:t>Resolution</w:t>
      </w:r>
      <w:r>
        <w:rPr>
          <w:spacing w:val="-6"/>
        </w:rPr>
        <w:t> </w:t>
      </w:r>
      <w:r>
        <w:rPr/>
        <w:t>23-</w:t>
      </w:r>
      <w:r>
        <w:rPr>
          <w:spacing w:val="-4"/>
        </w:rPr>
        <w:t>0278</w:t>
      </w:r>
    </w:p>
    <w:p>
      <w:pPr>
        <w:pStyle w:val="BodyText"/>
        <w:spacing w:before="11"/>
        <w:rPr>
          <w:sz w:val="23"/>
        </w:rPr>
      </w:pPr>
    </w:p>
    <w:p>
      <w:pPr>
        <w:pStyle w:val="BodyText"/>
        <w:ind w:left="120" w:right="152" w:hanging="1"/>
        <w:jc w:val="both"/>
      </w:pPr>
      <w:r>
        <w:rPr/>
        <w:t>The Home Improvement &amp; Preservation Program (HIPP) provides an all-inclusive repair and rehabilitation</w:t>
      </w:r>
      <w:r>
        <w:rPr>
          <w:spacing w:val="-10"/>
        </w:rPr>
        <w:t> </w:t>
      </w:r>
      <w:r>
        <w:rPr/>
        <w:t>program</w:t>
      </w:r>
      <w:r>
        <w:rPr>
          <w:spacing w:val="-11"/>
        </w:rPr>
        <w:t> </w:t>
      </w:r>
      <w:r>
        <w:rPr/>
        <w:t>for</w:t>
      </w:r>
      <w:r>
        <w:rPr>
          <w:spacing w:val="-11"/>
        </w:rPr>
        <w:t> </w:t>
      </w:r>
      <w:r>
        <w:rPr/>
        <w:t>eligible</w:t>
      </w:r>
      <w:r>
        <w:rPr>
          <w:spacing w:val="-10"/>
        </w:rPr>
        <w:t> </w:t>
      </w:r>
      <w:r>
        <w:rPr/>
        <w:t>single-family</w:t>
      </w:r>
      <w:r>
        <w:rPr>
          <w:spacing w:val="-9"/>
        </w:rPr>
        <w:t> </w:t>
      </w:r>
      <w:r>
        <w:rPr/>
        <w:t>owner-occupied</w:t>
      </w:r>
      <w:r>
        <w:rPr>
          <w:spacing w:val="-10"/>
        </w:rPr>
        <w:t> </w:t>
      </w:r>
      <w:r>
        <w:rPr/>
        <w:t>and</w:t>
      </w:r>
      <w:r>
        <w:rPr>
          <w:spacing w:val="-10"/>
        </w:rPr>
        <w:t> </w:t>
      </w:r>
      <w:r>
        <w:rPr/>
        <w:t>landlord</w:t>
      </w:r>
      <w:r>
        <w:rPr>
          <w:spacing w:val="-10"/>
        </w:rPr>
        <w:t> </w:t>
      </w:r>
      <w:r>
        <w:rPr/>
        <w:t>single-family</w:t>
      </w:r>
      <w:r>
        <w:rPr>
          <w:spacing w:val="-9"/>
        </w:rPr>
        <w:t> </w:t>
      </w:r>
      <w:r>
        <w:rPr/>
        <w:t>income qualified rental housing units in the City of Dallas. HIPP is a comprehensive program with four components for the purposes of making needed improvements and preserving affordable </w:t>
      </w:r>
      <w:r>
        <w:rPr>
          <w:spacing w:val="-2"/>
        </w:rPr>
        <w:t>housing:</w:t>
      </w:r>
    </w:p>
    <w:p>
      <w:pPr>
        <w:pStyle w:val="BodyText"/>
        <w:spacing w:before="6"/>
        <w:rPr>
          <w:sz w:val="23"/>
        </w:rPr>
      </w:pPr>
    </w:p>
    <w:p>
      <w:pPr>
        <w:pStyle w:val="ListParagraph"/>
        <w:numPr>
          <w:ilvl w:val="0"/>
          <w:numId w:val="4"/>
        </w:numPr>
        <w:tabs>
          <w:tab w:pos="366" w:val="left" w:leader="none"/>
        </w:tabs>
        <w:spacing w:line="240" w:lineRule="auto" w:before="0" w:after="0"/>
        <w:ind w:left="120" w:right="156" w:firstLine="0"/>
        <w:jc w:val="both"/>
        <w:rPr>
          <w:sz w:val="22"/>
        </w:rPr>
      </w:pPr>
      <w:r>
        <w:rPr>
          <w:sz w:val="22"/>
        </w:rPr>
        <w:t>a</w:t>
      </w:r>
      <w:r>
        <w:rPr>
          <w:spacing w:val="-16"/>
          <w:sz w:val="22"/>
        </w:rPr>
        <w:t> </w:t>
      </w:r>
      <w:r>
        <w:rPr>
          <w:sz w:val="22"/>
        </w:rPr>
        <w:t>Minor</w:t>
      </w:r>
      <w:r>
        <w:rPr>
          <w:spacing w:val="-15"/>
          <w:sz w:val="22"/>
        </w:rPr>
        <w:t> </w:t>
      </w:r>
      <w:r>
        <w:rPr>
          <w:sz w:val="22"/>
        </w:rPr>
        <w:t>Home</w:t>
      </w:r>
      <w:r>
        <w:rPr>
          <w:spacing w:val="-15"/>
          <w:sz w:val="22"/>
        </w:rPr>
        <w:t> </w:t>
      </w:r>
      <w:r>
        <w:rPr>
          <w:sz w:val="22"/>
        </w:rPr>
        <w:t>Rehabilitation</w:t>
      </w:r>
      <w:r>
        <w:rPr>
          <w:spacing w:val="-16"/>
          <w:sz w:val="22"/>
        </w:rPr>
        <w:t> </w:t>
      </w:r>
      <w:r>
        <w:rPr>
          <w:sz w:val="22"/>
        </w:rPr>
        <w:t>Program</w:t>
      </w:r>
      <w:r>
        <w:rPr>
          <w:spacing w:val="-15"/>
          <w:sz w:val="22"/>
        </w:rPr>
        <w:t> </w:t>
      </w:r>
      <w:r>
        <w:rPr>
          <w:sz w:val="22"/>
        </w:rPr>
        <w:t>that</w:t>
      </w:r>
      <w:r>
        <w:rPr>
          <w:spacing w:val="-15"/>
          <w:sz w:val="22"/>
        </w:rPr>
        <w:t> </w:t>
      </w:r>
      <w:r>
        <w:rPr>
          <w:sz w:val="22"/>
        </w:rPr>
        <w:t>provides</w:t>
      </w:r>
      <w:r>
        <w:rPr>
          <w:spacing w:val="-15"/>
          <w:sz w:val="22"/>
        </w:rPr>
        <w:t> </w:t>
      </w:r>
      <w:r>
        <w:rPr>
          <w:sz w:val="22"/>
        </w:rPr>
        <w:t>grant</w:t>
      </w:r>
      <w:r>
        <w:rPr>
          <w:spacing w:val="-16"/>
          <w:sz w:val="22"/>
        </w:rPr>
        <w:t> </w:t>
      </w:r>
      <w:r>
        <w:rPr>
          <w:sz w:val="22"/>
        </w:rPr>
        <w:t>assistance</w:t>
      </w:r>
      <w:r>
        <w:rPr>
          <w:spacing w:val="-15"/>
          <w:sz w:val="22"/>
        </w:rPr>
        <w:t> </w:t>
      </w:r>
      <w:r>
        <w:rPr>
          <w:sz w:val="22"/>
        </w:rPr>
        <w:t>to</w:t>
      </w:r>
      <w:r>
        <w:rPr>
          <w:spacing w:val="-15"/>
          <w:sz w:val="22"/>
        </w:rPr>
        <w:t> </w:t>
      </w:r>
      <w:r>
        <w:rPr>
          <w:sz w:val="22"/>
        </w:rPr>
        <w:t>non-profit</w:t>
      </w:r>
      <w:r>
        <w:rPr>
          <w:spacing w:val="-16"/>
          <w:sz w:val="22"/>
        </w:rPr>
        <w:t> </w:t>
      </w:r>
      <w:r>
        <w:rPr>
          <w:sz w:val="22"/>
        </w:rPr>
        <w:t>organizations to administer the Minor Home Repairs Program to low- and moderate-income homeowners.</w:t>
      </w:r>
    </w:p>
    <w:p>
      <w:pPr>
        <w:pStyle w:val="BodyText"/>
        <w:spacing w:before="7"/>
        <w:rPr>
          <w:sz w:val="23"/>
        </w:rPr>
      </w:pPr>
    </w:p>
    <w:p>
      <w:pPr>
        <w:pStyle w:val="ListParagraph"/>
        <w:numPr>
          <w:ilvl w:val="0"/>
          <w:numId w:val="4"/>
        </w:numPr>
        <w:tabs>
          <w:tab w:pos="405" w:val="left" w:leader="none"/>
        </w:tabs>
        <w:spacing w:line="240" w:lineRule="auto" w:before="0" w:after="0"/>
        <w:ind w:left="120" w:right="156" w:firstLine="0"/>
        <w:jc w:val="both"/>
        <w:rPr>
          <w:sz w:val="22"/>
        </w:rPr>
      </w:pPr>
      <w:r>
        <w:rPr>
          <w:sz w:val="22"/>
        </w:rPr>
        <w:t>a Major Home Rehabilitation Program that provides loan assistance to low- and moderate- income homeowners needing moderate and substantial rehabilitation to their home.</w:t>
      </w:r>
    </w:p>
    <w:p>
      <w:pPr>
        <w:pStyle w:val="BodyText"/>
        <w:spacing w:before="5"/>
        <w:rPr>
          <w:sz w:val="23"/>
        </w:rPr>
      </w:pPr>
    </w:p>
    <w:p>
      <w:pPr>
        <w:pStyle w:val="ListParagraph"/>
        <w:numPr>
          <w:ilvl w:val="0"/>
          <w:numId w:val="4"/>
        </w:numPr>
        <w:tabs>
          <w:tab w:pos="387" w:val="left" w:leader="none"/>
        </w:tabs>
        <w:spacing w:line="240" w:lineRule="auto" w:before="0" w:after="0"/>
        <w:ind w:left="120" w:right="154" w:firstLine="0"/>
        <w:jc w:val="both"/>
        <w:rPr>
          <w:sz w:val="22"/>
        </w:rPr>
      </w:pPr>
      <w:r>
        <w:rPr>
          <w:sz w:val="22"/>
        </w:rPr>
        <w:t>a Home Reconstruction Program that provides loan assistance to low- and moderate-income homeowners needing to reconstruct their homes.</w:t>
      </w:r>
    </w:p>
    <w:p>
      <w:pPr>
        <w:pStyle w:val="BodyText"/>
        <w:spacing w:before="7"/>
        <w:rPr>
          <w:sz w:val="23"/>
        </w:rPr>
      </w:pPr>
    </w:p>
    <w:p>
      <w:pPr>
        <w:pStyle w:val="ListParagraph"/>
        <w:numPr>
          <w:ilvl w:val="0"/>
          <w:numId w:val="4"/>
        </w:numPr>
        <w:tabs>
          <w:tab w:pos="378" w:val="left" w:leader="none"/>
        </w:tabs>
        <w:spacing w:line="240" w:lineRule="auto" w:before="0" w:after="0"/>
        <w:ind w:left="120" w:right="153" w:hanging="1"/>
        <w:jc w:val="both"/>
        <w:rPr>
          <w:sz w:val="22"/>
        </w:rPr>
      </w:pPr>
      <w:r>
        <w:rPr>
          <w:sz w:val="22"/>
        </w:rPr>
        <w:t>a</w:t>
      </w:r>
      <w:r>
        <w:rPr>
          <w:spacing w:val="-5"/>
          <w:sz w:val="22"/>
        </w:rPr>
        <w:t> </w:t>
      </w:r>
      <w:r>
        <w:rPr>
          <w:sz w:val="22"/>
        </w:rPr>
        <w:t>Rental</w:t>
      </w:r>
      <w:r>
        <w:rPr>
          <w:spacing w:val="-6"/>
          <w:sz w:val="22"/>
        </w:rPr>
        <w:t> </w:t>
      </w:r>
      <w:r>
        <w:rPr>
          <w:sz w:val="22"/>
        </w:rPr>
        <w:t>Rehabilitation</w:t>
      </w:r>
      <w:r>
        <w:rPr>
          <w:spacing w:val="-5"/>
          <w:sz w:val="22"/>
        </w:rPr>
        <w:t> </w:t>
      </w:r>
      <w:r>
        <w:rPr>
          <w:sz w:val="22"/>
        </w:rPr>
        <w:t>Program</w:t>
      </w:r>
      <w:r>
        <w:rPr>
          <w:spacing w:val="-5"/>
          <w:sz w:val="22"/>
        </w:rPr>
        <w:t> </w:t>
      </w:r>
      <w:r>
        <w:rPr>
          <w:sz w:val="22"/>
        </w:rPr>
        <w:t>that</w:t>
      </w:r>
      <w:r>
        <w:rPr>
          <w:spacing w:val="-3"/>
          <w:sz w:val="22"/>
        </w:rPr>
        <w:t> </w:t>
      </w:r>
      <w:r>
        <w:rPr>
          <w:sz w:val="22"/>
        </w:rPr>
        <w:t>provides</w:t>
      </w:r>
      <w:r>
        <w:rPr>
          <w:spacing w:val="-4"/>
          <w:sz w:val="22"/>
        </w:rPr>
        <w:t> </w:t>
      </w:r>
      <w:r>
        <w:rPr>
          <w:sz w:val="22"/>
        </w:rPr>
        <w:t>loan</w:t>
      </w:r>
      <w:r>
        <w:rPr>
          <w:spacing w:val="-5"/>
          <w:sz w:val="22"/>
        </w:rPr>
        <w:t> </w:t>
      </w:r>
      <w:r>
        <w:rPr>
          <w:sz w:val="22"/>
        </w:rPr>
        <w:t>assistance</w:t>
      </w:r>
      <w:r>
        <w:rPr>
          <w:spacing w:val="-7"/>
          <w:sz w:val="22"/>
        </w:rPr>
        <w:t> </w:t>
      </w:r>
      <w:r>
        <w:rPr>
          <w:sz w:val="22"/>
        </w:rPr>
        <w:t>to</w:t>
      </w:r>
      <w:r>
        <w:rPr>
          <w:spacing w:val="-7"/>
          <w:sz w:val="22"/>
        </w:rPr>
        <w:t> </w:t>
      </w:r>
      <w:r>
        <w:rPr>
          <w:sz w:val="22"/>
        </w:rPr>
        <w:t>landlords</w:t>
      </w:r>
      <w:r>
        <w:rPr>
          <w:spacing w:val="-5"/>
          <w:sz w:val="22"/>
        </w:rPr>
        <w:t> </w:t>
      </w:r>
      <w:r>
        <w:rPr>
          <w:sz w:val="22"/>
        </w:rPr>
        <w:t>which</w:t>
      </w:r>
      <w:r>
        <w:rPr>
          <w:spacing w:val="-5"/>
          <w:sz w:val="22"/>
        </w:rPr>
        <w:t> </w:t>
      </w:r>
      <w:r>
        <w:rPr>
          <w:sz w:val="22"/>
        </w:rPr>
        <w:t>lease</w:t>
      </w:r>
      <w:r>
        <w:rPr>
          <w:spacing w:val="-8"/>
          <w:sz w:val="22"/>
        </w:rPr>
        <w:t> </w:t>
      </w:r>
      <w:r>
        <w:rPr>
          <w:sz w:val="22"/>
        </w:rPr>
        <w:t>to</w:t>
      </w:r>
      <w:r>
        <w:rPr>
          <w:spacing w:val="-5"/>
          <w:sz w:val="22"/>
        </w:rPr>
        <w:t> </w:t>
      </w:r>
      <w:r>
        <w:rPr>
          <w:sz w:val="22"/>
        </w:rPr>
        <w:t>low- and moderate-income households needing moderate and substantial rehabilitation to rental </w:t>
      </w:r>
      <w:r>
        <w:rPr>
          <w:spacing w:val="-2"/>
          <w:sz w:val="22"/>
        </w:rPr>
        <w:t>properties.</w:t>
      </w:r>
    </w:p>
    <w:p>
      <w:pPr>
        <w:pStyle w:val="BodyText"/>
      </w:pPr>
    </w:p>
    <w:p>
      <w:pPr>
        <w:pStyle w:val="BodyText"/>
        <w:spacing w:before="1"/>
        <w:ind w:left="120" w:right="154"/>
        <w:jc w:val="both"/>
      </w:pPr>
      <w:r>
        <w:rPr/>
        <w:t>Applicants for HIPP will be prioritized on a first come first served basis for all programs. If an Applicant is within their affordability period from any other program, they are not eligible. If an Applicant is currently being served (not within an affordability period), they are not eligible to receive funding from another program concurrently. If an Applicant has been served in the past, residents</w:t>
      </w:r>
      <w:r>
        <w:rPr>
          <w:spacing w:val="-1"/>
        </w:rPr>
        <w:t> </w:t>
      </w:r>
      <w:r>
        <w:rPr/>
        <w:t>that have never been served</w:t>
      </w:r>
      <w:r>
        <w:rPr>
          <w:spacing w:val="-2"/>
        </w:rPr>
        <w:t> </w:t>
      </w:r>
      <w:r>
        <w:rPr/>
        <w:t>from the Housing Department will be served</w:t>
      </w:r>
      <w:r>
        <w:rPr>
          <w:spacing w:val="-2"/>
        </w:rPr>
        <w:t> </w:t>
      </w:r>
      <w:r>
        <w:rPr/>
        <w:t>first. For the other repair/rehab programs refer to that section on qualifications.</w:t>
      </w:r>
    </w:p>
    <w:p>
      <w:pPr>
        <w:spacing w:after="0"/>
        <w:jc w:val="both"/>
        <w:sectPr>
          <w:pgSz w:w="12240" w:h="15840"/>
          <w:pgMar w:header="0" w:footer="1738" w:top="1680" w:bottom="1920" w:left="1320" w:right="1280"/>
        </w:sectPr>
      </w:pPr>
    </w:p>
    <w:p>
      <w:pPr>
        <w:pStyle w:val="Heading5"/>
        <w:numPr>
          <w:ilvl w:val="1"/>
          <w:numId w:val="4"/>
        </w:numPr>
        <w:tabs>
          <w:tab w:pos="1560" w:val="left" w:leader="none"/>
        </w:tabs>
        <w:spacing w:line="252" w:lineRule="exact" w:before="80" w:after="0"/>
        <w:ind w:left="1559" w:right="0" w:hanging="360"/>
        <w:jc w:val="both"/>
      </w:pPr>
      <w:r>
        <w:rPr/>
        <w:t>Minor</w:t>
      </w:r>
      <w:r>
        <w:rPr>
          <w:spacing w:val="-7"/>
        </w:rPr>
        <w:t> </w:t>
      </w:r>
      <w:r>
        <w:rPr/>
        <w:t>Home</w:t>
      </w:r>
      <w:r>
        <w:rPr>
          <w:spacing w:val="-7"/>
        </w:rPr>
        <w:t> </w:t>
      </w:r>
      <w:r>
        <w:rPr/>
        <w:t>Rehabilitation</w:t>
      </w:r>
      <w:r>
        <w:rPr>
          <w:spacing w:val="-7"/>
        </w:rPr>
        <w:t> </w:t>
      </w:r>
      <w:r>
        <w:rPr>
          <w:spacing w:val="-2"/>
        </w:rPr>
        <w:t>Program</w:t>
      </w:r>
    </w:p>
    <w:p>
      <w:pPr>
        <w:pStyle w:val="BodyText"/>
        <w:ind w:left="120" w:right="154"/>
        <w:jc w:val="both"/>
      </w:pPr>
      <w:r>
        <w:rPr/>
        <w:t>The</w:t>
      </w:r>
      <w:r>
        <w:rPr>
          <w:spacing w:val="-3"/>
        </w:rPr>
        <w:t> </w:t>
      </w:r>
      <w:r>
        <w:rPr/>
        <w:t>Minor</w:t>
      </w:r>
      <w:r>
        <w:rPr>
          <w:spacing w:val="-1"/>
        </w:rPr>
        <w:t> </w:t>
      </w:r>
      <w:r>
        <w:rPr/>
        <w:t>Home</w:t>
      </w:r>
      <w:r>
        <w:rPr>
          <w:spacing w:val="-3"/>
        </w:rPr>
        <w:t> </w:t>
      </w:r>
      <w:r>
        <w:rPr/>
        <w:t>Rehabilitation Program provides</w:t>
      </w:r>
      <w:r>
        <w:rPr>
          <w:spacing w:val="-5"/>
        </w:rPr>
        <w:t> </w:t>
      </w:r>
      <w:r>
        <w:rPr/>
        <w:t>grant</w:t>
      </w:r>
      <w:r>
        <w:rPr>
          <w:spacing w:val="-1"/>
        </w:rPr>
        <w:t> </w:t>
      </w:r>
      <w:r>
        <w:rPr/>
        <w:t>assistance</w:t>
      </w:r>
      <w:r>
        <w:rPr>
          <w:spacing w:val="-3"/>
        </w:rPr>
        <w:t> </w:t>
      </w:r>
      <w:r>
        <w:rPr/>
        <w:t>to</w:t>
      </w:r>
      <w:r>
        <w:rPr>
          <w:spacing w:val="-3"/>
        </w:rPr>
        <w:t> </w:t>
      </w:r>
      <w:r>
        <w:rPr/>
        <w:t>non-profit</w:t>
      </w:r>
      <w:r>
        <w:rPr>
          <w:spacing w:val="-1"/>
        </w:rPr>
        <w:t> </w:t>
      </w:r>
      <w:r>
        <w:rPr/>
        <w:t>organizations</w:t>
      </w:r>
      <w:r>
        <w:rPr>
          <w:spacing w:val="-2"/>
        </w:rPr>
        <w:t> </w:t>
      </w:r>
      <w:r>
        <w:rPr/>
        <w:t>to allow</w:t>
      </w:r>
      <w:r>
        <w:rPr>
          <w:spacing w:val="-5"/>
        </w:rPr>
        <w:t> </w:t>
      </w:r>
      <w:r>
        <w:rPr/>
        <w:t>much</w:t>
      </w:r>
      <w:r>
        <w:rPr>
          <w:spacing w:val="-4"/>
        </w:rPr>
        <w:t> </w:t>
      </w:r>
      <w:r>
        <w:rPr/>
        <w:t>needed</w:t>
      </w:r>
      <w:r>
        <w:rPr>
          <w:spacing w:val="-4"/>
        </w:rPr>
        <w:t> </w:t>
      </w:r>
      <w:r>
        <w:rPr/>
        <w:t>emergency</w:t>
      </w:r>
      <w:r>
        <w:rPr>
          <w:spacing w:val="-2"/>
        </w:rPr>
        <w:t> </w:t>
      </w:r>
      <w:r>
        <w:rPr/>
        <w:t>health</w:t>
      </w:r>
      <w:r>
        <w:rPr>
          <w:spacing w:val="-4"/>
        </w:rPr>
        <w:t> </w:t>
      </w:r>
      <w:r>
        <w:rPr/>
        <w:t>and</w:t>
      </w:r>
      <w:r>
        <w:rPr>
          <w:spacing w:val="-4"/>
        </w:rPr>
        <w:t> </w:t>
      </w:r>
      <w:r>
        <w:rPr/>
        <w:t>safety</w:t>
      </w:r>
      <w:r>
        <w:rPr>
          <w:spacing w:val="-6"/>
        </w:rPr>
        <w:t> </w:t>
      </w:r>
      <w:r>
        <w:rPr/>
        <w:t>repairs</w:t>
      </w:r>
      <w:r>
        <w:rPr>
          <w:spacing w:val="-4"/>
        </w:rPr>
        <w:t> </w:t>
      </w:r>
      <w:r>
        <w:rPr/>
        <w:t>to</w:t>
      </w:r>
      <w:r>
        <w:rPr>
          <w:spacing w:val="-4"/>
        </w:rPr>
        <w:t> </w:t>
      </w:r>
      <w:r>
        <w:rPr/>
        <w:t>a</w:t>
      </w:r>
      <w:r>
        <w:rPr>
          <w:spacing w:val="-4"/>
        </w:rPr>
        <w:t> </w:t>
      </w:r>
      <w:r>
        <w:rPr/>
        <w:t>home</w:t>
      </w:r>
      <w:r>
        <w:rPr>
          <w:spacing w:val="-4"/>
        </w:rPr>
        <w:t> </w:t>
      </w:r>
      <w:r>
        <w:rPr/>
        <w:t>of</w:t>
      </w:r>
      <w:r>
        <w:rPr>
          <w:spacing w:val="-5"/>
        </w:rPr>
        <w:t> </w:t>
      </w:r>
      <w:r>
        <w:rPr/>
        <w:t>an</w:t>
      </w:r>
      <w:r>
        <w:rPr>
          <w:spacing w:val="-4"/>
        </w:rPr>
        <w:t> </w:t>
      </w:r>
      <w:r>
        <w:rPr/>
        <w:t>eligible</w:t>
      </w:r>
      <w:r>
        <w:rPr>
          <w:spacing w:val="-4"/>
        </w:rPr>
        <w:t> </w:t>
      </w:r>
      <w:r>
        <w:rPr/>
        <w:t>homeowner</w:t>
      </w:r>
      <w:r>
        <w:rPr>
          <w:spacing w:val="-1"/>
        </w:rPr>
        <w:t> </w:t>
      </w:r>
      <w:r>
        <w:rPr/>
        <w:t>for minor</w:t>
      </w:r>
      <w:r>
        <w:rPr>
          <w:spacing w:val="-16"/>
        </w:rPr>
        <w:t> </w:t>
      </w:r>
      <w:r>
        <w:rPr/>
        <w:t>home</w:t>
      </w:r>
      <w:r>
        <w:rPr>
          <w:spacing w:val="-15"/>
        </w:rPr>
        <w:t> </w:t>
      </w:r>
      <w:r>
        <w:rPr/>
        <w:t>repairs,</w:t>
      </w:r>
      <w:r>
        <w:rPr>
          <w:spacing w:val="-15"/>
        </w:rPr>
        <w:t> </w:t>
      </w:r>
      <w:r>
        <w:rPr/>
        <w:t>as</w:t>
      </w:r>
      <w:r>
        <w:rPr>
          <w:spacing w:val="-16"/>
        </w:rPr>
        <w:t> </w:t>
      </w:r>
      <w:r>
        <w:rPr/>
        <w:t>described</w:t>
      </w:r>
      <w:r>
        <w:rPr>
          <w:spacing w:val="-15"/>
        </w:rPr>
        <w:t> </w:t>
      </w:r>
      <w:r>
        <w:rPr/>
        <w:t>below.</w:t>
      </w:r>
      <w:r>
        <w:rPr>
          <w:spacing w:val="-15"/>
        </w:rPr>
        <w:t> </w:t>
      </w:r>
      <w:r>
        <w:rPr/>
        <w:t>Funding</w:t>
      </w:r>
      <w:r>
        <w:rPr>
          <w:spacing w:val="-15"/>
        </w:rPr>
        <w:t> </w:t>
      </w:r>
      <w:r>
        <w:rPr/>
        <w:t>for</w:t>
      </w:r>
      <w:r>
        <w:rPr>
          <w:spacing w:val="-16"/>
        </w:rPr>
        <w:t> </w:t>
      </w:r>
      <w:r>
        <w:rPr/>
        <w:t>this</w:t>
      </w:r>
      <w:r>
        <w:rPr>
          <w:spacing w:val="-15"/>
        </w:rPr>
        <w:t> </w:t>
      </w:r>
      <w:r>
        <w:rPr/>
        <w:t>program</w:t>
      </w:r>
      <w:r>
        <w:rPr>
          <w:spacing w:val="-15"/>
        </w:rPr>
        <w:t> </w:t>
      </w:r>
      <w:r>
        <w:rPr/>
        <w:t>can</w:t>
      </w:r>
      <w:r>
        <w:rPr>
          <w:spacing w:val="-16"/>
        </w:rPr>
        <w:t> </w:t>
      </w:r>
      <w:r>
        <w:rPr/>
        <w:t>be</w:t>
      </w:r>
      <w:r>
        <w:rPr>
          <w:spacing w:val="-15"/>
        </w:rPr>
        <w:t> </w:t>
      </w:r>
      <w:r>
        <w:rPr/>
        <w:t>provided</w:t>
      </w:r>
      <w:r>
        <w:rPr>
          <w:spacing w:val="-15"/>
        </w:rPr>
        <w:t> </w:t>
      </w:r>
      <w:r>
        <w:rPr/>
        <w:t>by</w:t>
      </w:r>
      <w:r>
        <w:rPr>
          <w:spacing w:val="-15"/>
        </w:rPr>
        <w:t> </w:t>
      </w:r>
      <w:r>
        <w:rPr/>
        <w:t>both</w:t>
      </w:r>
      <w:r>
        <w:rPr>
          <w:spacing w:val="-16"/>
        </w:rPr>
        <w:t> </w:t>
      </w:r>
      <w:r>
        <w:rPr/>
        <w:t>federal and non-federal funding. Funds from partnering non-profits can be provided as long as total funding does not exceed $4,999.99 per property.</w:t>
      </w:r>
    </w:p>
    <w:p>
      <w:pPr>
        <w:pStyle w:val="BodyText"/>
      </w:pPr>
    </w:p>
    <w:p>
      <w:pPr>
        <w:pStyle w:val="Heading5"/>
      </w:pPr>
      <w:r>
        <w:rPr/>
        <w:pict>
          <v:shape style="position:absolute;margin-left:90.065002pt;margin-top:8.668063pt;width:395.3pt;height:419pt;mso-position-horizontal-relative:page;mso-position-vertical-relative:paragraph;z-index:-17737216" id="docshape20" coordorigin="1801,173" coordsize="7906,8380" path="m4498,7437l4492,7364,4477,7286,4455,7203,4432,7134,4403,7062,4367,6987,4325,6909,4276,6828,4237,6769,4200,6718,4200,7404,4197,7460,4186,7517,4167,7574,4138,7634,4097,7697,4044,7763,3979,7832,3674,8138,2216,6680,2517,6379,2598,6303,2672,6243,2740,6200,2801,6173,2868,6159,2941,6155,3020,6161,3105,6179,3195,6208,3255,6234,3317,6266,3380,6305,3446,6350,3514,6402,3584,6460,3656,6524,3729,6596,3789,6657,3845,6717,3896,6776,3943,6834,3986,6891,4025,6946,4059,7000,4101,7075,4136,7147,4163,7216,4183,7283,4196,7348,4200,7404,4200,6718,4194,6709,4148,6649,4098,6589,4045,6528,3989,6466,3929,6404,3865,6342,3801,6284,3737,6229,3673,6177,3643,6155,3609,6129,3546,6085,3482,6044,3419,6006,3346,5968,3274,5936,3203,5909,3132,5886,3062,5869,2992,5857,2923,5850,2850,5849,2779,5855,2709,5870,2642,5893,2577,5924,2528,5952,2476,5989,2420,6034,2359,6089,2294,6151,1801,6644,3710,8553,4124,8138,4226,8036,4287,7971,4341,7906,4386,7840,4424,7773,4454,7706,4476,7640,4491,7573,4498,7506,4498,7437xm6418,5844l6056,5716,5650,5573,5561,5544,5475,5520,5393,5501,5365,5496,5314,5487,5239,5477,5193,5475,5143,5478,5089,5485,5030,5496,5073,5426,5109,5357,5136,5288,5154,5219,5164,5150,5165,5082,5157,5014,5139,4936,5111,4860,5075,4786,5030,4713,4976,4642,4956,4619,4913,4573,4872,4535,4872,5093,4868,5148,4854,5203,4830,5259,4794,5318,4747,5379,4687,5443,4280,5850,3649,5219,4102,4766,4166,4709,4229,4665,4293,4636,4358,4621,4422,4619,4501,4635,4577,4664,4649,4709,4718,4769,4761,4816,4797,4867,4827,4921,4851,4977,4867,5036,4872,5093,4872,4535,4849,4514,4782,4461,4713,4416,4641,4377,4566,4345,4474,4317,4386,4304,4303,4306,4225,4322,4163,4347,4098,4384,4030,4432,3958,4491,3883,4562,3248,5197,5157,7105,5346,6916,4499,6069,4718,5850,4753,5815,4783,5788,4810,5767,4833,5752,4863,5739,4896,5728,4932,5720,4971,5716,5014,5716,5066,5721,5125,5732,5194,5748,5256,5766,5328,5786,5407,5811,5496,5841,6180,6082,6418,5844xm7780,4482l7415,4287,6555,3832,6555,4139,6070,4625,6030,4553,5989,4482,5748,4051,5708,3979,5668,3908,5629,3842,5590,3778,5550,3714,5509,3651,5467,3588,5424,3527,5380,3466,5436,3502,5498,3540,5564,3580,5635,3622,5792,3712,6555,4139,6555,3832,5862,3466,5286,3159,5082,3363,5277,3714,5316,3784,5701,4482,6207,5401,6441,5821,6642,5620,6565,5487,6298,5019,6221,4885,6481,4625,6820,4287,7173,4482,7565,4697,7780,4482xm8131,4131l7264,3264,7936,2592,7711,2367,7039,3039,6448,2448,7224,1672,6999,1447,6033,2412,7941,4321,8131,4131xm9707,2555l8024,872,8497,399,8272,173,7138,1308,7363,1533,7834,1062,9517,2745,9707,2555xe" filled="true" fillcolor="#c0c0c0" stroked="false">
            <v:path arrowok="t"/>
            <v:fill opacity="32896f" type="solid"/>
            <w10:wrap type="none"/>
          </v:shape>
        </w:pict>
      </w:r>
      <w:r>
        <w:rPr/>
        <w:t>Applicant</w:t>
      </w:r>
      <w:r>
        <w:rPr>
          <w:spacing w:val="-6"/>
        </w:rPr>
        <w:t> </w:t>
      </w:r>
      <w:r>
        <w:rPr>
          <w:spacing w:val="-2"/>
        </w:rPr>
        <w:t>Eligibility</w:t>
      </w:r>
    </w:p>
    <w:p>
      <w:pPr>
        <w:pStyle w:val="BodyText"/>
        <w:spacing w:before="50"/>
        <w:ind w:left="120" w:right="154"/>
        <w:jc w:val="both"/>
      </w:pPr>
      <w:r>
        <w:rPr/>
        <w:t>Homeowners</w:t>
      </w:r>
      <w:r>
        <w:rPr>
          <w:spacing w:val="-16"/>
        </w:rPr>
        <w:t> </w:t>
      </w:r>
      <w:r>
        <w:rPr/>
        <w:t>for</w:t>
      </w:r>
      <w:r>
        <w:rPr>
          <w:spacing w:val="-15"/>
        </w:rPr>
        <w:t> </w:t>
      </w:r>
      <w:r>
        <w:rPr/>
        <w:t>the</w:t>
      </w:r>
      <w:r>
        <w:rPr>
          <w:spacing w:val="-15"/>
        </w:rPr>
        <w:t> </w:t>
      </w:r>
      <w:r>
        <w:rPr/>
        <w:t>Minor</w:t>
      </w:r>
      <w:r>
        <w:rPr>
          <w:spacing w:val="-16"/>
        </w:rPr>
        <w:t> </w:t>
      </w:r>
      <w:r>
        <w:rPr/>
        <w:t>Home</w:t>
      </w:r>
      <w:r>
        <w:rPr>
          <w:spacing w:val="-15"/>
        </w:rPr>
        <w:t> </w:t>
      </w:r>
      <w:r>
        <w:rPr/>
        <w:t>Rehabilitation</w:t>
      </w:r>
      <w:r>
        <w:rPr>
          <w:spacing w:val="-15"/>
        </w:rPr>
        <w:t> </w:t>
      </w:r>
      <w:r>
        <w:rPr/>
        <w:t>Program</w:t>
      </w:r>
      <w:r>
        <w:rPr>
          <w:spacing w:val="-15"/>
        </w:rPr>
        <w:t> </w:t>
      </w:r>
      <w:r>
        <w:rPr/>
        <w:t>must</w:t>
      </w:r>
      <w:r>
        <w:rPr>
          <w:spacing w:val="-16"/>
        </w:rPr>
        <w:t> </w:t>
      </w:r>
      <w:r>
        <w:rPr/>
        <w:t>meet</w:t>
      </w:r>
      <w:r>
        <w:rPr>
          <w:spacing w:val="-15"/>
        </w:rPr>
        <w:t> </w:t>
      </w:r>
      <w:r>
        <w:rPr/>
        <w:t>all</w:t>
      </w:r>
      <w:r>
        <w:rPr>
          <w:spacing w:val="-15"/>
        </w:rPr>
        <w:t> </w:t>
      </w:r>
      <w:r>
        <w:rPr/>
        <w:t>the</w:t>
      </w:r>
      <w:r>
        <w:rPr>
          <w:spacing w:val="-16"/>
        </w:rPr>
        <w:t> </w:t>
      </w:r>
      <w:r>
        <w:rPr/>
        <w:t>following</w:t>
      </w:r>
      <w:r>
        <w:rPr>
          <w:spacing w:val="-15"/>
        </w:rPr>
        <w:t> </w:t>
      </w:r>
      <w:r>
        <w:rPr/>
        <w:t>requirements to be eligible to participate.</w:t>
      </w:r>
    </w:p>
    <w:p>
      <w:pPr>
        <w:pStyle w:val="ListParagraph"/>
        <w:numPr>
          <w:ilvl w:val="0"/>
          <w:numId w:val="5"/>
        </w:numPr>
        <w:tabs>
          <w:tab w:pos="841" w:val="left" w:leader="none"/>
        </w:tabs>
        <w:spacing w:line="240" w:lineRule="auto" w:before="2" w:after="0"/>
        <w:ind w:left="840" w:right="157" w:hanging="361"/>
        <w:jc w:val="both"/>
        <w:rPr>
          <w:sz w:val="22"/>
        </w:rPr>
      </w:pPr>
      <w:r>
        <w:rPr>
          <w:sz w:val="22"/>
        </w:rPr>
        <w:t>Applicants</w:t>
      </w:r>
      <w:r>
        <w:rPr>
          <w:spacing w:val="-8"/>
          <w:sz w:val="22"/>
        </w:rPr>
        <w:t> </w:t>
      </w:r>
      <w:r>
        <w:rPr>
          <w:sz w:val="22"/>
        </w:rPr>
        <w:t>must</w:t>
      </w:r>
      <w:r>
        <w:rPr>
          <w:spacing w:val="-7"/>
          <w:sz w:val="22"/>
        </w:rPr>
        <w:t> </w:t>
      </w:r>
      <w:r>
        <w:rPr>
          <w:sz w:val="22"/>
        </w:rPr>
        <w:t>be</w:t>
      </w:r>
      <w:r>
        <w:rPr>
          <w:spacing w:val="-11"/>
          <w:sz w:val="22"/>
        </w:rPr>
        <w:t> </w:t>
      </w:r>
      <w:r>
        <w:rPr>
          <w:sz w:val="22"/>
        </w:rPr>
        <w:t>the</w:t>
      </w:r>
      <w:r>
        <w:rPr>
          <w:spacing w:val="-9"/>
          <w:sz w:val="22"/>
        </w:rPr>
        <w:t> </w:t>
      </w:r>
      <w:r>
        <w:rPr>
          <w:sz w:val="22"/>
        </w:rPr>
        <w:t>owner</w:t>
      </w:r>
      <w:r>
        <w:rPr>
          <w:spacing w:val="-5"/>
          <w:sz w:val="22"/>
        </w:rPr>
        <w:t> </w:t>
      </w:r>
      <w:r>
        <w:rPr>
          <w:sz w:val="22"/>
        </w:rPr>
        <w:t>of</w:t>
      </w:r>
      <w:r>
        <w:rPr>
          <w:spacing w:val="-7"/>
          <w:sz w:val="22"/>
        </w:rPr>
        <w:t> </w:t>
      </w:r>
      <w:r>
        <w:rPr>
          <w:sz w:val="22"/>
        </w:rPr>
        <w:t>the</w:t>
      </w:r>
      <w:r>
        <w:rPr>
          <w:spacing w:val="-9"/>
          <w:sz w:val="22"/>
        </w:rPr>
        <w:t> </w:t>
      </w:r>
      <w:r>
        <w:rPr>
          <w:sz w:val="22"/>
        </w:rPr>
        <w:t>home</w:t>
      </w:r>
      <w:r>
        <w:rPr>
          <w:spacing w:val="-8"/>
          <w:sz w:val="22"/>
        </w:rPr>
        <w:t> </w:t>
      </w:r>
      <w:r>
        <w:rPr>
          <w:sz w:val="22"/>
        </w:rPr>
        <w:t>to</w:t>
      </w:r>
      <w:r>
        <w:rPr>
          <w:spacing w:val="-9"/>
          <w:sz w:val="22"/>
        </w:rPr>
        <w:t> </w:t>
      </w:r>
      <w:r>
        <w:rPr>
          <w:sz w:val="22"/>
        </w:rPr>
        <w:t>be</w:t>
      </w:r>
      <w:r>
        <w:rPr>
          <w:spacing w:val="-11"/>
          <w:sz w:val="22"/>
        </w:rPr>
        <w:t> </w:t>
      </w:r>
      <w:r>
        <w:rPr>
          <w:sz w:val="22"/>
        </w:rPr>
        <w:t>repaired</w:t>
      </w:r>
      <w:r>
        <w:rPr>
          <w:spacing w:val="-6"/>
          <w:sz w:val="22"/>
        </w:rPr>
        <w:t> </w:t>
      </w:r>
      <w:r>
        <w:rPr>
          <w:sz w:val="22"/>
        </w:rPr>
        <w:t>and</w:t>
      </w:r>
      <w:r>
        <w:rPr>
          <w:spacing w:val="-9"/>
          <w:sz w:val="22"/>
        </w:rPr>
        <w:t> </w:t>
      </w:r>
      <w:r>
        <w:rPr>
          <w:sz w:val="22"/>
        </w:rPr>
        <w:t>have</w:t>
      </w:r>
      <w:r>
        <w:rPr>
          <w:spacing w:val="-9"/>
          <w:sz w:val="22"/>
        </w:rPr>
        <w:t> </w:t>
      </w:r>
      <w:r>
        <w:rPr>
          <w:sz w:val="22"/>
        </w:rPr>
        <w:t>occupied</w:t>
      </w:r>
      <w:r>
        <w:rPr>
          <w:spacing w:val="-6"/>
          <w:sz w:val="22"/>
        </w:rPr>
        <w:t> </w:t>
      </w:r>
      <w:r>
        <w:rPr>
          <w:sz w:val="22"/>
        </w:rPr>
        <w:t>the</w:t>
      </w:r>
      <w:r>
        <w:rPr>
          <w:spacing w:val="-6"/>
          <w:sz w:val="22"/>
        </w:rPr>
        <w:t> </w:t>
      </w:r>
      <w:r>
        <w:rPr>
          <w:sz w:val="22"/>
        </w:rPr>
        <w:t>home</w:t>
      </w:r>
      <w:r>
        <w:rPr>
          <w:spacing w:val="-11"/>
          <w:sz w:val="22"/>
        </w:rPr>
        <w:t> </w:t>
      </w:r>
      <w:r>
        <w:rPr>
          <w:sz w:val="22"/>
        </w:rPr>
        <w:t>for at</w:t>
      </w:r>
      <w:r>
        <w:rPr>
          <w:spacing w:val="-10"/>
          <w:sz w:val="22"/>
        </w:rPr>
        <w:t> </w:t>
      </w:r>
      <w:r>
        <w:rPr>
          <w:sz w:val="22"/>
        </w:rPr>
        <w:t>least</w:t>
      </w:r>
      <w:r>
        <w:rPr>
          <w:spacing w:val="-10"/>
          <w:sz w:val="22"/>
        </w:rPr>
        <w:t> </w:t>
      </w:r>
      <w:r>
        <w:rPr>
          <w:sz w:val="22"/>
        </w:rPr>
        <w:t>six</w:t>
      </w:r>
      <w:r>
        <w:rPr>
          <w:spacing w:val="-13"/>
          <w:sz w:val="22"/>
        </w:rPr>
        <w:t> </w:t>
      </w:r>
      <w:r>
        <w:rPr>
          <w:sz w:val="22"/>
        </w:rPr>
        <w:t>months</w:t>
      </w:r>
      <w:r>
        <w:rPr>
          <w:spacing w:val="-13"/>
          <w:sz w:val="22"/>
        </w:rPr>
        <w:t> </w:t>
      </w:r>
      <w:r>
        <w:rPr>
          <w:sz w:val="22"/>
        </w:rPr>
        <w:t>prior</w:t>
      </w:r>
      <w:r>
        <w:rPr>
          <w:spacing w:val="-12"/>
          <w:sz w:val="22"/>
        </w:rPr>
        <w:t> </w:t>
      </w:r>
      <w:r>
        <w:rPr>
          <w:sz w:val="22"/>
        </w:rPr>
        <w:t>to</w:t>
      </w:r>
      <w:r>
        <w:rPr>
          <w:spacing w:val="-11"/>
          <w:sz w:val="22"/>
        </w:rPr>
        <w:t> </w:t>
      </w:r>
      <w:r>
        <w:rPr>
          <w:sz w:val="22"/>
        </w:rPr>
        <w:t>the</w:t>
      </w:r>
      <w:r>
        <w:rPr>
          <w:spacing w:val="-11"/>
          <w:sz w:val="22"/>
        </w:rPr>
        <w:t> </w:t>
      </w:r>
      <w:r>
        <w:rPr>
          <w:sz w:val="22"/>
        </w:rPr>
        <w:t>date</w:t>
      </w:r>
      <w:r>
        <w:rPr>
          <w:spacing w:val="-11"/>
          <w:sz w:val="22"/>
        </w:rPr>
        <w:t> </w:t>
      </w:r>
      <w:r>
        <w:rPr>
          <w:sz w:val="22"/>
        </w:rPr>
        <w:t>of</w:t>
      </w:r>
      <w:r>
        <w:rPr>
          <w:spacing w:val="-10"/>
          <w:sz w:val="22"/>
        </w:rPr>
        <w:t> </w:t>
      </w:r>
      <w:r>
        <w:rPr>
          <w:sz w:val="22"/>
        </w:rPr>
        <w:t>application.</w:t>
      </w:r>
      <w:r>
        <w:rPr>
          <w:spacing w:val="-12"/>
          <w:sz w:val="22"/>
        </w:rPr>
        <w:t> </w:t>
      </w:r>
      <w:r>
        <w:rPr>
          <w:sz w:val="22"/>
        </w:rPr>
        <w:t>Applicants</w:t>
      </w:r>
      <w:r>
        <w:rPr>
          <w:spacing w:val="-8"/>
          <w:sz w:val="22"/>
        </w:rPr>
        <w:t> </w:t>
      </w:r>
      <w:r>
        <w:rPr>
          <w:sz w:val="22"/>
        </w:rPr>
        <w:t>must</w:t>
      </w:r>
      <w:r>
        <w:rPr>
          <w:spacing w:val="-12"/>
          <w:sz w:val="22"/>
        </w:rPr>
        <w:t> </w:t>
      </w:r>
      <w:r>
        <w:rPr>
          <w:sz w:val="22"/>
        </w:rPr>
        <w:t>submit</w:t>
      </w:r>
      <w:r>
        <w:rPr>
          <w:spacing w:val="-10"/>
          <w:sz w:val="22"/>
        </w:rPr>
        <w:t> </w:t>
      </w:r>
      <w:r>
        <w:rPr>
          <w:sz w:val="22"/>
        </w:rPr>
        <w:t>a</w:t>
      </w:r>
      <w:r>
        <w:rPr>
          <w:spacing w:val="-14"/>
          <w:sz w:val="22"/>
        </w:rPr>
        <w:t> </w:t>
      </w:r>
      <w:r>
        <w:rPr>
          <w:sz w:val="22"/>
        </w:rPr>
        <w:t>deed</w:t>
      </w:r>
      <w:r>
        <w:rPr>
          <w:spacing w:val="-11"/>
          <w:sz w:val="22"/>
        </w:rPr>
        <w:t> </w:t>
      </w:r>
      <w:r>
        <w:rPr>
          <w:sz w:val="22"/>
        </w:rPr>
        <w:t>showing the</w:t>
      </w:r>
      <w:r>
        <w:rPr>
          <w:spacing w:val="-8"/>
          <w:sz w:val="22"/>
        </w:rPr>
        <w:t> </w:t>
      </w:r>
      <w:r>
        <w:rPr>
          <w:sz w:val="22"/>
        </w:rPr>
        <w:t>conveyance,</w:t>
      </w:r>
      <w:r>
        <w:rPr>
          <w:spacing w:val="-7"/>
          <w:sz w:val="22"/>
        </w:rPr>
        <w:t> </w:t>
      </w:r>
      <w:r>
        <w:rPr>
          <w:sz w:val="22"/>
        </w:rPr>
        <w:t>or</w:t>
      </w:r>
      <w:r>
        <w:rPr>
          <w:spacing w:val="-7"/>
          <w:sz w:val="22"/>
        </w:rPr>
        <w:t> </w:t>
      </w:r>
      <w:r>
        <w:rPr>
          <w:sz w:val="22"/>
        </w:rPr>
        <w:t>similar</w:t>
      </w:r>
      <w:r>
        <w:rPr>
          <w:spacing w:val="-7"/>
          <w:sz w:val="22"/>
        </w:rPr>
        <w:t> </w:t>
      </w:r>
      <w:r>
        <w:rPr>
          <w:sz w:val="22"/>
        </w:rPr>
        <w:t>documentation</w:t>
      </w:r>
      <w:r>
        <w:rPr>
          <w:spacing w:val="-8"/>
          <w:sz w:val="22"/>
        </w:rPr>
        <w:t> </w:t>
      </w:r>
      <w:r>
        <w:rPr>
          <w:sz w:val="22"/>
        </w:rPr>
        <w:t>acceptable</w:t>
      </w:r>
      <w:r>
        <w:rPr>
          <w:spacing w:val="-8"/>
          <w:sz w:val="22"/>
        </w:rPr>
        <w:t> </w:t>
      </w:r>
      <w:r>
        <w:rPr>
          <w:sz w:val="22"/>
        </w:rPr>
        <w:t>to</w:t>
      </w:r>
      <w:r>
        <w:rPr>
          <w:spacing w:val="-11"/>
          <w:sz w:val="22"/>
        </w:rPr>
        <w:t> </w:t>
      </w:r>
      <w:r>
        <w:rPr>
          <w:sz w:val="22"/>
        </w:rPr>
        <w:t>the</w:t>
      </w:r>
      <w:r>
        <w:rPr>
          <w:spacing w:val="-11"/>
          <w:sz w:val="22"/>
        </w:rPr>
        <w:t> </w:t>
      </w:r>
      <w:r>
        <w:rPr>
          <w:sz w:val="22"/>
        </w:rPr>
        <w:t>City</w:t>
      </w:r>
      <w:r>
        <w:rPr>
          <w:spacing w:val="-10"/>
          <w:sz w:val="22"/>
        </w:rPr>
        <w:t> </w:t>
      </w:r>
      <w:r>
        <w:rPr>
          <w:sz w:val="22"/>
        </w:rPr>
        <w:t>in</w:t>
      </w:r>
      <w:r>
        <w:rPr>
          <w:spacing w:val="-8"/>
          <w:sz w:val="22"/>
        </w:rPr>
        <w:t> </w:t>
      </w:r>
      <w:r>
        <w:rPr>
          <w:sz w:val="22"/>
        </w:rPr>
        <w:t>its</w:t>
      </w:r>
      <w:r>
        <w:rPr>
          <w:spacing w:val="-10"/>
          <w:sz w:val="22"/>
        </w:rPr>
        <w:t> </w:t>
      </w:r>
      <w:r>
        <w:rPr>
          <w:sz w:val="22"/>
        </w:rPr>
        <w:t>sole</w:t>
      </w:r>
      <w:r>
        <w:rPr>
          <w:spacing w:val="-11"/>
          <w:sz w:val="22"/>
        </w:rPr>
        <w:t> </w:t>
      </w:r>
      <w:r>
        <w:rPr>
          <w:sz w:val="22"/>
        </w:rPr>
        <w:t>discretion,</w:t>
      </w:r>
      <w:r>
        <w:rPr>
          <w:spacing w:val="-9"/>
          <w:sz w:val="22"/>
        </w:rPr>
        <w:t> </w:t>
      </w:r>
      <w:r>
        <w:rPr>
          <w:sz w:val="22"/>
        </w:rPr>
        <w:t>that proves ownership in fee simple.</w:t>
      </w:r>
    </w:p>
    <w:p>
      <w:pPr>
        <w:pStyle w:val="ListParagraph"/>
        <w:numPr>
          <w:ilvl w:val="0"/>
          <w:numId w:val="5"/>
        </w:numPr>
        <w:tabs>
          <w:tab w:pos="841" w:val="left" w:leader="none"/>
        </w:tabs>
        <w:spacing w:line="237" w:lineRule="auto" w:before="1" w:after="0"/>
        <w:ind w:left="840" w:right="155" w:hanging="361"/>
        <w:jc w:val="both"/>
        <w:rPr>
          <w:sz w:val="22"/>
        </w:rPr>
      </w:pPr>
      <w:r>
        <w:rPr>
          <w:sz w:val="22"/>
        </w:rPr>
        <w:t>Applicants must be current on mortgage payments and shall not be in default under the mortgage documents associated with the property or in default under any lien on the </w:t>
      </w:r>
      <w:r>
        <w:rPr>
          <w:spacing w:val="-2"/>
          <w:sz w:val="22"/>
        </w:rPr>
        <w:t>property.</w:t>
      </w:r>
    </w:p>
    <w:p>
      <w:pPr>
        <w:pStyle w:val="ListParagraph"/>
        <w:numPr>
          <w:ilvl w:val="0"/>
          <w:numId w:val="5"/>
        </w:numPr>
        <w:tabs>
          <w:tab w:pos="841" w:val="left" w:leader="none"/>
        </w:tabs>
        <w:spacing w:line="237" w:lineRule="auto" w:before="5" w:after="0"/>
        <w:ind w:left="840" w:right="157" w:hanging="361"/>
        <w:jc w:val="both"/>
        <w:rPr>
          <w:sz w:val="22"/>
        </w:rPr>
      </w:pPr>
      <w:r>
        <w:rPr>
          <w:sz w:val="22"/>
        </w:rPr>
        <w:t>Property taxes must be current and not delinquent for any tax year unless the Applicant has</w:t>
      </w:r>
      <w:r>
        <w:rPr>
          <w:spacing w:val="-7"/>
          <w:sz w:val="22"/>
        </w:rPr>
        <w:t> </w:t>
      </w:r>
      <w:r>
        <w:rPr>
          <w:sz w:val="22"/>
        </w:rPr>
        <w:t>entered</w:t>
      </w:r>
      <w:r>
        <w:rPr>
          <w:spacing w:val="-10"/>
          <w:sz w:val="22"/>
        </w:rPr>
        <w:t> </w:t>
      </w:r>
      <w:r>
        <w:rPr>
          <w:sz w:val="22"/>
        </w:rPr>
        <w:t>into</w:t>
      </w:r>
      <w:r>
        <w:rPr>
          <w:spacing w:val="-10"/>
          <w:sz w:val="22"/>
        </w:rPr>
        <w:t> </w:t>
      </w:r>
      <w:r>
        <w:rPr>
          <w:sz w:val="22"/>
        </w:rPr>
        <w:t>a</w:t>
      </w:r>
      <w:r>
        <w:rPr>
          <w:spacing w:val="-10"/>
          <w:sz w:val="22"/>
        </w:rPr>
        <w:t> </w:t>
      </w:r>
      <w:r>
        <w:rPr>
          <w:sz w:val="22"/>
        </w:rPr>
        <w:t>written</w:t>
      </w:r>
      <w:r>
        <w:rPr>
          <w:spacing w:val="-10"/>
          <w:sz w:val="22"/>
        </w:rPr>
        <w:t> </w:t>
      </w:r>
      <w:r>
        <w:rPr>
          <w:sz w:val="22"/>
        </w:rPr>
        <w:t>agreement</w:t>
      </w:r>
      <w:r>
        <w:rPr>
          <w:spacing w:val="-8"/>
          <w:sz w:val="22"/>
        </w:rPr>
        <w:t> </w:t>
      </w:r>
      <w:r>
        <w:rPr>
          <w:sz w:val="22"/>
        </w:rPr>
        <w:t>with</w:t>
      </w:r>
      <w:r>
        <w:rPr>
          <w:spacing w:val="-10"/>
          <w:sz w:val="22"/>
        </w:rPr>
        <w:t> </w:t>
      </w:r>
      <w:r>
        <w:rPr>
          <w:sz w:val="22"/>
        </w:rPr>
        <w:t>the</w:t>
      </w:r>
      <w:r>
        <w:rPr>
          <w:spacing w:val="-10"/>
          <w:sz w:val="22"/>
        </w:rPr>
        <w:t> </w:t>
      </w:r>
      <w:r>
        <w:rPr>
          <w:sz w:val="22"/>
        </w:rPr>
        <w:t>taxing</w:t>
      </w:r>
      <w:r>
        <w:rPr>
          <w:spacing w:val="-7"/>
          <w:sz w:val="22"/>
        </w:rPr>
        <w:t> </w:t>
      </w:r>
      <w:r>
        <w:rPr>
          <w:sz w:val="22"/>
        </w:rPr>
        <w:t>authority</w:t>
      </w:r>
      <w:r>
        <w:rPr>
          <w:spacing w:val="-9"/>
          <w:sz w:val="22"/>
        </w:rPr>
        <w:t> </w:t>
      </w:r>
      <w:r>
        <w:rPr>
          <w:sz w:val="22"/>
        </w:rPr>
        <w:t>outlining</w:t>
      </w:r>
      <w:r>
        <w:rPr>
          <w:spacing w:val="-7"/>
          <w:sz w:val="22"/>
        </w:rPr>
        <w:t> </w:t>
      </w:r>
      <w:r>
        <w:rPr>
          <w:sz w:val="22"/>
        </w:rPr>
        <w:t>a</w:t>
      </w:r>
      <w:r>
        <w:rPr>
          <w:spacing w:val="-10"/>
          <w:sz w:val="22"/>
        </w:rPr>
        <w:t> </w:t>
      </w:r>
      <w:r>
        <w:rPr>
          <w:sz w:val="22"/>
        </w:rPr>
        <w:t>payment</w:t>
      </w:r>
      <w:r>
        <w:rPr>
          <w:spacing w:val="-8"/>
          <w:sz w:val="22"/>
        </w:rPr>
        <w:t> </w:t>
      </w:r>
      <w:r>
        <w:rPr>
          <w:sz w:val="22"/>
        </w:rPr>
        <w:t>plan</w:t>
      </w:r>
      <w:r>
        <w:rPr>
          <w:spacing w:val="-10"/>
          <w:sz w:val="22"/>
        </w:rPr>
        <w:t> </w:t>
      </w:r>
      <w:r>
        <w:rPr>
          <w:sz w:val="22"/>
        </w:rPr>
        <w:t>for delinquent taxes and is abiding to the written agreement.</w:t>
      </w:r>
    </w:p>
    <w:p>
      <w:pPr>
        <w:pStyle w:val="ListParagraph"/>
        <w:numPr>
          <w:ilvl w:val="0"/>
          <w:numId w:val="5"/>
        </w:numPr>
        <w:tabs>
          <w:tab w:pos="841" w:val="left" w:leader="none"/>
        </w:tabs>
        <w:spacing w:line="240" w:lineRule="auto" w:before="2" w:after="0"/>
        <w:ind w:left="840" w:right="153" w:hanging="361"/>
        <w:jc w:val="both"/>
        <w:rPr>
          <w:sz w:val="22"/>
        </w:rPr>
      </w:pPr>
      <w:r>
        <w:rPr>
          <w:sz w:val="22"/>
        </w:rPr>
        <w:t>Applicants must have a gross annual household income at or below the applicable low- and</w:t>
      </w:r>
      <w:r>
        <w:rPr>
          <w:spacing w:val="-5"/>
          <w:sz w:val="22"/>
        </w:rPr>
        <w:t> </w:t>
      </w:r>
      <w:r>
        <w:rPr>
          <w:sz w:val="22"/>
        </w:rPr>
        <w:t>moderate-income</w:t>
      </w:r>
      <w:r>
        <w:rPr>
          <w:spacing w:val="-5"/>
          <w:sz w:val="22"/>
        </w:rPr>
        <w:t> </w:t>
      </w:r>
      <w:r>
        <w:rPr>
          <w:sz w:val="22"/>
        </w:rPr>
        <w:t>limits.</w:t>
      </w:r>
      <w:r>
        <w:rPr>
          <w:spacing w:val="-5"/>
          <w:sz w:val="22"/>
        </w:rPr>
        <w:t> </w:t>
      </w:r>
      <w:r>
        <w:rPr>
          <w:sz w:val="22"/>
        </w:rPr>
        <w:t>Applicants</w:t>
      </w:r>
      <w:r>
        <w:rPr>
          <w:spacing w:val="-5"/>
          <w:sz w:val="22"/>
        </w:rPr>
        <w:t> </w:t>
      </w:r>
      <w:r>
        <w:rPr>
          <w:sz w:val="22"/>
        </w:rPr>
        <w:t>must</w:t>
      </w:r>
      <w:r>
        <w:rPr>
          <w:spacing w:val="-4"/>
          <w:sz w:val="22"/>
        </w:rPr>
        <w:t> </w:t>
      </w:r>
      <w:r>
        <w:rPr>
          <w:sz w:val="22"/>
        </w:rPr>
        <w:t>be</w:t>
      </w:r>
      <w:r>
        <w:rPr>
          <w:spacing w:val="-7"/>
          <w:sz w:val="22"/>
        </w:rPr>
        <w:t> </w:t>
      </w:r>
      <w:r>
        <w:rPr>
          <w:sz w:val="22"/>
        </w:rPr>
        <w:t>at</w:t>
      </w:r>
      <w:r>
        <w:rPr>
          <w:spacing w:val="-4"/>
          <w:sz w:val="22"/>
        </w:rPr>
        <w:t> </w:t>
      </w:r>
      <w:r>
        <w:rPr>
          <w:sz w:val="22"/>
        </w:rPr>
        <w:t>or</w:t>
      </w:r>
      <w:r>
        <w:rPr>
          <w:spacing w:val="-4"/>
          <w:sz w:val="22"/>
        </w:rPr>
        <w:t> </w:t>
      </w:r>
      <w:r>
        <w:rPr>
          <w:sz w:val="22"/>
        </w:rPr>
        <w:t>below</w:t>
      </w:r>
      <w:r>
        <w:rPr>
          <w:spacing w:val="-5"/>
          <w:sz w:val="22"/>
        </w:rPr>
        <w:t> </w:t>
      </w:r>
      <w:r>
        <w:rPr>
          <w:sz w:val="22"/>
        </w:rPr>
        <w:t>80%</w:t>
      </w:r>
      <w:r>
        <w:rPr>
          <w:spacing w:val="-4"/>
          <w:sz w:val="22"/>
        </w:rPr>
        <w:t> </w:t>
      </w:r>
      <w:r>
        <w:rPr>
          <w:sz w:val="22"/>
        </w:rPr>
        <w:t>AMI</w:t>
      </w:r>
      <w:r>
        <w:rPr>
          <w:spacing w:val="-3"/>
          <w:sz w:val="22"/>
        </w:rPr>
        <w:t> </w:t>
      </w:r>
      <w:r>
        <w:rPr>
          <w:sz w:val="22"/>
        </w:rPr>
        <w:t>when</w:t>
      </w:r>
      <w:r>
        <w:rPr>
          <w:spacing w:val="-5"/>
          <w:sz w:val="22"/>
        </w:rPr>
        <w:t> </w:t>
      </w:r>
      <w:r>
        <w:rPr>
          <w:sz w:val="22"/>
        </w:rPr>
        <w:t>CDBG</w:t>
      </w:r>
      <w:r>
        <w:rPr>
          <w:spacing w:val="-4"/>
          <w:sz w:val="22"/>
        </w:rPr>
        <w:t> </w:t>
      </w:r>
      <w:r>
        <w:rPr>
          <w:sz w:val="22"/>
        </w:rPr>
        <w:t>funds are used</w:t>
      </w:r>
      <w:r>
        <w:rPr>
          <w:spacing w:val="-3"/>
          <w:sz w:val="22"/>
        </w:rPr>
        <w:t> </w:t>
      </w:r>
      <w:r>
        <w:rPr>
          <w:sz w:val="22"/>
        </w:rPr>
        <w:t>or at</w:t>
      </w:r>
      <w:r>
        <w:rPr>
          <w:spacing w:val="-1"/>
          <w:sz w:val="22"/>
        </w:rPr>
        <w:t> </w:t>
      </w:r>
      <w:r>
        <w:rPr>
          <w:sz w:val="22"/>
        </w:rPr>
        <w:t>or</w:t>
      </w:r>
      <w:r>
        <w:rPr>
          <w:spacing w:val="-1"/>
          <w:sz w:val="22"/>
        </w:rPr>
        <w:t> </w:t>
      </w:r>
      <w:r>
        <w:rPr>
          <w:sz w:val="22"/>
        </w:rPr>
        <w:t>below</w:t>
      </w:r>
      <w:r>
        <w:rPr>
          <w:spacing w:val="-1"/>
          <w:sz w:val="22"/>
        </w:rPr>
        <w:t> </w:t>
      </w:r>
      <w:r>
        <w:rPr>
          <w:sz w:val="22"/>
        </w:rPr>
        <w:t>120% of</w:t>
      </w:r>
      <w:r>
        <w:rPr>
          <w:spacing w:val="-1"/>
          <w:sz w:val="22"/>
        </w:rPr>
        <w:t> </w:t>
      </w:r>
      <w:r>
        <w:rPr>
          <w:sz w:val="22"/>
        </w:rPr>
        <w:t>AMI when</w:t>
      </w:r>
      <w:r>
        <w:rPr>
          <w:spacing w:val="-3"/>
          <w:sz w:val="22"/>
        </w:rPr>
        <w:t> </w:t>
      </w:r>
      <w:r>
        <w:rPr>
          <w:sz w:val="22"/>
        </w:rPr>
        <w:t>non-federal</w:t>
      </w:r>
      <w:r>
        <w:rPr>
          <w:spacing w:val="-1"/>
          <w:sz w:val="22"/>
        </w:rPr>
        <w:t> </w:t>
      </w:r>
      <w:r>
        <w:rPr>
          <w:sz w:val="22"/>
        </w:rPr>
        <w:t>funds are</w:t>
      </w:r>
      <w:r>
        <w:rPr>
          <w:spacing w:val="-3"/>
          <w:sz w:val="22"/>
        </w:rPr>
        <w:t> </w:t>
      </w:r>
      <w:r>
        <w:rPr>
          <w:sz w:val="22"/>
        </w:rPr>
        <w:t>used</w:t>
      </w:r>
      <w:r>
        <w:rPr>
          <w:spacing w:val="-3"/>
          <w:sz w:val="22"/>
        </w:rPr>
        <w:t> </w:t>
      </w:r>
      <w:r>
        <w:rPr>
          <w:sz w:val="22"/>
        </w:rPr>
        <w:t>as</w:t>
      </w:r>
      <w:r>
        <w:rPr>
          <w:spacing w:val="-2"/>
          <w:sz w:val="22"/>
        </w:rPr>
        <w:t> </w:t>
      </w:r>
      <w:r>
        <w:rPr>
          <w:sz w:val="22"/>
        </w:rPr>
        <w:t>established by HUD for the jurisdiction of Dallas, Texas. Income shall be calculated using the Part 5 method as outlined in 24 CFR 5.609. Income eligibility shall be determined at the</w:t>
      </w:r>
      <w:r>
        <w:rPr>
          <w:spacing w:val="-2"/>
          <w:sz w:val="22"/>
        </w:rPr>
        <w:t> </w:t>
      </w:r>
      <w:r>
        <w:rPr>
          <w:sz w:val="22"/>
        </w:rPr>
        <w:t>time of the</w:t>
      </w:r>
      <w:r>
        <w:rPr>
          <w:spacing w:val="-5"/>
          <w:sz w:val="22"/>
        </w:rPr>
        <w:t> </w:t>
      </w:r>
      <w:r>
        <w:rPr>
          <w:sz w:val="22"/>
        </w:rPr>
        <w:t>application.</w:t>
      </w:r>
      <w:r>
        <w:rPr>
          <w:spacing w:val="-6"/>
          <w:sz w:val="22"/>
        </w:rPr>
        <w:t> </w:t>
      </w:r>
      <w:r>
        <w:rPr>
          <w:sz w:val="22"/>
        </w:rPr>
        <w:t>Applicant</w:t>
      </w:r>
      <w:r>
        <w:rPr>
          <w:spacing w:val="-4"/>
          <w:sz w:val="22"/>
        </w:rPr>
        <w:t> </w:t>
      </w:r>
      <w:r>
        <w:rPr>
          <w:sz w:val="22"/>
        </w:rPr>
        <w:t>household</w:t>
      </w:r>
      <w:r>
        <w:rPr>
          <w:spacing w:val="-7"/>
          <w:sz w:val="22"/>
        </w:rPr>
        <w:t> </w:t>
      </w:r>
      <w:r>
        <w:rPr>
          <w:sz w:val="22"/>
        </w:rPr>
        <w:t>income</w:t>
      </w:r>
      <w:r>
        <w:rPr>
          <w:spacing w:val="-7"/>
          <w:sz w:val="22"/>
        </w:rPr>
        <w:t> </w:t>
      </w:r>
      <w:r>
        <w:rPr>
          <w:sz w:val="22"/>
        </w:rPr>
        <w:t>eligibility</w:t>
      </w:r>
      <w:r>
        <w:rPr>
          <w:spacing w:val="-5"/>
          <w:sz w:val="22"/>
        </w:rPr>
        <w:t> </w:t>
      </w:r>
      <w:r>
        <w:rPr>
          <w:sz w:val="22"/>
        </w:rPr>
        <w:t>is</w:t>
      </w:r>
      <w:r>
        <w:rPr>
          <w:spacing w:val="-5"/>
          <w:sz w:val="22"/>
        </w:rPr>
        <w:t> </w:t>
      </w:r>
      <w:r>
        <w:rPr>
          <w:sz w:val="22"/>
        </w:rPr>
        <w:t>only</w:t>
      </w:r>
      <w:r>
        <w:rPr>
          <w:spacing w:val="-7"/>
          <w:sz w:val="22"/>
        </w:rPr>
        <w:t> </w:t>
      </w:r>
      <w:r>
        <w:rPr>
          <w:sz w:val="22"/>
        </w:rPr>
        <w:t>valid</w:t>
      </w:r>
      <w:r>
        <w:rPr>
          <w:spacing w:val="-8"/>
          <w:sz w:val="22"/>
        </w:rPr>
        <w:t> </w:t>
      </w:r>
      <w:r>
        <w:rPr>
          <w:sz w:val="22"/>
        </w:rPr>
        <w:t>for</w:t>
      </w:r>
      <w:r>
        <w:rPr>
          <w:spacing w:val="-6"/>
          <w:sz w:val="22"/>
        </w:rPr>
        <w:t> </w:t>
      </w:r>
      <w:r>
        <w:rPr>
          <w:sz w:val="22"/>
        </w:rPr>
        <w:t>six</w:t>
      </w:r>
      <w:r>
        <w:rPr>
          <w:spacing w:val="-9"/>
          <w:sz w:val="22"/>
        </w:rPr>
        <w:t> </w:t>
      </w:r>
      <w:r>
        <w:rPr>
          <w:sz w:val="22"/>
        </w:rPr>
        <w:t>months</w:t>
      </w:r>
      <w:r>
        <w:rPr>
          <w:spacing w:val="-7"/>
          <w:sz w:val="22"/>
        </w:rPr>
        <w:t> </w:t>
      </w:r>
      <w:r>
        <w:rPr>
          <w:sz w:val="22"/>
        </w:rPr>
        <w:t>from</w:t>
      </w:r>
      <w:r>
        <w:rPr>
          <w:spacing w:val="-9"/>
          <w:sz w:val="22"/>
        </w:rPr>
        <w:t> </w:t>
      </w:r>
      <w:r>
        <w:rPr>
          <w:sz w:val="22"/>
        </w:rPr>
        <w:t>the date of the last application.</w:t>
      </w:r>
    </w:p>
    <w:p>
      <w:pPr>
        <w:pStyle w:val="ListParagraph"/>
        <w:numPr>
          <w:ilvl w:val="0"/>
          <w:numId w:val="5"/>
        </w:numPr>
        <w:tabs>
          <w:tab w:pos="842" w:val="left" w:leader="none"/>
        </w:tabs>
        <w:spacing w:line="240" w:lineRule="auto" w:before="0" w:after="0"/>
        <w:ind w:left="840" w:right="154" w:hanging="360"/>
        <w:jc w:val="both"/>
        <w:rPr>
          <w:sz w:val="22"/>
        </w:rPr>
      </w:pPr>
      <w:r>
        <w:rPr>
          <w:sz w:val="22"/>
        </w:rPr>
        <w:t>City</w:t>
      </w:r>
      <w:r>
        <w:rPr>
          <w:spacing w:val="-9"/>
          <w:sz w:val="22"/>
        </w:rPr>
        <w:t> </w:t>
      </w:r>
      <w:r>
        <w:rPr>
          <w:sz w:val="22"/>
        </w:rPr>
        <w:t>Council</w:t>
      </w:r>
      <w:r>
        <w:rPr>
          <w:spacing w:val="-9"/>
          <w:sz w:val="22"/>
        </w:rPr>
        <w:t> </w:t>
      </w:r>
      <w:r>
        <w:rPr>
          <w:sz w:val="22"/>
        </w:rPr>
        <w:t>members,</w:t>
      </w:r>
      <w:r>
        <w:rPr>
          <w:spacing w:val="-8"/>
          <w:sz w:val="22"/>
        </w:rPr>
        <w:t> </w:t>
      </w:r>
      <w:r>
        <w:rPr>
          <w:sz w:val="22"/>
        </w:rPr>
        <w:t>Department</w:t>
      </w:r>
      <w:r>
        <w:rPr>
          <w:spacing w:val="-9"/>
          <w:sz w:val="22"/>
        </w:rPr>
        <w:t> </w:t>
      </w:r>
      <w:r>
        <w:rPr>
          <w:sz w:val="22"/>
        </w:rPr>
        <w:t>of</w:t>
      </w:r>
      <w:r>
        <w:rPr>
          <w:spacing w:val="-9"/>
          <w:sz w:val="22"/>
        </w:rPr>
        <w:t> </w:t>
      </w:r>
      <w:r>
        <w:rPr>
          <w:sz w:val="22"/>
        </w:rPr>
        <w:t>Housing</w:t>
      </w:r>
      <w:r>
        <w:rPr>
          <w:spacing w:val="-9"/>
          <w:sz w:val="22"/>
        </w:rPr>
        <w:t> </w:t>
      </w:r>
      <w:r>
        <w:rPr>
          <w:sz w:val="22"/>
        </w:rPr>
        <w:t>&amp;</w:t>
      </w:r>
      <w:r>
        <w:rPr>
          <w:spacing w:val="-10"/>
          <w:sz w:val="22"/>
        </w:rPr>
        <w:t> </w:t>
      </w:r>
      <w:r>
        <w:rPr>
          <w:sz w:val="22"/>
        </w:rPr>
        <w:t>Neighborhood</w:t>
      </w:r>
      <w:r>
        <w:rPr>
          <w:spacing w:val="-9"/>
          <w:sz w:val="22"/>
        </w:rPr>
        <w:t> </w:t>
      </w:r>
      <w:r>
        <w:rPr>
          <w:sz w:val="22"/>
        </w:rPr>
        <w:t>Revitalization</w:t>
      </w:r>
      <w:r>
        <w:rPr>
          <w:spacing w:val="-9"/>
          <w:sz w:val="22"/>
        </w:rPr>
        <w:t> </w:t>
      </w:r>
      <w:r>
        <w:rPr>
          <w:sz w:val="22"/>
        </w:rPr>
        <w:t>employees and any employee, official or agent of the City who exercises any policy or program decision-making function in connection with the Minor Home Rehabilitation Program are ineligible for assistance under the Program.</w:t>
      </w:r>
    </w:p>
    <w:p>
      <w:pPr>
        <w:pStyle w:val="ListParagraph"/>
        <w:numPr>
          <w:ilvl w:val="0"/>
          <w:numId w:val="5"/>
        </w:numPr>
        <w:tabs>
          <w:tab w:pos="842" w:val="left" w:leader="none"/>
        </w:tabs>
        <w:spacing w:line="268" w:lineRule="exact" w:before="0" w:after="0"/>
        <w:ind w:left="841" w:right="0" w:hanging="361"/>
        <w:jc w:val="both"/>
        <w:rPr>
          <w:sz w:val="22"/>
        </w:rPr>
      </w:pPr>
      <w:r>
        <w:rPr>
          <w:sz w:val="22"/>
        </w:rPr>
        <w:t>Applicant</w:t>
      </w:r>
      <w:r>
        <w:rPr>
          <w:spacing w:val="-4"/>
          <w:sz w:val="22"/>
        </w:rPr>
        <w:t> </w:t>
      </w:r>
      <w:r>
        <w:rPr>
          <w:sz w:val="22"/>
        </w:rPr>
        <w:t>can</w:t>
      </w:r>
      <w:r>
        <w:rPr>
          <w:spacing w:val="-4"/>
          <w:sz w:val="22"/>
        </w:rPr>
        <w:t> </w:t>
      </w:r>
      <w:r>
        <w:rPr>
          <w:sz w:val="22"/>
        </w:rPr>
        <w:t>only</w:t>
      </w:r>
      <w:r>
        <w:rPr>
          <w:spacing w:val="-5"/>
          <w:sz w:val="22"/>
        </w:rPr>
        <w:t> </w:t>
      </w:r>
      <w:r>
        <w:rPr>
          <w:sz w:val="22"/>
        </w:rPr>
        <w:t>be</w:t>
      </w:r>
      <w:r>
        <w:rPr>
          <w:spacing w:val="-4"/>
          <w:sz w:val="22"/>
        </w:rPr>
        <w:t> </w:t>
      </w:r>
      <w:r>
        <w:rPr>
          <w:sz w:val="22"/>
        </w:rPr>
        <w:t>served</w:t>
      </w:r>
      <w:r>
        <w:rPr>
          <w:spacing w:val="-3"/>
          <w:sz w:val="22"/>
        </w:rPr>
        <w:t> </w:t>
      </w:r>
      <w:r>
        <w:rPr>
          <w:sz w:val="22"/>
        </w:rPr>
        <w:t>once</w:t>
      </w:r>
      <w:r>
        <w:rPr>
          <w:spacing w:val="-6"/>
          <w:sz w:val="22"/>
        </w:rPr>
        <w:t> </w:t>
      </w:r>
      <w:r>
        <w:rPr>
          <w:sz w:val="22"/>
        </w:rPr>
        <w:t>with</w:t>
      </w:r>
      <w:r>
        <w:rPr>
          <w:spacing w:val="-5"/>
          <w:sz w:val="22"/>
        </w:rPr>
        <w:t> </w:t>
      </w:r>
      <w:r>
        <w:rPr>
          <w:sz w:val="22"/>
        </w:rPr>
        <w:t>this</w:t>
      </w:r>
      <w:r>
        <w:rPr>
          <w:spacing w:val="-3"/>
          <w:sz w:val="22"/>
        </w:rPr>
        <w:t> </w:t>
      </w:r>
      <w:r>
        <w:rPr>
          <w:sz w:val="22"/>
        </w:rPr>
        <w:t>program</w:t>
      </w:r>
      <w:r>
        <w:rPr>
          <w:spacing w:val="-1"/>
          <w:sz w:val="22"/>
        </w:rPr>
        <w:t> </w:t>
      </w:r>
      <w:r>
        <w:rPr>
          <w:sz w:val="22"/>
        </w:rPr>
        <w:t>every</w:t>
      </w:r>
      <w:r>
        <w:rPr>
          <w:spacing w:val="-6"/>
          <w:sz w:val="22"/>
        </w:rPr>
        <w:t> </w:t>
      </w:r>
      <w:r>
        <w:rPr>
          <w:sz w:val="22"/>
        </w:rPr>
        <w:t>five</w:t>
      </w:r>
      <w:r>
        <w:rPr>
          <w:spacing w:val="-5"/>
          <w:sz w:val="22"/>
        </w:rPr>
        <w:t> </w:t>
      </w:r>
      <w:r>
        <w:rPr>
          <w:sz w:val="22"/>
        </w:rPr>
        <w:t>(5)</w:t>
      </w:r>
      <w:r>
        <w:rPr>
          <w:spacing w:val="-4"/>
          <w:sz w:val="22"/>
        </w:rPr>
        <w:t> </w:t>
      </w:r>
      <w:r>
        <w:rPr>
          <w:spacing w:val="-2"/>
          <w:sz w:val="22"/>
        </w:rPr>
        <w:t>years.</w:t>
      </w:r>
    </w:p>
    <w:p>
      <w:pPr>
        <w:pStyle w:val="BodyText"/>
        <w:spacing w:before="8"/>
        <w:rPr>
          <w:sz w:val="21"/>
        </w:rPr>
      </w:pPr>
    </w:p>
    <w:p>
      <w:pPr>
        <w:pStyle w:val="Heading5"/>
        <w:ind w:left="121"/>
        <w:jc w:val="left"/>
      </w:pPr>
      <w:r>
        <w:rPr/>
        <w:t>Property</w:t>
      </w:r>
      <w:r>
        <w:rPr>
          <w:spacing w:val="-6"/>
        </w:rPr>
        <w:t> </w:t>
      </w:r>
      <w:r>
        <w:rPr/>
        <w:t>Eligibility</w:t>
      </w:r>
      <w:r>
        <w:rPr>
          <w:spacing w:val="-6"/>
        </w:rPr>
        <w:t> </w:t>
      </w:r>
      <w:r>
        <w:rPr>
          <w:spacing w:val="-2"/>
        </w:rPr>
        <w:t>Requirements</w:t>
      </w:r>
    </w:p>
    <w:p>
      <w:pPr>
        <w:pStyle w:val="ListParagraph"/>
        <w:numPr>
          <w:ilvl w:val="0"/>
          <w:numId w:val="5"/>
        </w:numPr>
        <w:tabs>
          <w:tab w:pos="841" w:val="left" w:leader="none"/>
          <w:tab w:pos="842" w:val="left" w:leader="none"/>
        </w:tabs>
        <w:spacing w:line="237" w:lineRule="auto" w:before="54" w:after="0"/>
        <w:ind w:left="841" w:right="155" w:hanging="361"/>
        <w:jc w:val="left"/>
        <w:rPr>
          <w:sz w:val="22"/>
        </w:rPr>
      </w:pPr>
      <w:r>
        <w:rPr>
          <w:sz w:val="22"/>
        </w:rPr>
        <w:t>The</w:t>
      </w:r>
      <w:r>
        <w:rPr>
          <w:spacing w:val="-7"/>
          <w:sz w:val="22"/>
        </w:rPr>
        <w:t> </w:t>
      </w:r>
      <w:r>
        <w:rPr>
          <w:sz w:val="22"/>
        </w:rPr>
        <w:t>property</w:t>
      </w:r>
      <w:r>
        <w:rPr>
          <w:spacing w:val="-9"/>
          <w:sz w:val="22"/>
        </w:rPr>
        <w:t> </w:t>
      </w:r>
      <w:r>
        <w:rPr>
          <w:sz w:val="22"/>
        </w:rPr>
        <w:t>must</w:t>
      </w:r>
      <w:r>
        <w:rPr>
          <w:spacing w:val="-8"/>
          <w:sz w:val="22"/>
        </w:rPr>
        <w:t> </w:t>
      </w:r>
      <w:r>
        <w:rPr>
          <w:sz w:val="22"/>
        </w:rPr>
        <w:t>be</w:t>
      </w:r>
      <w:r>
        <w:rPr>
          <w:spacing w:val="-7"/>
          <w:sz w:val="22"/>
        </w:rPr>
        <w:t> </w:t>
      </w:r>
      <w:r>
        <w:rPr>
          <w:sz w:val="22"/>
        </w:rPr>
        <w:t>a</w:t>
      </w:r>
      <w:r>
        <w:rPr>
          <w:spacing w:val="-7"/>
          <w:sz w:val="22"/>
        </w:rPr>
        <w:t> </w:t>
      </w:r>
      <w:r>
        <w:rPr>
          <w:sz w:val="22"/>
        </w:rPr>
        <w:t>detached,</w:t>
      </w:r>
      <w:r>
        <w:rPr>
          <w:spacing w:val="-8"/>
          <w:sz w:val="22"/>
        </w:rPr>
        <w:t> </w:t>
      </w:r>
      <w:r>
        <w:rPr>
          <w:sz w:val="22"/>
        </w:rPr>
        <w:t>single-family</w:t>
      </w:r>
      <w:r>
        <w:rPr>
          <w:spacing w:val="-7"/>
          <w:sz w:val="22"/>
        </w:rPr>
        <w:t> </w:t>
      </w:r>
      <w:r>
        <w:rPr>
          <w:sz w:val="22"/>
        </w:rPr>
        <w:t>dwelling,</w:t>
      </w:r>
      <w:r>
        <w:rPr>
          <w:spacing w:val="-6"/>
          <w:sz w:val="22"/>
        </w:rPr>
        <w:t> </w:t>
      </w:r>
      <w:r>
        <w:rPr>
          <w:sz w:val="22"/>
        </w:rPr>
        <w:t>owner-occupied,</w:t>
      </w:r>
      <w:r>
        <w:rPr>
          <w:spacing w:val="-8"/>
          <w:sz w:val="22"/>
        </w:rPr>
        <w:t> </w:t>
      </w:r>
      <w:r>
        <w:rPr>
          <w:sz w:val="22"/>
        </w:rPr>
        <w:t>and</w:t>
      </w:r>
      <w:r>
        <w:rPr>
          <w:spacing w:val="-7"/>
          <w:sz w:val="22"/>
        </w:rPr>
        <w:t> </w:t>
      </w:r>
      <w:r>
        <w:rPr>
          <w:sz w:val="22"/>
        </w:rPr>
        <w:t>be</w:t>
      </w:r>
      <w:r>
        <w:rPr>
          <w:spacing w:val="-7"/>
          <w:sz w:val="22"/>
        </w:rPr>
        <w:t> </w:t>
      </w:r>
      <w:r>
        <w:rPr>
          <w:sz w:val="22"/>
        </w:rPr>
        <w:t>located within the city limits of Dallas, Texas.</w:t>
      </w:r>
    </w:p>
    <w:p>
      <w:pPr>
        <w:pStyle w:val="ListParagraph"/>
        <w:numPr>
          <w:ilvl w:val="0"/>
          <w:numId w:val="5"/>
        </w:numPr>
        <w:tabs>
          <w:tab w:pos="841" w:val="left" w:leader="none"/>
          <w:tab w:pos="842" w:val="left" w:leader="none"/>
        </w:tabs>
        <w:spacing w:line="237" w:lineRule="auto" w:before="3" w:after="0"/>
        <w:ind w:left="841" w:right="153" w:hanging="361"/>
        <w:jc w:val="left"/>
        <w:rPr>
          <w:sz w:val="22"/>
        </w:rPr>
      </w:pPr>
      <w:r>
        <w:rPr>
          <w:sz w:val="22"/>
        </w:rPr>
        <w:t>The</w:t>
      </w:r>
      <w:r>
        <w:rPr>
          <w:spacing w:val="40"/>
          <w:sz w:val="22"/>
        </w:rPr>
        <w:t> </w:t>
      </w:r>
      <w:r>
        <w:rPr>
          <w:sz w:val="22"/>
        </w:rPr>
        <w:t>property</w:t>
      </w:r>
      <w:r>
        <w:rPr>
          <w:spacing w:val="40"/>
          <w:sz w:val="22"/>
        </w:rPr>
        <w:t> </w:t>
      </w:r>
      <w:r>
        <w:rPr>
          <w:sz w:val="22"/>
        </w:rPr>
        <w:t>must</w:t>
      </w:r>
      <w:r>
        <w:rPr>
          <w:spacing w:val="40"/>
          <w:sz w:val="22"/>
        </w:rPr>
        <w:t> </w:t>
      </w:r>
      <w:r>
        <w:rPr>
          <w:sz w:val="22"/>
        </w:rPr>
        <w:t>obtain</w:t>
      </w:r>
      <w:r>
        <w:rPr>
          <w:spacing w:val="40"/>
          <w:sz w:val="22"/>
        </w:rPr>
        <w:t> </w:t>
      </w:r>
      <w:r>
        <w:rPr>
          <w:sz w:val="22"/>
        </w:rPr>
        <w:t>environmental</w:t>
      </w:r>
      <w:r>
        <w:rPr>
          <w:spacing w:val="40"/>
          <w:sz w:val="22"/>
        </w:rPr>
        <w:t> </w:t>
      </w:r>
      <w:r>
        <w:rPr>
          <w:sz w:val="22"/>
        </w:rPr>
        <w:t>clearance</w:t>
      </w:r>
      <w:r>
        <w:rPr>
          <w:spacing w:val="40"/>
          <w:sz w:val="22"/>
        </w:rPr>
        <w:t> </w:t>
      </w:r>
      <w:r>
        <w:rPr>
          <w:sz w:val="22"/>
        </w:rPr>
        <w:t>under</w:t>
      </w:r>
      <w:r>
        <w:rPr>
          <w:spacing w:val="40"/>
          <w:sz w:val="22"/>
        </w:rPr>
        <w:t> </w:t>
      </w:r>
      <w:r>
        <w:rPr>
          <w:sz w:val="22"/>
        </w:rPr>
        <w:t>24</w:t>
      </w:r>
      <w:r>
        <w:rPr>
          <w:spacing w:val="40"/>
          <w:sz w:val="22"/>
        </w:rPr>
        <w:t> </w:t>
      </w:r>
      <w:r>
        <w:rPr>
          <w:sz w:val="22"/>
        </w:rPr>
        <w:t>CFR</w:t>
      </w:r>
      <w:r>
        <w:rPr>
          <w:spacing w:val="40"/>
          <w:sz w:val="22"/>
        </w:rPr>
        <w:t> </w:t>
      </w:r>
      <w:r>
        <w:rPr>
          <w:sz w:val="22"/>
        </w:rPr>
        <w:t>Part</w:t>
      </w:r>
      <w:r>
        <w:rPr>
          <w:spacing w:val="40"/>
          <w:sz w:val="22"/>
        </w:rPr>
        <w:t> </w:t>
      </w:r>
      <w:r>
        <w:rPr>
          <w:sz w:val="22"/>
        </w:rPr>
        <w:t>58.5</w:t>
      </w:r>
      <w:r>
        <w:rPr>
          <w:spacing w:val="40"/>
          <w:sz w:val="22"/>
        </w:rPr>
        <w:t> </w:t>
      </w:r>
      <w:r>
        <w:rPr>
          <w:sz w:val="22"/>
        </w:rPr>
        <w:t>prior</w:t>
      </w:r>
      <w:r>
        <w:rPr>
          <w:spacing w:val="40"/>
          <w:sz w:val="22"/>
        </w:rPr>
        <w:t> </w:t>
      </w:r>
      <w:r>
        <w:rPr>
          <w:sz w:val="22"/>
        </w:rPr>
        <w:t>to committing repair funds.</w:t>
      </w:r>
    </w:p>
    <w:p>
      <w:pPr>
        <w:pStyle w:val="ListParagraph"/>
        <w:numPr>
          <w:ilvl w:val="0"/>
          <w:numId w:val="5"/>
        </w:numPr>
        <w:tabs>
          <w:tab w:pos="841" w:val="left" w:leader="none"/>
          <w:tab w:pos="842" w:val="left" w:leader="none"/>
        </w:tabs>
        <w:spacing w:line="237" w:lineRule="auto" w:before="4" w:after="0"/>
        <w:ind w:left="841" w:right="153" w:hanging="361"/>
        <w:jc w:val="left"/>
        <w:rPr>
          <w:sz w:val="22"/>
        </w:rPr>
      </w:pPr>
      <w:r>
        <w:rPr>
          <w:sz w:val="22"/>
        </w:rPr>
        <w:t>The</w:t>
      </w:r>
      <w:r>
        <w:rPr>
          <w:spacing w:val="66"/>
          <w:sz w:val="22"/>
        </w:rPr>
        <w:t> </w:t>
      </w:r>
      <w:r>
        <w:rPr>
          <w:sz w:val="22"/>
        </w:rPr>
        <w:t>property</w:t>
      </w:r>
      <w:r>
        <w:rPr>
          <w:spacing w:val="40"/>
          <w:sz w:val="22"/>
        </w:rPr>
        <w:t> </w:t>
      </w:r>
      <w:r>
        <w:rPr>
          <w:sz w:val="22"/>
        </w:rPr>
        <w:t>must</w:t>
      </w:r>
      <w:r>
        <w:rPr>
          <w:spacing w:val="67"/>
          <w:sz w:val="22"/>
        </w:rPr>
        <w:t> </w:t>
      </w:r>
      <w:r>
        <w:rPr>
          <w:sz w:val="22"/>
        </w:rPr>
        <w:t>be</w:t>
      </w:r>
      <w:r>
        <w:rPr>
          <w:spacing w:val="40"/>
          <w:sz w:val="22"/>
        </w:rPr>
        <w:t> </w:t>
      </w:r>
      <w:r>
        <w:rPr>
          <w:sz w:val="22"/>
        </w:rPr>
        <w:t>in</w:t>
      </w:r>
      <w:r>
        <w:rPr>
          <w:spacing w:val="65"/>
          <w:sz w:val="22"/>
        </w:rPr>
        <w:t> </w:t>
      </w:r>
      <w:r>
        <w:rPr>
          <w:sz w:val="22"/>
        </w:rPr>
        <w:t>need</w:t>
      </w:r>
      <w:r>
        <w:rPr>
          <w:spacing w:val="65"/>
          <w:sz w:val="22"/>
        </w:rPr>
        <w:t> </w:t>
      </w:r>
      <w:r>
        <w:rPr>
          <w:sz w:val="22"/>
        </w:rPr>
        <w:t>of</w:t>
      </w:r>
      <w:r>
        <w:rPr>
          <w:spacing w:val="67"/>
          <w:sz w:val="22"/>
        </w:rPr>
        <w:t> </w:t>
      </w:r>
      <w:r>
        <w:rPr>
          <w:sz w:val="22"/>
        </w:rPr>
        <w:t>repairs</w:t>
      </w:r>
      <w:r>
        <w:rPr>
          <w:spacing w:val="40"/>
          <w:sz w:val="22"/>
        </w:rPr>
        <w:t> </w:t>
      </w:r>
      <w:r>
        <w:rPr>
          <w:sz w:val="22"/>
        </w:rPr>
        <w:t>designated</w:t>
      </w:r>
      <w:r>
        <w:rPr>
          <w:spacing w:val="65"/>
          <w:sz w:val="22"/>
        </w:rPr>
        <w:t> </w:t>
      </w:r>
      <w:r>
        <w:rPr>
          <w:sz w:val="22"/>
        </w:rPr>
        <w:t>as</w:t>
      </w:r>
      <w:r>
        <w:rPr>
          <w:spacing w:val="66"/>
          <w:sz w:val="22"/>
        </w:rPr>
        <w:t> </w:t>
      </w:r>
      <w:r>
        <w:rPr>
          <w:sz w:val="22"/>
        </w:rPr>
        <w:t>eligible</w:t>
      </w:r>
      <w:r>
        <w:rPr>
          <w:spacing w:val="65"/>
          <w:sz w:val="22"/>
        </w:rPr>
        <w:t> </w:t>
      </w:r>
      <w:r>
        <w:rPr>
          <w:sz w:val="22"/>
        </w:rPr>
        <w:t>repairs</w:t>
      </w:r>
      <w:r>
        <w:rPr>
          <w:spacing w:val="69"/>
          <w:sz w:val="22"/>
        </w:rPr>
        <w:t> </w:t>
      </w:r>
      <w:r>
        <w:rPr>
          <w:sz w:val="22"/>
        </w:rPr>
        <w:t>under</w:t>
      </w:r>
      <w:r>
        <w:rPr>
          <w:spacing w:val="65"/>
          <w:sz w:val="22"/>
        </w:rPr>
        <w:t> </w:t>
      </w:r>
      <w:r>
        <w:rPr>
          <w:sz w:val="22"/>
        </w:rPr>
        <w:t>the Subrecipient Repair Program.</w:t>
      </w:r>
    </w:p>
    <w:p>
      <w:pPr>
        <w:pStyle w:val="BodyText"/>
        <w:spacing w:before="9"/>
        <w:rPr>
          <w:sz w:val="21"/>
        </w:rPr>
      </w:pPr>
    </w:p>
    <w:p>
      <w:pPr>
        <w:pStyle w:val="Heading5"/>
        <w:ind w:left="121"/>
        <w:jc w:val="left"/>
      </w:pPr>
      <w:r>
        <w:rPr/>
        <w:t>Eligible</w:t>
      </w:r>
      <w:r>
        <w:rPr>
          <w:spacing w:val="-5"/>
        </w:rPr>
        <w:t> </w:t>
      </w:r>
      <w:r>
        <w:rPr/>
        <w:t>Repair</w:t>
      </w:r>
      <w:r>
        <w:rPr>
          <w:spacing w:val="-3"/>
        </w:rPr>
        <w:t> </w:t>
      </w:r>
      <w:r>
        <w:rPr>
          <w:spacing w:val="-2"/>
        </w:rPr>
        <w:t>Improvements</w:t>
      </w:r>
    </w:p>
    <w:p>
      <w:pPr>
        <w:pStyle w:val="BodyText"/>
        <w:spacing w:before="52"/>
        <w:ind w:left="121"/>
      </w:pPr>
      <w:r>
        <w:rPr/>
        <w:t>Eligible</w:t>
      </w:r>
      <w:r>
        <w:rPr>
          <w:spacing w:val="-9"/>
        </w:rPr>
        <w:t> </w:t>
      </w:r>
      <w:r>
        <w:rPr/>
        <w:t>improvements</w:t>
      </w:r>
      <w:r>
        <w:rPr>
          <w:spacing w:val="-8"/>
        </w:rPr>
        <w:t> </w:t>
      </w:r>
      <w:r>
        <w:rPr/>
        <w:t>under</w:t>
      </w:r>
      <w:r>
        <w:rPr>
          <w:spacing w:val="-7"/>
        </w:rPr>
        <w:t> </w:t>
      </w:r>
      <w:r>
        <w:rPr/>
        <w:t>the</w:t>
      </w:r>
      <w:r>
        <w:rPr>
          <w:spacing w:val="-9"/>
        </w:rPr>
        <w:t> </w:t>
      </w:r>
      <w:r>
        <w:rPr/>
        <w:t>Minor</w:t>
      </w:r>
      <w:r>
        <w:rPr>
          <w:spacing w:val="-4"/>
        </w:rPr>
        <w:t> </w:t>
      </w:r>
      <w:r>
        <w:rPr/>
        <w:t>Home</w:t>
      </w:r>
      <w:r>
        <w:rPr>
          <w:spacing w:val="-7"/>
        </w:rPr>
        <w:t> </w:t>
      </w:r>
      <w:r>
        <w:rPr/>
        <w:t>Rehabilitation</w:t>
      </w:r>
      <w:r>
        <w:rPr>
          <w:spacing w:val="-7"/>
        </w:rPr>
        <w:t> </w:t>
      </w:r>
      <w:r>
        <w:rPr/>
        <w:t>Program</w:t>
      </w:r>
      <w:r>
        <w:rPr>
          <w:spacing w:val="-3"/>
        </w:rPr>
        <w:t> </w:t>
      </w:r>
      <w:r>
        <w:rPr/>
        <w:t>include</w:t>
      </w:r>
      <w:r>
        <w:rPr>
          <w:spacing w:val="-7"/>
        </w:rPr>
        <w:t> </w:t>
      </w:r>
      <w:r>
        <w:rPr/>
        <w:t>the</w:t>
      </w:r>
      <w:r>
        <w:rPr>
          <w:spacing w:val="-8"/>
        </w:rPr>
        <w:t> </w:t>
      </w:r>
      <w:r>
        <w:rPr>
          <w:spacing w:val="-2"/>
        </w:rPr>
        <w:t>following:</w:t>
      </w:r>
    </w:p>
    <w:p>
      <w:pPr>
        <w:pStyle w:val="ListParagraph"/>
        <w:numPr>
          <w:ilvl w:val="0"/>
          <w:numId w:val="5"/>
        </w:numPr>
        <w:tabs>
          <w:tab w:pos="841" w:val="left" w:leader="none"/>
          <w:tab w:pos="843" w:val="left" w:leader="none"/>
        </w:tabs>
        <w:spacing w:line="269" w:lineRule="exact" w:before="1" w:after="0"/>
        <w:ind w:left="842" w:right="0" w:hanging="362"/>
        <w:jc w:val="left"/>
        <w:rPr>
          <w:sz w:val="22"/>
        </w:rPr>
      </w:pPr>
      <w:r>
        <w:rPr>
          <w:sz w:val="22"/>
        </w:rPr>
        <w:t>Roofing</w:t>
      </w:r>
      <w:r>
        <w:rPr>
          <w:spacing w:val="-5"/>
          <w:sz w:val="22"/>
        </w:rPr>
        <w:t> </w:t>
      </w:r>
      <w:r>
        <w:rPr>
          <w:sz w:val="22"/>
        </w:rPr>
        <w:t>repair</w:t>
      </w:r>
      <w:r>
        <w:rPr>
          <w:spacing w:val="-5"/>
          <w:sz w:val="22"/>
        </w:rPr>
        <w:t> </w:t>
      </w:r>
      <w:r>
        <w:rPr>
          <w:sz w:val="22"/>
        </w:rPr>
        <w:t>or</w:t>
      </w:r>
      <w:r>
        <w:rPr>
          <w:spacing w:val="-5"/>
          <w:sz w:val="22"/>
        </w:rPr>
        <w:t> </w:t>
      </w:r>
      <w:r>
        <w:rPr>
          <w:spacing w:val="-2"/>
          <w:sz w:val="22"/>
        </w:rPr>
        <w:t>replacement</w:t>
      </w:r>
    </w:p>
    <w:p>
      <w:pPr>
        <w:pStyle w:val="ListParagraph"/>
        <w:numPr>
          <w:ilvl w:val="0"/>
          <w:numId w:val="5"/>
        </w:numPr>
        <w:tabs>
          <w:tab w:pos="841" w:val="left" w:leader="none"/>
          <w:tab w:pos="843" w:val="left" w:leader="none"/>
        </w:tabs>
        <w:spacing w:line="268" w:lineRule="exact" w:before="0" w:after="0"/>
        <w:ind w:left="842" w:right="0" w:hanging="362"/>
        <w:jc w:val="left"/>
        <w:rPr>
          <w:sz w:val="22"/>
        </w:rPr>
      </w:pPr>
      <w:r>
        <w:rPr>
          <w:sz w:val="22"/>
        </w:rPr>
        <w:t>Ceiling</w:t>
      </w:r>
      <w:r>
        <w:rPr>
          <w:spacing w:val="-7"/>
          <w:sz w:val="22"/>
        </w:rPr>
        <w:t> </w:t>
      </w:r>
      <w:r>
        <w:rPr>
          <w:sz w:val="22"/>
        </w:rPr>
        <w:t>and</w:t>
      </w:r>
      <w:r>
        <w:rPr>
          <w:spacing w:val="-6"/>
          <w:sz w:val="22"/>
        </w:rPr>
        <w:t> </w:t>
      </w:r>
      <w:r>
        <w:rPr>
          <w:sz w:val="22"/>
        </w:rPr>
        <w:t>baseboard</w:t>
      </w:r>
      <w:r>
        <w:rPr>
          <w:spacing w:val="-7"/>
          <w:sz w:val="22"/>
        </w:rPr>
        <w:t> </w:t>
      </w:r>
      <w:r>
        <w:rPr>
          <w:sz w:val="22"/>
        </w:rPr>
        <w:t>holes</w:t>
      </w:r>
      <w:r>
        <w:rPr>
          <w:spacing w:val="-5"/>
          <w:sz w:val="22"/>
        </w:rPr>
        <w:t> </w:t>
      </w:r>
      <w:r>
        <w:rPr>
          <w:spacing w:val="-2"/>
          <w:sz w:val="22"/>
        </w:rPr>
        <w:t>repair</w:t>
      </w:r>
    </w:p>
    <w:p>
      <w:pPr>
        <w:pStyle w:val="ListParagraph"/>
        <w:numPr>
          <w:ilvl w:val="0"/>
          <w:numId w:val="5"/>
        </w:numPr>
        <w:tabs>
          <w:tab w:pos="842" w:val="left" w:leader="none"/>
          <w:tab w:pos="843" w:val="left" w:leader="none"/>
        </w:tabs>
        <w:spacing w:line="268" w:lineRule="exact" w:before="0" w:after="0"/>
        <w:ind w:left="842" w:right="0" w:hanging="361"/>
        <w:jc w:val="left"/>
        <w:rPr>
          <w:sz w:val="22"/>
        </w:rPr>
      </w:pPr>
      <w:r>
        <w:rPr>
          <w:sz w:val="22"/>
        </w:rPr>
        <w:t>Exterior</w:t>
      </w:r>
      <w:r>
        <w:rPr>
          <w:spacing w:val="-9"/>
          <w:sz w:val="22"/>
        </w:rPr>
        <w:t> </w:t>
      </w:r>
      <w:r>
        <w:rPr>
          <w:sz w:val="22"/>
        </w:rPr>
        <w:t>entry</w:t>
      </w:r>
      <w:r>
        <w:rPr>
          <w:spacing w:val="-5"/>
          <w:sz w:val="22"/>
        </w:rPr>
        <w:t> </w:t>
      </w:r>
      <w:r>
        <w:rPr>
          <w:sz w:val="22"/>
        </w:rPr>
        <w:t>doors</w:t>
      </w:r>
      <w:r>
        <w:rPr>
          <w:spacing w:val="-7"/>
          <w:sz w:val="22"/>
        </w:rPr>
        <w:t> </w:t>
      </w:r>
      <w:r>
        <w:rPr>
          <w:sz w:val="22"/>
        </w:rPr>
        <w:t>replacement</w:t>
      </w:r>
      <w:r>
        <w:rPr>
          <w:spacing w:val="-7"/>
          <w:sz w:val="22"/>
        </w:rPr>
        <w:t> </w:t>
      </w:r>
      <w:r>
        <w:rPr>
          <w:sz w:val="22"/>
        </w:rPr>
        <w:t>or</w:t>
      </w:r>
      <w:r>
        <w:rPr>
          <w:spacing w:val="-6"/>
          <w:sz w:val="22"/>
        </w:rPr>
        <w:t> </w:t>
      </w:r>
      <w:r>
        <w:rPr>
          <w:sz w:val="22"/>
        </w:rPr>
        <w:t>repair,</w:t>
      </w:r>
      <w:r>
        <w:rPr>
          <w:spacing w:val="-6"/>
          <w:sz w:val="22"/>
        </w:rPr>
        <w:t> </w:t>
      </w:r>
      <w:r>
        <w:rPr>
          <w:sz w:val="22"/>
        </w:rPr>
        <w:t>including</w:t>
      </w:r>
      <w:r>
        <w:rPr>
          <w:spacing w:val="-5"/>
          <w:sz w:val="22"/>
        </w:rPr>
        <w:t> </w:t>
      </w:r>
      <w:r>
        <w:rPr>
          <w:sz w:val="22"/>
        </w:rPr>
        <w:t>handles</w:t>
      </w:r>
      <w:r>
        <w:rPr>
          <w:spacing w:val="-5"/>
          <w:sz w:val="22"/>
        </w:rPr>
        <w:t> </w:t>
      </w:r>
      <w:r>
        <w:rPr>
          <w:sz w:val="22"/>
        </w:rPr>
        <w:t>and</w:t>
      </w:r>
      <w:r>
        <w:rPr>
          <w:spacing w:val="-5"/>
          <w:sz w:val="22"/>
        </w:rPr>
        <w:t> </w:t>
      </w:r>
      <w:r>
        <w:rPr>
          <w:spacing w:val="-2"/>
          <w:sz w:val="22"/>
        </w:rPr>
        <w:t>locks</w:t>
      </w:r>
    </w:p>
    <w:p>
      <w:pPr>
        <w:pStyle w:val="ListParagraph"/>
        <w:numPr>
          <w:ilvl w:val="0"/>
          <w:numId w:val="5"/>
        </w:numPr>
        <w:tabs>
          <w:tab w:pos="842" w:val="left" w:leader="none"/>
          <w:tab w:pos="843" w:val="left" w:leader="none"/>
        </w:tabs>
        <w:spacing w:line="269" w:lineRule="exact" w:before="0" w:after="0"/>
        <w:ind w:left="842" w:right="0" w:hanging="361"/>
        <w:jc w:val="left"/>
        <w:rPr>
          <w:sz w:val="22"/>
        </w:rPr>
      </w:pPr>
      <w:r>
        <w:rPr>
          <w:sz w:val="22"/>
        </w:rPr>
        <w:t>Exterior</w:t>
      </w:r>
      <w:r>
        <w:rPr>
          <w:spacing w:val="-8"/>
          <w:sz w:val="22"/>
        </w:rPr>
        <w:t> </w:t>
      </w:r>
      <w:r>
        <w:rPr>
          <w:sz w:val="22"/>
        </w:rPr>
        <w:t>windows</w:t>
      </w:r>
      <w:r>
        <w:rPr>
          <w:spacing w:val="-5"/>
          <w:sz w:val="22"/>
        </w:rPr>
        <w:t> </w:t>
      </w:r>
      <w:r>
        <w:rPr>
          <w:sz w:val="22"/>
        </w:rPr>
        <w:t>(for</w:t>
      </w:r>
      <w:r>
        <w:rPr>
          <w:spacing w:val="-7"/>
          <w:sz w:val="22"/>
        </w:rPr>
        <w:t> </w:t>
      </w:r>
      <w:r>
        <w:rPr>
          <w:sz w:val="22"/>
        </w:rPr>
        <w:t>broken</w:t>
      </w:r>
      <w:r>
        <w:rPr>
          <w:spacing w:val="-6"/>
          <w:sz w:val="22"/>
        </w:rPr>
        <w:t> </w:t>
      </w:r>
      <w:r>
        <w:rPr>
          <w:sz w:val="22"/>
        </w:rPr>
        <w:t>windows)</w:t>
      </w:r>
      <w:r>
        <w:rPr>
          <w:spacing w:val="-7"/>
          <w:sz w:val="22"/>
        </w:rPr>
        <w:t> </w:t>
      </w:r>
      <w:r>
        <w:rPr>
          <w:sz w:val="22"/>
        </w:rPr>
        <w:t>replacement</w:t>
      </w:r>
      <w:r>
        <w:rPr>
          <w:spacing w:val="-4"/>
          <w:sz w:val="22"/>
        </w:rPr>
        <w:t> </w:t>
      </w:r>
      <w:r>
        <w:rPr>
          <w:sz w:val="22"/>
        </w:rPr>
        <w:t>or</w:t>
      </w:r>
      <w:r>
        <w:rPr>
          <w:spacing w:val="-7"/>
          <w:sz w:val="22"/>
        </w:rPr>
        <w:t> </w:t>
      </w:r>
      <w:r>
        <w:rPr>
          <w:spacing w:val="-2"/>
          <w:sz w:val="22"/>
        </w:rPr>
        <w:t>repair</w:t>
      </w:r>
    </w:p>
    <w:p>
      <w:pPr>
        <w:spacing w:after="0" w:line="269" w:lineRule="exact"/>
        <w:jc w:val="left"/>
        <w:rPr>
          <w:sz w:val="22"/>
        </w:rPr>
        <w:sectPr>
          <w:pgSz w:w="12240" w:h="15840"/>
          <w:pgMar w:header="0" w:footer="1738" w:top="1360" w:bottom="1920" w:left="1320" w:right="1280"/>
        </w:sectPr>
      </w:pPr>
    </w:p>
    <w:p>
      <w:pPr>
        <w:pStyle w:val="ListParagraph"/>
        <w:numPr>
          <w:ilvl w:val="0"/>
          <w:numId w:val="5"/>
        </w:numPr>
        <w:tabs>
          <w:tab w:pos="840" w:val="left" w:leader="none"/>
          <w:tab w:pos="841" w:val="left" w:leader="none"/>
        </w:tabs>
        <w:spacing w:line="268" w:lineRule="exact" w:before="82" w:after="0"/>
        <w:ind w:left="840" w:right="0" w:hanging="361"/>
        <w:jc w:val="left"/>
        <w:rPr>
          <w:sz w:val="22"/>
        </w:rPr>
      </w:pPr>
      <w:r>
        <w:rPr>
          <w:sz w:val="22"/>
        </w:rPr>
        <w:t>Accessibility</w:t>
      </w:r>
      <w:r>
        <w:rPr>
          <w:spacing w:val="-8"/>
          <w:sz w:val="22"/>
        </w:rPr>
        <w:t> </w:t>
      </w:r>
      <w:r>
        <w:rPr>
          <w:sz w:val="22"/>
        </w:rPr>
        <w:t>repairs</w:t>
      </w:r>
      <w:r>
        <w:rPr>
          <w:spacing w:val="-7"/>
          <w:sz w:val="22"/>
        </w:rPr>
        <w:t> </w:t>
      </w:r>
      <w:r>
        <w:rPr>
          <w:sz w:val="22"/>
        </w:rPr>
        <w:t>and</w:t>
      </w:r>
      <w:r>
        <w:rPr>
          <w:spacing w:val="-8"/>
          <w:sz w:val="22"/>
        </w:rPr>
        <w:t> </w:t>
      </w:r>
      <w:r>
        <w:rPr>
          <w:sz w:val="22"/>
        </w:rPr>
        <w:t>installation</w:t>
      </w:r>
      <w:r>
        <w:rPr>
          <w:spacing w:val="-6"/>
          <w:sz w:val="22"/>
        </w:rPr>
        <w:t> </w:t>
      </w:r>
      <w:r>
        <w:rPr>
          <w:sz w:val="22"/>
        </w:rPr>
        <w:t>such</w:t>
      </w:r>
      <w:r>
        <w:rPr>
          <w:spacing w:val="-6"/>
          <w:sz w:val="22"/>
        </w:rPr>
        <w:t> </w:t>
      </w:r>
      <w:r>
        <w:rPr>
          <w:sz w:val="22"/>
        </w:rPr>
        <w:t>as</w:t>
      </w:r>
      <w:r>
        <w:rPr>
          <w:spacing w:val="-8"/>
          <w:sz w:val="22"/>
        </w:rPr>
        <w:t> </w:t>
      </w:r>
      <w:r>
        <w:rPr>
          <w:sz w:val="22"/>
        </w:rPr>
        <w:t>ramps,</w:t>
      </w:r>
      <w:r>
        <w:rPr>
          <w:spacing w:val="-4"/>
          <w:sz w:val="22"/>
        </w:rPr>
        <w:t> </w:t>
      </w:r>
      <w:r>
        <w:rPr>
          <w:sz w:val="22"/>
        </w:rPr>
        <w:t>handrails</w:t>
      </w:r>
      <w:r>
        <w:rPr>
          <w:spacing w:val="-5"/>
          <w:sz w:val="22"/>
        </w:rPr>
        <w:t> </w:t>
      </w:r>
      <w:r>
        <w:rPr>
          <w:sz w:val="22"/>
        </w:rPr>
        <w:t>or</w:t>
      </w:r>
      <w:r>
        <w:rPr>
          <w:spacing w:val="-7"/>
          <w:sz w:val="22"/>
        </w:rPr>
        <w:t> </w:t>
      </w:r>
      <w:r>
        <w:rPr>
          <w:sz w:val="22"/>
        </w:rPr>
        <w:t>repairing</w:t>
      </w:r>
      <w:r>
        <w:rPr>
          <w:spacing w:val="-9"/>
          <w:sz w:val="22"/>
        </w:rPr>
        <w:t> </w:t>
      </w:r>
      <w:r>
        <w:rPr>
          <w:spacing w:val="-2"/>
          <w:sz w:val="22"/>
        </w:rPr>
        <w:t>walkways</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Water</w:t>
      </w:r>
      <w:r>
        <w:rPr>
          <w:spacing w:val="-5"/>
          <w:sz w:val="22"/>
        </w:rPr>
        <w:t> </w:t>
      </w:r>
      <w:r>
        <w:rPr>
          <w:sz w:val="22"/>
        </w:rPr>
        <w:t>heater</w:t>
      </w:r>
      <w:r>
        <w:rPr>
          <w:spacing w:val="-7"/>
          <w:sz w:val="22"/>
        </w:rPr>
        <w:t> </w:t>
      </w:r>
      <w:r>
        <w:rPr>
          <w:sz w:val="22"/>
        </w:rPr>
        <w:t>replacement</w:t>
      </w:r>
      <w:r>
        <w:rPr>
          <w:spacing w:val="-4"/>
          <w:sz w:val="22"/>
        </w:rPr>
        <w:t> </w:t>
      </w:r>
      <w:r>
        <w:rPr>
          <w:sz w:val="22"/>
        </w:rPr>
        <w:t>or</w:t>
      </w:r>
      <w:r>
        <w:rPr>
          <w:spacing w:val="-7"/>
          <w:sz w:val="22"/>
        </w:rPr>
        <w:t> </w:t>
      </w:r>
      <w:r>
        <w:rPr>
          <w:spacing w:val="-2"/>
          <w:sz w:val="22"/>
        </w:rPr>
        <w:t>repair</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Heating</w:t>
      </w:r>
      <w:r>
        <w:rPr>
          <w:spacing w:val="-8"/>
          <w:sz w:val="22"/>
        </w:rPr>
        <w:t> </w:t>
      </w:r>
      <w:r>
        <w:rPr>
          <w:sz w:val="22"/>
        </w:rPr>
        <w:t>/cooling</w:t>
      </w:r>
      <w:r>
        <w:rPr>
          <w:spacing w:val="-5"/>
          <w:sz w:val="22"/>
        </w:rPr>
        <w:t> </w:t>
      </w:r>
      <w:r>
        <w:rPr>
          <w:sz w:val="22"/>
        </w:rPr>
        <w:t>central</w:t>
      </w:r>
      <w:r>
        <w:rPr>
          <w:spacing w:val="-8"/>
          <w:sz w:val="22"/>
        </w:rPr>
        <w:t> </w:t>
      </w:r>
      <w:r>
        <w:rPr>
          <w:sz w:val="22"/>
        </w:rPr>
        <w:t>air</w:t>
      </w:r>
      <w:r>
        <w:rPr>
          <w:spacing w:val="-4"/>
          <w:sz w:val="22"/>
        </w:rPr>
        <w:t> </w:t>
      </w:r>
      <w:r>
        <w:rPr>
          <w:sz w:val="22"/>
        </w:rPr>
        <w:t>system</w:t>
      </w:r>
      <w:r>
        <w:rPr>
          <w:spacing w:val="-6"/>
          <w:sz w:val="22"/>
        </w:rPr>
        <w:t> </w:t>
      </w:r>
      <w:r>
        <w:rPr>
          <w:sz w:val="22"/>
        </w:rPr>
        <w:t>repair,</w:t>
      </w:r>
      <w:r>
        <w:rPr>
          <w:spacing w:val="-5"/>
          <w:sz w:val="22"/>
        </w:rPr>
        <w:t> </w:t>
      </w:r>
      <w:r>
        <w:rPr>
          <w:sz w:val="22"/>
        </w:rPr>
        <w:t>or</w:t>
      </w:r>
      <w:r>
        <w:rPr>
          <w:spacing w:val="-6"/>
          <w:sz w:val="22"/>
        </w:rPr>
        <w:t> </w:t>
      </w:r>
      <w:r>
        <w:rPr>
          <w:sz w:val="22"/>
        </w:rPr>
        <w:t>installation</w:t>
      </w:r>
      <w:r>
        <w:rPr>
          <w:spacing w:val="-6"/>
          <w:sz w:val="22"/>
        </w:rPr>
        <w:t> </w:t>
      </w:r>
      <w:r>
        <w:rPr>
          <w:sz w:val="22"/>
        </w:rPr>
        <w:t>of</w:t>
      </w:r>
      <w:r>
        <w:rPr>
          <w:spacing w:val="-3"/>
          <w:sz w:val="22"/>
        </w:rPr>
        <w:t> </w:t>
      </w:r>
      <w:r>
        <w:rPr>
          <w:sz w:val="22"/>
        </w:rPr>
        <w:t>wall</w:t>
      </w:r>
      <w:r>
        <w:rPr>
          <w:spacing w:val="-5"/>
          <w:sz w:val="22"/>
        </w:rPr>
        <w:t> </w:t>
      </w:r>
      <w:r>
        <w:rPr>
          <w:spacing w:val="-2"/>
          <w:sz w:val="22"/>
        </w:rPr>
        <w:t>heaters</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Plumbing,</w:t>
      </w:r>
      <w:r>
        <w:rPr>
          <w:spacing w:val="-5"/>
          <w:sz w:val="22"/>
        </w:rPr>
        <w:t> </w:t>
      </w:r>
      <w:r>
        <w:rPr>
          <w:sz w:val="22"/>
        </w:rPr>
        <w:t>water</w:t>
      </w:r>
      <w:r>
        <w:rPr>
          <w:spacing w:val="-3"/>
          <w:sz w:val="22"/>
        </w:rPr>
        <w:t> </w:t>
      </w:r>
      <w:r>
        <w:rPr>
          <w:sz w:val="22"/>
        </w:rPr>
        <w:t>and</w:t>
      </w:r>
      <w:r>
        <w:rPr>
          <w:spacing w:val="-7"/>
          <w:sz w:val="22"/>
        </w:rPr>
        <w:t> </w:t>
      </w:r>
      <w:r>
        <w:rPr>
          <w:sz w:val="22"/>
        </w:rPr>
        <w:t>sewer</w:t>
      </w:r>
      <w:r>
        <w:rPr>
          <w:spacing w:val="-3"/>
          <w:sz w:val="22"/>
        </w:rPr>
        <w:t> </w:t>
      </w:r>
      <w:r>
        <w:rPr>
          <w:sz w:val="22"/>
        </w:rPr>
        <w:t>pipes,</w:t>
      </w:r>
      <w:r>
        <w:rPr>
          <w:spacing w:val="-4"/>
          <w:sz w:val="22"/>
        </w:rPr>
        <w:t> </w:t>
      </w:r>
      <w:r>
        <w:rPr>
          <w:sz w:val="22"/>
        </w:rPr>
        <w:t>kitchen</w:t>
      </w:r>
      <w:r>
        <w:rPr>
          <w:spacing w:val="-7"/>
          <w:sz w:val="22"/>
        </w:rPr>
        <w:t> </w:t>
      </w:r>
      <w:r>
        <w:rPr>
          <w:sz w:val="22"/>
        </w:rPr>
        <w:t>and</w:t>
      </w:r>
      <w:r>
        <w:rPr>
          <w:spacing w:val="-4"/>
          <w:sz w:val="22"/>
        </w:rPr>
        <w:t> </w:t>
      </w:r>
      <w:r>
        <w:rPr>
          <w:sz w:val="22"/>
        </w:rPr>
        <w:t>bath</w:t>
      </w:r>
      <w:r>
        <w:rPr>
          <w:spacing w:val="-7"/>
          <w:sz w:val="22"/>
        </w:rPr>
        <w:t> </w:t>
      </w:r>
      <w:r>
        <w:rPr>
          <w:sz w:val="22"/>
        </w:rPr>
        <w:t>fixtures</w:t>
      </w:r>
      <w:r>
        <w:rPr>
          <w:spacing w:val="-6"/>
          <w:sz w:val="22"/>
        </w:rPr>
        <w:t> </w:t>
      </w:r>
      <w:r>
        <w:rPr>
          <w:spacing w:val="-2"/>
          <w:sz w:val="22"/>
        </w:rPr>
        <w:t>repair/replacement</w:t>
      </w:r>
    </w:p>
    <w:p>
      <w:pPr>
        <w:pStyle w:val="ListParagraph"/>
        <w:numPr>
          <w:ilvl w:val="0"/>
          <w:numId w:val="5"/>
        </w:numPr>
        <w:tabs>
          <w:tab w:pos="840" w:val="left" w:leader="none"/>
          <w:tab w:pos="841" w:val="left" w:leader="none"/>
        </w:tabs>
        <w:spacing w:line="269" w:lineRule="exact" w:before="0" w:after="0"/>
        <w:ind w:left="840" w:right="0" w:hanging="361"/>
        <w:jc w:val="left"/>
        <w:rPr>
          <w:sz w:val="22"/>
        </w:rPr>
      </w:pPr>
      <w:r>
        <w:rPr>
          <w:sz w:val="22"/>
        </w:rPr>
        <w:t>Electrical</w:t>
      </w:r>
      <w:r>
        <w:rPr>
          <w:spacing w:val="-9"/>
          <w:sz w:val="22"/>
        </w:rPr>
        <w:t> </w:t>
      </w:r>
      <w:r>
        <w:rPr>
          <w:sz w:val="22"/>
        </w:rPr>
        <w:t>repair/replacement</w:t>
      </w:r>
      <w:r>
        <w:rPr>
          <w:spacing w:val="-7"/>
          <w:sz w:val="22"/>
        </w:rPr>
        <w:t> </w:t>
      </w:r>
      <w:r>
        <w:rPr>
          <w:sz w:val="22"/>
        </w:rPr>
        <w:t>of</w:t>
      </w:r>
      <w:r>
        <w:rPr>
          <w:spacing w:val="-7"/>
          <w:sz w:val="22"/>
        </w:rPr>
        <w:t> </w:t>
      </w:r>
      <w:r>
        <w:rPr>
          <w:sz w:val="22"/>
        </w:rPr>
        <w:t>plugs,</w:t>
      </w:r>
      <w:r>
        <w:rPr>
          <w:spacing w:val="-7"/>
          <w:sz w:val="22"/>
        </w:rPr>
        <w:t> </w:t>
      </w:r>
      <w:r>
        <w:rPr>
          <w:sz w:val="22"/>
        </w:rPr>
        <w:t>breakers,</w:t>
      </w:r>
      <w:r>
        <w:rPr>
          <w:spacing w:val="-7"/>
          <w:sz w:val="22"/>
        </w:rPr>
        <w:t> </w:t>
      </w:r>
      <w:r>
        <w:rPr>
          <w:sz w:val="22"/>
        </w:rPr>
        <w:t>panels,</w:t>
      </w:r>
      <w:r>
        <w:rPr>
          <w:spacing w:val="-5"/>
          <w:sz w:val="22"/>
        </w:rPr>
        <w:t> </w:t>
      </w:r>
      <w:r>
        <w:rPr>
          <w:sz w:val="22"/>
        </w:rPr>
        <w:t>or</w:t>
      </w:r>
      <w:r>
        <w:rPr>
          <w:spacing w:val="-7"/>
          <w:sz w:val="22"/>
        </w:rPr>
        <w:t> </w:t>
      </w:r>
      <w:r>
        <w:rPr>
          <w:spacing w:val="-2"/>
          <w:sz w:val="22"/>
        </w:rPr>
        <w:t>wiring</w:t>
      </w:r>
    </w:p>
    <w:p>
      <w:pPr>
        <w:pStyle w:val="ListParagraph"/>
        <w:numPr>
          <w:ilvl w:val="0"/>
          <w:numId w:val="5"/>
        </w:numPr>
        <w:tabs>
          <w:tab w:pos="841" w:val="left" w:leader="none"/>
          <w:tab w:pos="842" w:val="left" w:leader="none"/>
        </w:tabs>
        <w:spacing w:line="268" w:lineRule="exact" w:before="0" w:after="0"/>
        <w:ind w:left="841" w:right="0" w:hanging="361"/>
        <w:jc w:val="left"/>
        <w:rPr>
          <w:sz w:val="22"/>
        </w:rPr>
      </w:pPr>
      <w:r>
        <w:rPr>
          <w:sz w:val="22"/>
        </w:rPr>
        <w:t>Gas</w:t>
      </w:r>
      <w:r>
        <w:rPr>
          <w:spacing w:val="-5"/>
          <w:sz w:val="22"/>
        </w:rPr>
        <w:t> </w:t>
      </w:r>
      <w:r>
        <w:rPr>
          <w:sz w:val="22"/>
        </w:rPr>
        <w:t>pipe</w:t>
      </w:r>
      <w:r>
        <w:rPr>
          <w:spacing w:val="-7"/>
          <w:sz w:val="22"/>
        </w:rPr>
        <w:t> </w:t>
      </w:r>
      <w:r>
        <w:rPr>
          <w:sz w:val="22"/>
        </w:rPr>
        <w:t>repair/replacement</w:t>
      </w:r>
      <w:r>
        <w:rPr>
          <w:spacing w:val="-6"/>
          <w:sz w:val="22"/>
        </w:rPr>
        <w:t> </w:t>
      </w:r>
      <w:r>
        <w:rPr>
          <w:sz w:val="22"/>
        </w:rPr>
        <w:t>and</w:t>
      </w:r>
      <w:r>
        <w:rPr>
          <w:spacing w:val="-5"/>
          <w:sz w:val="22"/>
        </w:rPr>
        <w:t> </w:t>
      </w:r>
      <w:r>
        <w:rPr>
          <w:sz w:val="22"/>
        </w:rPr>
        <w:t>gas</w:t>
      </w:r>
      <w:r>
        <w:rPr>
          <w:spacing w:val="-8"/>
          <w:sz w:val="22"/>
        </w:rPr>
        <w:t> </w:t>
      </w:r>
      <w:r>
        <w:rPr>
          <w:spacing w:val="-2"/>
          <w:sz w:val="22"/>
        </w:rPr>
        <w:t>testing</w:t>
      </w:r>
    </w:p>
    <w:p>
      <w:pPr>
        <w:pStyle w:val="ListParagraph"/>
        <w:numPr>
          <w:ilvl w:val="0"/>
          <w:numId w:val="5"/>
        </w:numPr>
        <w:tabs>
          <w:tab w:pos="841" w:val="left" w:leader="none"/>
          <w:tab w:pos="842" w:val="left" w:leader="none"/>
        </w:tabs>
        <w:spacing w:line="267" w:lineRule="exact" w:before="0" w:after="0"/>
        <w:ind w:left="841" w:right="0" w:hanging="361"/>
        <w:jc w:val="left"/>
        <w:rPr>
          <w:sz w:val="22"/>
        </w:rPr>
      </w:pPr>
      <w:r>
        <w:rPr>
          <w:sz w:val="22"/>
        </w:rPr>
        <w:t>Floor</w:t>
      </w:r>
      <w:r>
        <w:rPr>
          <w:spacing w:val="-2"/>
          <w:sz w:val="22"/>
        </w:rPr>
        <w:t> repair</w:t>
      </w:r>
    </w:p>
    <w:p>
      <w:pPr>
        <w:pStyle w:val="ListParagraph"/>
        <w:numPr>
          <w:ilvl w:val="0"/>
          <w:numId w:val="5"/>
        </w:numPr>
        <w:tabs>
          <w:tab w:pos="841" w:val="left" w:leader="none"/>
          <w:tab w:pos="842" w:val="left" w:leader="none"/>
        </w:tabs>
        <w:spacing w:line="268" w:lineRule="exact" w:before="0" w:after="0"/>
        <w:ind w:left="841" w:right="0" w:hanging="361"/>
        <w:jc w:val="left"/>
        <w:rPr>
          <w:sz w:val="22"/>
        </w:rPr>
      </w:pPr>
      <w:r>
        <w:rPr/>
        <w:pict>
          <v:shape style="position:absolute;margin-left:90.065002pt;margin-top:3.390566pt;width:395.3pt;height:419pt;mso-position-horizontal-relative:page;mso-position-vertical-relative:paragraph;z-index:-17736704" id="docshape21" coordorigin="1801,68" coordsize="7906,8380" path="m4498,7331l4492,7258,4477,7180,4455,7097,4432,7028,4403,6956,4367,6881,4325,6803,4276,6722,4237,6663,4200,6613,4200,7298,4197,7355,4186,7411,4167,7469,4138,7528,4097,7591,4044,7657,3979,7727,3674,8032,2216,6574,2517,6274,2598,6198,2672,6138,2740,6094,2801,6068,2868,6053,2941,6049,3020,6056,3105,6074,3195,6103,3255,6129,3317,6161,3380,6199,3446,6244,3514,6296,3584,6354,3656,6419,3729,6490,3789,6552,3845,6612,3896,6671,3943,6729,3986,6785,4025,6841,4059,6894,4101,6969,4136,7041,4163,7111,4183,7178,4196,7242,4200,7298,4200,6613,4194,6604,4148,6544,4098,6483,4045,6422,3989,6361,3929,6299,3865,6237,3801,6178,3737,6123,3673,6072,3643,6049,3609,6024,3546,5979,3482,5938,3419,5900,3346,5863,3274,5830,3203,5803,3132,5781,3062,5764,2992,5752,2923,5745,2850,5743,2779,5750,2709,5765,2642,5788,2577,5818,2528,5846,2476,5883,2420,5929,2359,5983,2294,6046,1801,6539,3710,8447,4124,8032,4226,7930,4287,7865,4341,7800,4386,7734,4424,7667,4454,7601,4476,7535,4491,7468,4498,7400,4498,7331xm6418,5738l6056,5611,5650,5468,5561,5439,5475,5415,5393,5396,5365,5390,5314,5381,5239,5371,5193,5370,5143,5373,5089,5380,5030,5390,5073,5321,5109,5251,5136,5182,5154,5113,5164,5045,5165,4977,5157,4909,5139,4831,5111,4755,5075,4680,5030,4607,4976,4537,4956,4514,4913,4468,4872,4430,4872,4987,4868,5043,4854,5098,4830,5154,4794,5212,4747,5273,4687,5337,4280,5744,3649,5113,4102,4660,4166,4603,4229,4560,4293,4530,4358,4515,4422,4514,4501,4529,4577,4559,4649,4603,4718,4663,4761,4711,4797,4761,4827,4815,4851,4872,4867,4930,4872,4987,4872,4430,4849,4408,4782,4356,4713,4310,4641,4272,4566,4240,4474,4212,4386,4199,4303,4201,4225,4217,4163,4242,4098,4278,4030,4326,3958,4386,3883,4457,3248,5092,5157,7000,5346,6810,4499,5963,4718,5744,4753,5710,4783,5682,4810,5661,4833,5647,4863,5633,4896,5623,4932,5615,4971,5611,5014,5611,5066,5616,5125,5626,5194,5643,5256,5660,5328,5681,5407,5706,5496,5735,6180,5976,6418,5738xm7780,4376l7415,4181,6555,3727,6555,4034,6070,4519,6030,4448,5989,4376,5748,3945,5708,3874,5668,3802,5629,3737,5590,3672,5550,3608,5509,3545,5467,3483,5424,3421,5380,3361,5436,3396,5498,3434,5564,3474,5635,3516,5792,3606,6555,4034,6555,3727,5862,3361,5286,3054,5082,3258,5277,3608,5316,3678,5701,4376,6207,5295,6441,5716,6642,5515,6565,5381,6298,4913,6221,4779,6481,4519,6820,4181,7173,4376,7565,4592,7780,4376xm8131,4026l7264,3159,7936,2487,7711,2262,7039,2933,6448,2343,7224,1566,6999,1341,6033,2307,7941,4215,8131,4026xm9707,2450l8024,767,8497,293,8272,68,7138,1202,7363,1428,7834,956,9517,2639,9707,2450xe" filled="true" fillcolor="#c0c0c0" stroked="false">
            <v:path arrowok="t"/>
            <v:fill opacity="32896f" type="solid"/>
            <w10:wrap type="none"/>
          </v:shape>
        </w:pict>
      </w:r>
      <w:r>
        <w:rPr>
          <w:position w:val="2"/>
          <w:sz w:val="22"/>
        </w:rPr>
        <w:t>Installation</w:t>
      </w:r>
      <w:r>
        <w:rPr>
          <w:spacing w:val="-5"/>
          <w:position w:val="2"/>
          <w:sz w:val="22"/>
        </w:rPr>
        <w:t> </w:t>
      </w:r>
      <w:r>
        <w:rPr>
          <w:position w:val="2"/>
          <w:sz w:val="22"/>
        </w:rPr>
        <w:t>of</w:t>
      </w:r>
      <w:r>
        <w:rPr>
          <w:spacing w:val="-3"/>
          <w:position w:val="2"/>
          <w:sz w:val="22"/>
        </w:rPr>
        <w:t> </w:t>
      </w:r>
      <w:r>
        <w:rPr>
          <w:position w:val="2"/>
          <w:sz w:val="22"/>
        </w:rPr>
        <w:t>smoke,</w:t>
      </w:r>
      <w:r>
        <w:rPr>
          <w:spacing w:val="-6"/>
          <w:position w:val="2"/>
          <w:sz w:val="22"/>
        </w:rPr>
        <w:t> </w:t>
      </w:r>
      <w:r>
        <w:rPr>
          <w:position w:val="2"/>
          <w:sz w:val="22"/>
        </w:rPr>
        <w:t>fire</w:t>
      </w:r>
      <w:r>
        <w:rPr>
          <w:spacing w:val="-6"/>
          <w:position w:val="2"/>
          <w:sz w:val="22"/>
        </w:rPr>
        <w:t> </w:t>
      </w:r>
      <w:r>
        <w:rPr>
          <w:position w:val="2"/>
          <w:sz w:val="22"/>
        </w:rPr>
        <w:t>and</w:t>
      </w:r>
      <w:r>
        <w:rPr>
          <w:spacing w:val="-5"/>
          <w:position w:val="2"/>
          <w:sz w:val="22"/>
        </w:rPr>
        <w:t> </w:t>
      </w:r>
      <w:r>
        <w:rPr>
          <w:position w:val="2"/>
          <w:sz w:val="22"/>
        </w:rPr>
        <w:t>CO</w:t>
      </w:r>
      <w:r>
        <w:rPr>
          <w:sz w:val="14"/>
        </w:rPr>
        <w:t>2</w:t>
      </w:r>
      <w:r>
        <w:rPr>
          <w:spacing w:val="18"/>
          <w:sz w:val="14"/>
        </w:rPr>
        <w:t> </w:t>
      </w:r>
      <w:r>
        <w:rPr>
          <w:spacing w:val="-2"/>
          <w:position w:val="2"/>
          <w:sz w:val="22"/>
        </w:rPr>
        <w:t>detectors</w:t>
      </w:r>
    </w:p>
    <w:p>
      <w:pPr>
        <w:pStyle w:val="ListParagraph"/>
        <w:numPr>
          <w:ilvl w:val="0"/>
          <w:numId w:val="5"/>
        </w:numPr>
        <w:tabs>
          <w:tab w:pos="840" w:val="left" w:leader="none"/>
          <w:tab w:pos="841" w:val="left" w:leader="none"/>
        </w:tabs>
        <w:spacing w:line="267" w:lineRule="exact" w:before="0" w:after="0"/>
        <w:ind w:left="840" w:right="0" w:hanging="361"/>
        <w:jc w:val="left"/>
        <w:rPr>
          <w:sz w:val="22"/>
        </w:rPr>
      </w:pPr>
      <w:r>
        <w:rPr>
          <w:sz w:val="22"/>
        </w:rPr>
        <w:t>Interior</w:t>
      </w:r>
      <w:r>
        <w:rPr>
          <w:spacing w:val="-3"/>
          <w:sz w:val="22"/>
        </w:rPr>
        <w:t> </w:t>
      </w:r>
      <w:r>
        <w:rPr>
          <w:sz w:val="22"/>
        </w:rPr>
        <w:t>and</w:t>
      </w:r>
      <w:r>
        <w:rPr>
          <w:spacing w:val="-7"/>
          <w:sz w:val="22"/>
        </w:rPr>
        <w:t> </w:t>
      </w:r>
      <w:r>
        <w:rPr>
          <w:sz w:val="22"/>
        </w:rPr>
        <w:t>exterior</w:t>
      </w:r>
      <w:r>
        <w:rPr>
          <w:spacing w:val="-6"/>
          <w:sz w:val="22"/>
        </w:rPr>
        <w:t> </w:t>
      </w:r>
      <w:r>
        <w:rPr>
          <w:sz w:val="22"/>
        </w:rPr>
        <w:t>repairs</w:t>
      </w:r>
      <w:r>
        <w:rPr>
          <w:spacing w:val="-4"/>
          <w:sz w:val="22"/>
        </w:rPr>
        <w:t> </w:t>
      </w:r>
      <w:r>
        <w:rPr>
          <w:sz w:val="22"/>
        </w:rPr>
        <w:t>as</w:t>
      </w:r>
      <w:r>
        <w:rPr>
          <w:spacing w:val="-6"/>
          <w:sz w:val="22"/>
        </w:rPr>
        <w:t> </w:t>
      </w:r>
      <w:r>
        <w:rPr>
          <w:spacing w:val="-2"/>
          <w:sz w:val="22"/>
        </w:rPr>
        <w:t>needed</w:t>
      </w:r>
    </w:p>
    <w:p>
      <w:pPr>
        <w:pStyle w:val="ListParagraph"/>
        <w:numPr>
          <w:ilvl w:val="0"/>
          <w:numId w:val="5"/>
        </w:numPr>
        <w:tabs>
          <w:tab w:pos="840" w:val="left" w:leader="none"/>
          <w:tab w:pos="841" w:val="left" w:leader="none"/>
        </w:tabs>
        <w:spacing w:line="269" w:lineRule="exact" w:before="0" w:after="0"/>
        <w:ind w:left="840" w:right="0" w:hanging="361"/>
        <w:jc w:val="left"/>
        <w:rPr>
          <w:sz w:val="22"/>
        </w:rPr>
      </w:pPr>
      <w:r>
        <w:rPr>
          <w:sz w:val="22"/>
        </w:rPr>
        <w:t>Any</w:t>
      </w:r>
      <w:r>
        <w:rPr>
          <w:spacing w:val="-4"/>
          <w:sz w:val="22"/>
        </w:rPr>
        <w:t> </w:t>
      </w:r>
      <w:r>
        <w:rPr>
          <w:sz w:val="22"/>
        </w:rPr>
        <w:t>item</w:t>
      </w:r>
      <w:r>
        <w:rPr>
          <w:spacing w:val="-6"/>
          <w:sz w:val="22"/>
        </w:rPr>
        <w:t> </w:t>
      </w:r>
      <w:r>
        <w:rPr>
          <w:sz w:val="22"/>
        </w:rPr>
        <w:t>determined</w:t>
      </w:r>
      <w:r>
        <w:rPr>
          <w:spacing w:val="-4"/>
          <w:sz w:val="22"/>
        </w:rPr>
        <w:t> </w:t>
      </w:r>
      <w:r>
        <w:rPr>
          <w:sz w:val="22"/>
        </w:rPr>
        <w:t>eligible</w:t>
      </w:r>
      <w:r>
        <w:rPr>
          <w:spacing w:val="-5"/>
          <w:sz w:val="22"/>
        </w:rPr>
        <w:t> </w:t>
      </w:r>
      <w:r>
        <w:rPr>
          <w:sz w:val="22"/>
        </w:rPr>
        <w:t>by</w:t>
      </w:r>
      <w:r>
        <w:rPr>
          <w:spacing w:val="-3"/>
          <w:sz w:val="22"/>
        </w:rPr>
        <w:t> </w:t>
      </w:r>
      <w:r>
        <w:rPr>
          <w:sz w:val="22"/>
        </w:rPr>
        <w:t>the</w:t>
      </w:r>
      <w:r>
        <w:rPr>
          <w:spacing w:val="-6"/>
          <w:sz w:val="22"/>
        </w:rPr>
        <w:t> </w:t>
      </w:r>
      <w:r>
        <w:rPr>
          <w:spacing w:val="-2"/>
          <w:sz w:val="22"/>
        </w:rPr>
        <w:t>Director</w:t>
      </w:r>
    </w:p>
    <w:p>
      <w:pPr>
        <w:pStyle w:val="BodyText"/>
        <w:spacing w:before="7"/>
        <w:rPr>
          <w:sz w:val="21"/>
        </w:rPr>
      </w:pPr>
    </w:p>
    <w:p>
      <w:pPr>
        <w:pStyle w:val="Heading5"/>
      </w:pPr>
      <w:r>
        <w:rPr/>
        <w:t>Terms</w:t>
      </w:r>
      <w:r>
        <w:rPr>
          <w:spacing w:val="-3"/>
        </w:rPr>
        <w:t> </w:t>
      </w:r>
      <w:r>
        <w:rPr/>
        <w:t>of</w:t>
      </w:r>
      <w:r>
        <w:rPr>
          <w:spacing w:val="-3"/>
        </w:rPr>
        <w:t> </w:t>
      </w:r>
      <w:r>
        <w:rPr>
          <w:spacing w:val="-2"/>
        </w:rPr>
        <w:t>Assistance</w:t>
      </w:r>
    </w:p>
    <w:p>
      <w:pPr>
        <w:pStyle w:val="BodyText"/>
        <w:spacing w:before="52"/>
        <w:ind w:left="120" w:right="153"/>
        <w:jc w:val="both"/>
      </w:pPr>
      <w:r>
        <w:rPr/>
        <w:t>Assistance</w:t>
      </w:r>
      <w:r>
        <w:rPr>
          <w:spacing w:val="-6"/>
        </w:rPr>
        <w:t> </w:t>
      </w:r>
      <w:r>
        <w:rPr/>
        <w:t>under</w:t>
      </w:r>
      <w:r>
        <w:rPr>
          <w:spacing w:val="-7"/>
        </w:rPr>
        <w:t> </w:t>
      </w:r>
      <w:r>
        <w:rPr/>
        <w:t>the</w:t>
      </w:r>
      <w:r>
        <w:rPr>
          <w:spacing w:val="-9"/>
        </w:rPr>
        <w:t> </w:t>
      </w:r>
      <w:r>
        <w:rPr/>
        <w:t>Minor</w:t>
      </w:r>
      <w:r>
        <w:rPr>
          <w:spacing w:val="-5"/>
        </w:rPr>
        <w:t> </w:t>
      </w:r>
      <w:r>
        <w:rPr/>
        <w:t>Home</w:t>
      </w:r>
      <w:r>
        <w:rPr>
          <w:spacing w:val="-6"/>
        </w:rPr>
        <w:t> </w:t>
      </w:r>
      <w:r>
        <w:rPr/>
        <w:t>Rehabilitation</w:t>
      </w:r>
      <w:r>
        <w:rPr>
          <w:spacing w:val="-6"/>
        </w:rPr>
        <w:t> </w:t>
      </w:r>
      <w:r>
        <w:rPr/>
        <w:t>Program</w:t>
      </w:r>
      <w:r>
        <w:rPr>
          <w:spacing w:val="-5"/>
        </w:rPr>
        <w:t> </w:t>
      </w:r>
      <w:r>
        <w:rPr/>
        <w:t>is</w:t>
      </w:r>
      <w:r>
        <w:rPr>
          <w:spacing w:val="-8"/>
        </w:rPr>
        <w:t> </w:t>
      </w:r>
      <w:r>
        <w:rPr/>
        <w:t>provided</w:t>
      </w:r>
      <w:r>
        <w:rPr>
          <w:spacing w:val="-9"/>
        </w:rPr>
        <w:t> </w:t>
      </w:r>
      <w:r>
        <w:rPr/>
        <w:t>in</w:t>
      </w:r>
      <w:r>
        <w:rPr>
          <w:spacing w:val="-6"/>
        </w:rPr>
        <w:t> </w:t>
      </w:r>
      <w:r>
        <w:rPr/>
        <w:t>the</w:t>
      </w:r>
      <w:r>
        <w:rPr>
          <w:spacing w:val="-9"/>
        </w:rPr>
        <w:t> </w:t>
      </w:r>
      <w:r>
        <w:rPr/>
        <w:t>form</w:t>
      </w:r>
      <w:r>
        <w:rPr>
          <w:spacing w:val="-8"/>
        </w:rPr>
        <w:t> </w:t>
      </w:r>
      <w:r>
        <w:rPr/>
        <w:t>of</w:t>
      </w:r>
      <w:r>
        <w:rPr>
          <w:spacing w:val="-7"/>
        </w:rPr>
        <w:t> </w:t>
      </w:r>
      <w:r>
        <w:rPr/>
        <w:t>a</w:t>
      </w:r>
      <w:r>
        <w:rPr>
          <w:spacing w:val="-9"/>
        </w:rPr>
        <w:t> </w:t>
      </w:r>
      <w:r>
        <w:rPr/>
        <w:t>grant</w:t>
      </w:r>
      <w:r>
        <w:rPr>
          <w:spacing w:val="-7"/>
        </w:rPr>
        <w:t> </w:t>
      </w:r>
      <w:r>
        <w:rPr/>
        <w:t>to</w:t>
      </w:r>
      <w:r>
        <w:rPr>
          <w:spacing w:val="-9"/>
        </w:rPr>
        <w:t> </w:t>
      </w:r>
      <w:r>
        <w:rPr/>
        <w:t>the non-profit</w:t>
      </w:r>
      <w:r>
        <w:rPr>
          <w:spacing w:val="-6"/>
        </w:rPr>
        <w:t> </w:t>
      </w:r>
      <w:r>
        <w:rPr/>
        <w:t>partner,</w:t>
      </w:r>
      <w:r>
        <w:rPr>
          <w:spacing w:val="-6"/>
        </w:rPr>
        <w:t> </w:t>
      </w:r>
      <w:r>
        <w:rPr/>
        <w:t>who</w:t>
      </w:r>
      <w:r>
        <w:rPr>
          <w:spacing w:val="-7"/>
        </w:rPr>
        <w:t> </w:t>
      </w:r>
      <w:r>
        <w:rPr/>
        <w:t>may</w:t>
      </w:r>
      <w:r>
        <w:rPr>
          <w:spacing w:val="-6"/>
        </w:rPr>
        <w:t> </w:t>
      </w:r>
      <w:r>
        <w:rPr/>
        <w:t>provide</w:t>
      </w:r>
      <w:r>
        <w:rPr>
          <w:spacing w:val="-7"/>
        </w:rPr>
        <w:t> </w:t>
      </w:r>
      <w:r>
        <w:rPr/>
        <w:t>funding</w:t>
      </w:r>
      <w:r>
        <w:rPr>
          <w:spacing w:val="-8"/>
        </w:rPr>
        <w:t> </w:t>
      </w:r>
      <w:r>
        <w:rPr/>
        <w:t>from</w:t>
      </w:r>
      <w:r>
        <w:rPr>
          <w:spacing w:val="-9"/>
        </w:rPr>
        <w:t> </w:t>
      </w:r>
      <w:r>
        <w:rPr/>
        <w:t>other</w:t>
      </w:r>
      <w:r>
        <w:rPr>
          <w:spacing w:val="-6"/>
        </w:rPr>
        <w:t> </w:t>
      </w:r>
      <w:r>
        <w:rPr/>
        <w:t>sources</w:t>
      </w:r>
      <w:r>
        <w:rPr>
          <w:spacing w:val="-9"/>
        </w:rPr>
        <w:t> </w:t>
      </w:r>
      <w:r>
        <w:rPr/>
        <w:t>to</w:t>
      </w:r>
      <w:r>
        <w:rPr>
          <w:spacing w:val="-7"/>
        </w:rPr>
        <w:t> </w:t>
      </w:r>
      <w:r>
        <w:rPr/>
        <w:t>assist</w:t>
      </w:r>
      <w:r>
        <w:rPr>
          <w:spacing w:val="-6"/>
        </w:rPr>
        <w:t> </w:t>
      </w:r>
      <w:r>
        <w:rPr/>
        <w:t>additional</w:t>
      </w:r>
      <w:r>
        <w:rPr>
          <w:spacing w:val="-8"/>
        </w:rPr>
        <w:t> </w:t>
      </w:r>
      <w:r>
        <w:rPr/>
        <w:t>homeowners, and who will directly contract with the applicant for repairs.</w:t>
      </w:r>
    </w:p>
    <w:p>
      <w:pPr>
        <w:pStyle w:val="BodyText"/>
        <w:spacing w:before="10"/>
        <w:rPr>
          <w:sz w:val="21"/>
        </w:rPr>
      </w:pPr>
    </w:p>
    <w:p>
      <w:pPr>
        <w:pStyle w:val="Heading5"/>
        <w:jc w:val="left"/>
      </w:pPr>
      <w:r>
        <w:rPr/>
        <w:t>Assistance</w:t>
      </w:r>
      <w:r>
        <w:rPr>
          <w:spacing w:val="-7"/>
        </w:rPr>
        <w:t> </w:t>
      </w:r>
      <w:r>
        <w:rPr>
          <w:spacing w:val="-2"/>
        </w:rPr>
        <w:t>Limits</w:t>
      </w:r>
    </w:p>
    <w:p>
      <w:pPr>
        <w:pStyle w:val="BodyText"/>
        <w:spacing w:line="252" w:lineRule="exact" w:before="52"/>
        <w:ind w:left="120"/>
      </w:pPr>
      <w:r>
        <w:rPr/>
        <w:t>The</w:t>
      </w:r>
      <w:r>
        <w:rPr>
          <w:spacing w:val="27"/>
        </w:rPr>
        <w:t> </w:t>
      </w:r>
      <w:r>
        <w:rPr/>
        <w:t>maximum</w:t>
      </w:r>
      <w:r>
        <w:rPr>
          <w:spacing w:val="29"/>
        </w:rPr>
        <w:t> </w:t>
      </w:r>
      <w:r>
        <w:rPr/>
        <w:t>assistance</w:t>
      </w:r>
      <w:r>
        <w:rPr>
          <w:spacing w:val="29"/>
        </w:rPr>
        <w:t> </w:t>
      </w:r>
      <w:r>
        <w:rPr/>
        <w:t>amount</w:t>
      </w:r>
      <w:r>
        <w:rPr>
          <w:spacing w:val="31"/>
        </w:rPr>
        <w:t> </w:t>
      </w:r>
      <w:r>
        <w:rPr/>
        <w:t>provided</w:t>
      </w:r>
      <w:r>
        <w:rPr>
          <w:spacing w:val="30"/>
        </w:rPr>
        <w:t> </w:t>
      </w:r>
      <w:r>
        <w:rPr/>
        <w:t>under</w:t>
      </w:r>
      <w:r>
        <w:rPr>
          <w:spacing w:val="29"/>
        </w:rPr>
        <w:t> </w:t>
      </w:r>
      <w:r>
        <w:rPr/>
        <w:t>the</w:t>
      </w:r>
      <w:r>
        <w:rPr>
          <w:spacing w:val="28"/>
        </w:rPr>
        <w:t> </w:t>
      </w:r>
      <w:r>
        <w:rPr/>
        <w:t>Minor</w:t>
      </w:r>
      <w:r>
        <w:rPr>
          <w:spacing w:val="31"/>
        </w:rPr>
        <w:t> </w:t>
      </w:r>
      <w:r>
        <w:rPr/>
        <w:t>Home</w:t>
      </w:r>
      <w:r>
        <w:rPr>
          <w:spacing w:val="30"/>
        </w:rPr>
        <w:t> </w:t>
      </w:r>
      <w:r>
        <w:rPr/>
        <w:t>Rehabilitation</w:t>
      </w:r>
      <w:r>
        <w:rPr>
          <w:spacing w:val="29"/>
        </w:rPr>
        <w:t> </w:t>
      </w:r>
      <w:r>
        <w:rPr/>
        <w:t>Program</w:t>
      </w:r>
      <w:r>
        <w:rPr>
          <w:spacing w:val="32"/>
        </w:rPr>
        <w:t> </w:t>
      </w:r>
      <w:r>
        <w:rPr>
          <w:spacing w:val="-5"/>
        </w:rPr>
        <w:t>is</w:t>
      </w:r>
    </w:p>
    <w:p>
      <w:pPr>
        <w:pStyle w:val="BodyText"/>
        <w:spacing w:line="252" w:lineRule="exact"/>
        <w:ind w:left="120"/>
      </w:pPr>
      <w:r>
        <w:rPr/>
        <w:t>$4,999.99</w:t>
      </w:r>
      <w:r>
        <w:rPr>
          <w:spacing w:val="-6"/>
        </w:rPr>
        <w:t> </w:t>
      </w:r>
      <w:r>
        <w:rPr/>
        <w:t>per</w:t>
      </w:r>
      <w:r>
        <w:rPr>
          <w:spacing w:val="-4"/>
        </w:rPr>
        <w:t> </w:t>
      </w:r>
      <w:r>
        <w:rPr>
          <w:spacing w:val="-2"/>
        </w:rPr>
        <w:t>property.</w:t>
      </w:r>
    </w:p>
    <w:p>
      <w:pPr>
        <w:pStyle w:val="BodyText"/>
      </w:pPr>
    </w:p>
    <w:p>
      <w:pPr>
        <w:pStyle w:val="BodyText"/>
        <w:ind w:left="119" w:right="155"/>
        <w:jc w:val="both"/>
      </w:pPr>
      <w:r>
        <w:rPr/>
        <w:t>Non-profit partner(s) subscribed under the Minor Home Rehabilitation Program must complete the repairs at no cost to the homeowner and must ensure repairs are not subject to any real property liens.</w:t>
      </w:r>
    </w:p>
    <w:p>
      <w:pPr>
        <w:pStyle w:val="BodyText"/>
      </w:pPr>
    </w:p>
    <w:p>
      <w:pPr>
        <w:pStyle w:val="Heading5"/>
        <w:spacing w:before="1"/>
        <w:ind w:left="119"/>
        <w:jc w:val="left"/>
      </w:pPr>
      <w:r>
        <w:rPr>
          <w:spacing w:val="-2"/>
        </w:rPr>
        <w:t>Administration</w:t>
      </w:r>
    </w:p>
    <w:p>
      <w:pPr>
        <w:pStyle w:val="BodyText"/>
        <w:spacing w:before="49"/>
        <w:ind w:left="119" w:right="154"/>
        <w:jc w:val="both"/>
      </w:pPr>
      <w:r>
        <w:rPr/>
        <w:t>The administration of the Minor Home Rehabilitation Program shall be performed by non-profit partners that are procured by the City and</w:t>
      </w:r>
      <w:r>
        <w:rPr>
          <w:spacing w:val="-3"/>
        </w:rPr>
        <w:t> </w:t>
      </w:r>
      <w:r>
        <w:rPr/>
        <w:t>that have experience providing rehabilitation services and</w:t>
      </w:r>
      <w:r>
        <w:rPr>
          <w:spacing w:val="-10"/>
        </w:rPr>
        <w:t> </w:t>
      </w:r>
      <w:r>
        <w:rPr/>
        <w:t>have</w:t>
      </w:r>
      <w:r>
        <w:rPr>
          <w:spacing w:val="-10"/>
        </w:rPr>
        <w:t> </w:t>
      </w:r>
      <w:r>
        <w:rPr/>
        <w:t>committed</w:t>
      </w:r>
      <w:r>
        <w:rPr>
          <w:spacing w:val="-12"/>
        </w:rPr>
        <w:t> </w:t>
      </w:r>
      <w:r>
        <w:rPr/>
        <w:t>to</w:t>
      </w:r>
      <w:r>
        <w:rPr>
          <w:spacing w:val="-10"/>
        </w:rPr>
        <w:t> </w:t>
      </w:r>
      <w:r>
        <w:rPr/>
        <w:t>administering</w:t>
      </w:r>
      <w:r>
        <w:rPr>
          <w:spacing w:val="-12"/>
        </w:rPr>
        <w:t> </w:t>
      </w:r>
      <w:r>
        <w:rPr/>
        <w:t>the</w:t>
      </w:r>
      <w:r>
        <w:rPr>
          <w:spacing w:val="-10"/>
        </w:rPr>
        <w:t> </w:t>
      </w:r>
      <w:r>
        <w:rPr/>
        <w:t>program</w:t>
      </w:r>
      <w:r>
        <w:rPr>
          <w:spacing w:val="-11"/>
        </w:rPr>
        <w:t> </w:t>
      </w:r>
      <w:r>
        <w:rPr/>
        <w:t>citywide,</w:t>
      </w:r>
      <w:r>
        <w:rPr>
          <w:spacing w:val="-8"/>
        </w:rPr>
        <w:t> </w:t>
      </w:r>
      <w:r>
        <w:rPr/>
        <w:t>although</w:t>
      </w:r>
      <w:r>
        <w:rPr>
          <w:spacing w:val="-12"/>
        </w:rPr>
        <w:t> </w:t>
      </w:r>
      <w:r>
        <w:rPr/>
        <w:t>specific</w:t>
      </w:r>
      <w:r>
        <w:rPr>
          <w:spacing w:val="-9"/>
        </w:rPr>
        <w:t> </w:t>
      </w:r>
      <w:r>
        <w:rPr/>
        <w:t>geographies</w:t>
      </w:r>
      <w:r>
        <w:rPr>
          <w:spacing w:val="-9"/>
        </w:rPr>
        <w:t> </w:t>
      </w:r>
      <w:r>
        <w:rPr/>
        <w:t>can</w:t>
      </w:r>
      <w:r>
        <w:rPr>
          <w:spacing w:val="-10"/>
        </w:rPr>
        <w:t> </w:t>
      </w:r>
      <w:r>
        <w:rPr/>
        <w:t>be considered. The non-profit organization may</w:t>
      </w:r>
      <w:r>
        <w:rPr>
          <w:spacing w:val="-1"/>
        </w:rPr>
        <w:t> </w:t>
      </w:r>
      <w:r>
        <w:rPr/>
        <w:t>receive reimbursement of allowable costs as direct delivery for the program in addition to the grants for the applicants, provided the non-profit organization follows the grant requirements as provided by the City. To ensure that the correct program has been selected for the applicant, referrals shall be provided by the City. City administration of the program includes eligibility referrals, application evaluation procedures, ongoing</w:t>
      </w:r>
      <w:r>
        <w:rPr>
          <w:spacing w:val="-7"/>
        </w:rPr>
        <w:t> </w:t>
      </w:r>
      <w:r>
        <w:rPr/>
        <w:t>compliance,</w:t>
      </w:r>
      <w:r>
        <w:rPr>
          <w:spacing w:val="-5"/>
        </w:rPr>
        <w:t> </w:t>
      </w:r>
      <w:r>
        <w:rPr/>
        <w:t>and</w:t>
      </w:r>
      <w:r>
        <w:rPr>
          <w:spacing w:val="-10"/>
        </w:rPr>
        <w:t> </w:t>
      </w:r>
      <w:r>
        <w:rPr/>
        <w:t>other</w:t>
      </w:r>
      <w:r>
        <w:rPr>
          <w:spacing w:val="-9"/>
        </w:rPr>
        <w:t> </w:t>
      </w:r>
      <w:r>
        <w:rPr/>
        <w:t>duties</w:t>
      </w:r>
      <w:r>
        <w:rPr>
          <w:spacing w:val="-9"/>
        </w:rPr>
        <w:t> </w:t>
      </w:r>
      <w:r>
        <w:rPr/>
        <w:t>as</w:t>
      </w:r>
      <w:r>
        <w:rPr>
          <w:spacing w:val="-7"/>
        </w:rPr>
        <w:t> </w:t>
      </w:r>
      <w:r>
        <w:rPr/>
        <w:t>established</w:t>
      </w:r>
      <w:r>
        <w:rPr>
          <w:spacing w:val="-7"/>
        </w:rPr>
        <w:t> </w:t>
      </w:r>
      <w:r>
        <w:rPr/>
        <w:t>in</w:t>
      </w:r>
      <w:r>
        <w:rPr>
          <w:spacing w:val="-7"/>
        </w:rPr>
        <w:t> </w:t>
      </w:r>
      <w:r>
        <w:rPr/>
        <w:t>the</w:t>
      </w:r>
      <w:r>
        <w:rPr>
          <w:spacing w:val="-7"/>
        </w:rPr>
        <w:t> </w:t>
      </w:r>
      <w:r>
        <w:rPr/>
        <w:t>contract,</w:t>
      </w:r>
      <w:r>
        <w:rPr>
          <w:spacing w:val="-6"/>
        </w:rPr>
        <w:t> </w:t>
      </w:r>
      <w:r>
        <w:rPr/>
        <w:t>the</w:t>
      </w:r>
      <w:r>
        <w:rPr>
          <w:spacing w:val="-7"/>
        </w:rPr>
        <w:t> </w:t>
      </w:r>
      <w:r>
        <w:rPr/>
        <w:t>program</w:t>
      </w:r>
      <w:r>
        <w:rPr>
          <w:spacing w:val="-9"/>
        </w:rPr>
        <w:t> </w:t>
      </w:r>
      <w:r>
        <w:rPr/>
        <w:t>guidelines,</w:t>
      </w:r>
      <w:r>
        <w:rPr>
          <w:spacing w:val="-6"/>
        </w:rPr>
        <w:t> </w:t>
      </w:r>
      <w:r>
        <w:rPr/>
        <w:t>and the</w:t>
      </w:r>
      <w:r>
        <w:rPr>
          <w:spacing w:val="-6"/>
        </w:rPr>
        <w:t> </w:t>
      </w:r>
      <w:r>
        <w:rPr/>
        <w:t>policies</w:t>
      </w:r>
      <w:r>
        <w:rPr>
          <w:spacing w:val="-6"/>
        </w:rPr>
        <w:t> </w:t>
      </w:r>
      <w:r>
        <w:rPr/>
        <w:t>and</w:t>
      </w:r>
      <w:r>
        <w:rPr>
          <w:spacing w:val="-6"/>
        </w:rPr>
        <w:t> </w:t>
      </w:r>
      <w:r>
        <w:rPr/>
        <w:t>procedures.</w:t>
      </w:r>
      <w:r>
        <w:rPr>
          <w:spacing w:val="-5"/>
        </w:rPr>
        <w:t> </w:t>
      </w:r>
      <w:r>
        <w:rPr/>
        <w:t>The</w:t>
      </w:r>
      <w:r>
        <w:rPr>
          <w:spacing w:val="-6"/>
        </w:rPr>
        <w:t> </w:t>
      </w:r>
      <w:r>
        <w:rPr/>
        <w:t>City</w:t>
      </w:r>
      <w:r>
        <w:rPr>
          <w:spacing w:val="-8"/>
        </w:rPr>
        <w:t> </w:t>
      </w:r>
      <w:r>
        <w:rPr/>
        <w:t>at</w:t>
      </w:r>
      <w:r>
        <w:rPr>
          <w:spacing w:val="-7"/>
        </w:rPr>
        <w:t> </w:t>
      </w:r>
      <w:r>
        <w:rPr/>
        <w:t>its</w:t>
      </w:r>
      <w:r>
        <w:rPr>
          <w:spacing w:val="-6"/>
        </w:rPr>
        <w:t> </w:t>
      </w:r>
      <w:r>
        <w:rPr/>
        <w:t>sole</w:t>
      </w:r>
      <w:r>
        <w:rPr>
          <w:spacing w:val="-6"/>
        </w:rPr>
        <w:t> </w:t>
      </w:r>
      <w:r>
        <w:rPr/>
        <w:t>discretion</w:t>
      </w:r>
      <w:r>
        <w:rPr>
          <w:spacing w:val="-9"/>
        </w:rPr>
        <w:t> </w:t>
      </w:r>
      <w:r>
        <w:rPr/>
        <w:t>may</w:t>
      </w:r>
      <w:r>
        <w:rPr>
          <w:spacing w:val="-6"/>
        </w:rPr>
        <w:t> </w:t>
      </w:r>
      <w:r>
        <w:rPr/>
        <w:t>inspect</w:t>
      </w:r>
      <w:r>
        <w:rPr>
          <w:spacing w:val="-7"/>
        </w:rPr>
        <w:t> </w:t>
      </w:r>
      <w:r>
        <w:rPr/>
        <w:t>that</w:t>
      </w:r>
      <w:r>
        <w:rPr>
          <w:spacing w:val="-7"/>
        </w:rPr>
        <w:t> </w:t>
      </w:r>
      <w:r>
        <w:rPr/>
        <w:t>the</w:t>
      </w:r>
      <w:r>
        <w:rPr>
          <w:spacing w:val="-6"/>
        </w:rPr>
        <w:t> </w:t>
      </w:r>
      <w:r>
        <w:rPr/>
        <w:t>work</w:t>
      </w:r>
      <w:r>
        <w:rPr>
          <w:spacing w:val="-6"/>
        </w:rPr>
        <w:t> </w:t>
      </w:r>
      <w:r>
        <w:rPr/>
        <w:t>was</w:t>
      </w:r>
      <w:r>
        <w:rPr>
          <w:spacing w:val="-6"/>
        </w:rPr>
        <w:t> </w:t>
      </w:r>
      <w:r>
        <w:rPr/>
        <w:t>needed and</w:t>
      </w:r>
      <w:r>
        <w:rPr>
          <w:spacing w:val="-13"/>
        </w:rPr>
        <w:t> </w:t>
      </w:r>
      <w:r>
        <w:rPr/>
        <w:t>completed,</w:t>
      </w:r>
      <w:r>
        <w:rPr>
          <w:spacing w:val="-13"/>
        </w:rPr>
        <w:t> </w:t>
      </w:r>
      <w:r>
        <w:rPr/>
        <w:t>examine</w:t>
      </w:r>
      <w:r>
        <w:rPr>
          <w:spacing w:val="-16"/>
        </w:rPr>
        <w:t> </w:t>
      </w:r>
      <w:r>
        <w:rPr/>
        <w:t>cost</w:t>
      </w:r>
      <w:r>
        <w:rPr>
          <w:spacing w:val="-12"/>
        </w:rPr>
        <w:t> </w:t>
      </w:r>
      <w:r>
        <w:rPr/>
        <w:t>of</w:t>
      </w:r>
      <w:r>
        <w:rPr>
          <w:spacing w:val="-16"/>
        </w:rPr>
        <w:t> </w:t>
      </w:r>
      <w:r>
        <w:rPr/>
        <w:t>repairs</w:t>
      </w:r>
      <w:r>
        <w:rPr>
          <w:spacing w:val="-15"/>
        </w:rPr>
        <w:t> </w:t>
      </w:r>
      <w:r>
        <w:rPr/>
        <w:t>for</w:t>
      </w:r>
      <w:r>
        <w:rPr>
          <w:spacing w:val="-15"/>
        </w:rPr>
        <w:t> </w:t>
      </w:r>
      <w:r>
        <w:rPr/>
        <w:t>reasonableness,</w:t>
      </w:r>
      <w:r>
        <w:rPr>
          <w:spacing w:val="-13"/>
        </w:rPr>
        <w:t> </w:t>
      </w:r>
      <w:r>
        <w:rPr/>
        <w:t>review</w:t>
      </w:r>
      <w:r>
        <w:rPr>
          <w:spacing w:val="-15"/>
        </w:rPr>
        <w:t> </w:t>
      </w:r>
      <w:r>
        <w:rPr/>
        <w:t>applicant</w:t>
      </w:r>
      <w:r>
        <w:rPr>
          <w:spacing w:val="-13"/>
        </w:rPr>
        <w:t> </w:t>
      </w:r>
      <w:r>
        <w:rPr/>
        <w:t>eligibility</w:t>
      </w:r>
      <w:r>
        <w:rPr>
          <w:spacing w:val="-12"/>
        </w:rPr>
        <w:t> </w:t>
      </w:r>
      <w:r>
        <w:rPr/>
        <w:t>and</w:t>
      </w:r>
      <w:r>
        <w:rPr>
          <w:spacing w:val="-14"/>
        </w:rPr>
        <w:t> </w:t>
      </w:r>
      <w:r>
        <w:rPr/>
        <w:t>review for compliance with any other program guidelines.</w:t>
      </w:r>
    </w:p>
    <w:p>
      <w:pPr>
        <w:pStyle w:val="BodyText"/>
        <w:spacing w:before="1"/>
      </w:pPr>
    </w:p>
    <w:p>
      <w:pPr>
        <w:pStyle w:val="Heading5"/>
        <w:numPr>
          <w:ilvl w:val="1"/>
          <w:numId w:val="4"/>
        </w:numPr>
        <w:tabs>
          <w:tab w:pos="1560" w:val="left" w:leader="none"/>
        </w:tabs>
        <w:spacing w:line="252" w:lineRule="exact" w:before="0" w:after="0"/>
        <w:ind w:left="1559" w:right="0" w:hanging="361"/>
        <w:jc w:val="both"/>
      </w:pPr>
      <w:r>
        <w:rPr/>
        <w:t>Major</w:t>
      </w:r>
      <w:r>
        <w:rPr>
          <w:spacing w:val="-6"/>
        </w:rPr>
        <w:t> </w:t>
      </w:r>
      <w:r>
        <w:rPr/>
        <w:t>Home</w:t>
      </w:r>
      <w:r>
        <w:rPr>
          <w:spacing w:val="-7"/>
        </w:rPr>
        <w:t> </w:t>
      </w:r>
      <w:r>
        <w:rPr/>
        <w:t>Rehabilitation</w:t>
      </w:r>
      <w:r>
        <w:rPr>
          <w:spacing w:val="-5"/>
        </w:rPr>
        <w:t> </w:t>
      </w:r>
      <w:r>
        <w:rPr>
          <w:spacing w:val="-2"/>
        </w:rPr>
        <w:t>Program</w:t>
      </w:r>
    </w:p>
    <w:p>
      <w:pPr>
        <w:pStyle w:val="BodyText"/>
        <w:ind w:left="119" w:right="153"/>
        <w:jc w:val="both"/>
      </w:pPr>
      <w:r>
        <w:rPr/>
        <w:t>Changes are effective for applications accepted after September 9, 2021. The Major Home Rehabilitation Program is a forgivable loan program to low- and moderate-income homeowners for the purpose of making needed repairs to preserve affordable housing. Major Home Rehabilitation Program is designed to ensure the longevity of the home and to address health, safety, accessibility modification, reconstruction and structural/deferred maintenance deficiencies. Major Home Rehabilitation Program will improve suitable living conditions, health, and welfare and will expand economic opportunities that revitalize neighborhoods. Funding for this</w:t>
      </w:r>
      <w:r>
        <w:rPr>
          <w:spacing w:val="-6"/>
        </w:rPr>
        <w:t> </w:t>
      </w:r>
      <w:r>
        <w:rPr/>
        <w:t>program</w:t>
      </w:r>
      <w:r>
        <w:rPr>
          <w:spacing w:val="-8"/>
        </w:rPr>
        <w:t> </w:t>
      </w:r>
      <w:r>
        <w:rPr/>
        <w:t>is</w:t>
      </w:r>
      <w:r>
        <w:rPr>
          <w:spacing w:val="-6"/>
        </w:rPr>
        <w:t> </w:t>
      </w:r>
      <w:r>
        <w:rPr/>
        <w:t>provided</w:t>
      </w:r>
      <w:r>
        <w:rPr>
          <w:spacing w:val="-9"/>
        </w:rPr>
        <w:t> </w:t>
      </w:r>
      <w:r>
        <w:rPr/>
        <w:t>by</w:t>
      </w:r>
      <w:r>
        <w:rPr>
          <w:spacing w:val="-6"/>
        </w:rPr>
        <w:t> </w:t>
      </w:r>
      <w:r>
        <w:rPr/>
        <w:t>HUD</w:t>
      </w:r>
      <w:r>
        <w:rPr>
          <w:spacing w:val="-7"/>
        </w:rPr>
        <w:t> </w:t>
      </w:r>
      <w:r>
        <w:rPr/>
        <w:t>CDBG</w:t>
      </w:r>
      <w:r>
        <w:rPr>
          <w:spacing w:val="-5"/>
        </w:rPr>
        <w:t> </w:t>
      </w:r>
      <w:r>
        <w:rPr/>
        <w:t>funds</w:t>
      </w:r>
      <w:r>
        <w:rPr>
          <w:spacing w:val="-8"/>
        </w:rPr>
        <w:t> </w:t>
      </w:r>
      <w:r>
        <w:rPr/>
        <w:t>(limited</w:t>
      </w:r>
      <w:r>
        <w:rPr>
          <w:spacing w:val="-9"/>
        </w:rPr>
        <w:t> </w:t>
      </w:r>
      <w:r>
        <w:rPr/>
        <w:t>to</w:t>
      </w:r>
      <w:r>
        <w:rPr>
          <w:spacing w:val="-6"/>
        </w:rPr>
        <w:t> </w:t>
      </w:r>
      <w:r>
        <w:rPr/>
        <w:t>assistance</w:t>
      </w:r>
      <w:r>
        <w:rPr>
          <w:spacing w:val="-6"/>
        </w:rPr>
        <w:t> </w:t>
      </w:r>
      <w:r>
        <w:rPr/>
        <w:t>provided</w:t>
      </w:r>
      <w:r>
        <w:rPr>
          <w:spacing w:val="-6"/>
        </w:rPr>
        <w:t> </w:t>
      </w:r>
      <w:r>
        <w:rPr/>
        <w:t>to</w:t>
      </w:r>
      <w:r>
        <w:rPr>
          <w:spacing w:val="-6"/>
        </w:rPr>
        <w:t> </w:t>
      </w:r>
      <w:r>
        <w:rPr/>
        <w:t>households</w:t>
      </w:r>
      <w:r>
        <w:rPr>
          <w:spacing w:val="-6"/>
        </w:rPr>
        <w:t> </w:t>
      </w:r>
      <w:r>
        <w:rPr/>
        <w:t>at</w:t>
      </w:r>
      <w:r>
        <w:rPr>
          <w:spacing w:val="-7"/>
        </w:rPr>
        <w:t> </w:t>
      </w:r>
      <w:r>
        <w:rPr/>
        <w:t>or</w:t>
      </w:r>
    </w:p>
    <w:p>
      <w:pPr>
        <w:spacing w:after="0"/>
        <w:jc w:val="both"/>
        <w:sectPr>
          <w:pgSz w:w="12240" w:h="15840"/>
          <w:pgMar w:header="0" w:footer="1738" w:top="1360" w:bottom="1920" w:left="1320" w:right="1280"/>
        </w:sectPr>
      </w:pPr>
    </w:p>
    <w:p>
      <w:pPr>
        <w:pStyle w:val="BodyText"/>
        <w:spacing w:before="80"/>
        <w:ind w:left="120" w:right="156" w:hanging="1"/>
        <w:jc w:val="both"/>
      </w:pPr>
      <w:r>
        <w:rPr/>
        <w:t>below</w:t>
      </w:r>
      <w:r>
        <w:rPr>
          <w:spacing w:val="-8"/>
        </w:rPr>
        <w:t> </w:t>
      </w:r>
      <w:r>
        <w:rPr/>
        <w:t>80%</w:t>
      </w:r>
      <w:r>
        <w:rPr>
          <w:spacing w:val="-6"/>
        </w:rPr>
        <w:t> </w:t>
      </w:r>
      <w:r>
        <w:rPr/>
        <w:t>of</w:t>
      </w:r>
      <w:r>
        <w:rPr>
          <w:spacing w:val="-8"/>
        </w:rPr>
        <w:t> </w:t>
      </w:r>
      <w:r>
        <w:rPr/>
        <w:t>area</w:t>
      </w:r>
      <w:r>
        <w:rPr>
          <w:spacing w:val="-12"/>
        </w:rPr>
        <w:t> </w:t>
      </w:r>
      <w:r>
        <w:rPr/>
        <w:t>median</w:t>
      </w:r>
      <w:r>
        <w:rPr>
          <w:spacing w:val="-7"/>
        </w:rPr>
        <w:t> </w:t>
      </w:r>
      <w:r>
        <w:rPr/>
        <w:t>family</w:t>
      </w:r>
      <w:r>
        <w:rPr>
          <w:spacing w:val="-7"/>
        </w:rPr>
        <w:t> </w:t>
      </w:r>
      <w:r>
        <w:rPr/>
        <w:t>income</w:t>
      </w:r>
      <w:r>
        <w:rPr>
          <w:spacing w:val="-10"/>
        </w:rPr>
        <w:t> </w:t>
      </w:r>
      <w:r>
        <w:rPr/>
        <w:t>(AMI);</w:t>
      </w:r>
      <w:r>
        <w:rPr>
          <w:spacing w:val="-11"/>
        </w:rPr>
        <w:t> </w:t>
      </w:r>
      <w:r>
        <w:rPr/>
        <w:t>and</w:t>
      </w:r>
      <w:r>
        <w:rPr>
          <w:spacing w:val="-7"/>
        </w:rPr>
        <w:t> </w:t>
      </w:r>
      <w:r>
        <w:rPr/>
        <w:t>potentially</w:t>
      </w:r>
      <w:r>
        <w:rPr>
          <w:spacing w:val="-7"/>
        </w:rPr>
        <w:t> </w:t>
      </w:r>
      <w:r>
        <w:rPr/>
        <w:t>non-federal</w:t>
      </w:r>
      <w:r>
        <w:rPr>
          <w:spacing w:val="-8"/>
        </w:rPr>
        <w:t> </w:t>
      </w:r>
      <w:r>
        <w:rPr/>
        <w:t>funds</w:t>
      </w:r>
      <w:r>
        <w:rPr>
          <w:spacing w:val="-9"/>
        </w:rPr>
        <w:t> </w:t>
      </w:r>
      <w:r>
        <w:rPr/>
        <w:t>for</w:t>
      </w:r>
      <w:r>
        <w:rPr>
          <w:spacing w:val="-9"/>
        </w:rPr>
        <w:t> </w:t>
      </w:r>
      <w:r>
        <w:rPr/>
        <w:t>households at or below 120% AMI. Not to exceed 27% of the HOME Homeownership Value Limits, as established by HUD.</w:t>
      </w:r>
    </w:p>
    <w:p>
      <w:pPr>
        <w:pStyle w:val="BodyText"/>
      </w:pPr>
    </w:p>
    <w:p>
      <w:pPr>
        <w:pStyle w:val="Heading5"/>
      </w:pPr>
      <w:r>
        <w:rPr/>
        <w:t>Applicant</w:t>
      </w:r>
      <w:r>
        <w:rPr>
          <w:spacing w:val="-6"/>
        </w:rPr>
        <w:t> </w:t>
      </w:r>
      <w:r>
        <w:rPr>
          <w:spacing w:val="-2"/>
        </w:rPr>
        <w:t>Eligibility</w:t>
      </w:r>
    </w:p>
    <w:p>
      <w:pPr>
        <w:pStyle w:val="ListParagraph"/>
        <w:numPr>
          <w:ilvl w:val="0"/>
          <w:numId w:val="5"/>
        </w:numPr>
        <w:tabs>
          <w:tab w:pos="841" w:val="left" w:leader="none"/>
        </w:tabs>
        <w:spacing w:line="240" w:lineRule="auto" w:before="52" w:after="0"/>
        <w:ind w:left="840" w:right="156" w:hanging="361"/>
        <w:jc w:val="both"/>
        <w:rPr>
          <w:sz w:val="22"/>
        </w:rPr>
      </w:pPr>
      <w:r>
        <w:rPr/>
        <w:pict>
          <v:shape style="position:absolute;margin-left:90.065002pt;margin-top:33.956783pt;width:395.3pt;height:419pt;mso-position-horizontal-relative:page;mso-position-vertical-relative:paragraph;z-index:-17736192" id="docshape22" coordorigin="1801,679" coordsize="7906,8380" path="m4498,7943l4492,7869,4477,7791,4455,7708,4432,7639,4403,7567,4367,7492,4325,7414,4276,7334,4237,7275,4200,7224,4200,7910,4197,7966,4186,8023,4167,8080,4138,8140,4097,8203,4044,8269,3979,8338,3674,8644,2216,7186,2517,6885,2598,6809,2672,6749,2740,6706,2801,6679,2868,6664,2941,6660,3020,6667,3105,6685,3195,6714,3255,6740,3317,6772,3380,6811,3446,6856,3514,6907,3584,6965,3656,7030,3729,7102,3789,7163,3845,7223,3896,7282,3943,7340,3986,7397,4025,7452,4059,7506,4101,7580,4136,7653,4163,7722,4183,7789,4196,7853,4200,7910,4200,7224,4194,7215,4148,7155,4098,7094,4045,7033,3989,6972,3929,6910,3865,6848,3801,6790,3737,6735,3673,6683,3643,6660,3609,6635,3546,6591,3482,6549,3419,6512,3346,6474,3274,6441,3203,6414,3132,6392,3062,6375,2992,6363,2923,6356,2850,6354,2779,6361,2709,6376,2642,6399,2577,6429,2528,6458,2476,6495,2420,6540,2359,6594,2294,6657,1801,7150,3710,9058,4124,8644,4226,8542,4287,8477,4341,8411,4386,8345,4424,8279,4454,8212,4476,8146,4491,8079,4498,8011,4498,7943xm6418,6350l6056,6222,5650,6079,5561,6050,5475,6026,5393,6007,5365,6002,5314,5993,5239,5983,5193,5981,5143,5984,5089,5991,5030,6002,5073,5932,5109,5863,5136,5793,5154,5725,5164,5656,5165,5588,5157,5520,5139,5442,5111,5366,5075,5291,5030,5219,4976,5148,4956,5125,4913,5079,4872,5041,4872,5598,4868,5654,4854,5709,4830,5765,4794,5824,4747,5885,4687,5948,4280,6356,3649,5724,4102,5271,4166,5214,4229,5171,4293,5142,4358,5126,4422,5125,4501,5140,4577,5170,4649,5215,4718,5274,4761,5322,4797,5373,4827,5426,4851,5483,4867,5541,4872,5598,4872,5041,4849,5020,4782,4967,4713,4922,4641,4883,4566,4851,4474,4823,4386,4810,4303,4812,4225,4828,4163,4853,4098,4889,4030,4938,3958,4997,3883,5068,3248,5703,5157,7611,5346,7422,4499,6574,4718,6356,4753,6321,4783,6294,4810,6273,4833,6258,4863,6245,4896,6234,4932,6226,4971,6222,5014,6222,5066,6227,5125,6238,5194,6254,5256,6271,5328,6292,5407,6317,5496,6346,6180,6588,6418,6350xm7780,4987l7415,4792,6555,4338,6555,4645,6070,5131,6030,5059,5989,4987,5748,4557,5708,4485,5668,4414,5629,4348,5590,4283,5550,4219,5509,4156,5467,4094,5424,4033,5380,3972,5436,4008,5498,4046,5564,4085,5635,4127,5792,4218,6555,4645,6555,4338,5862,3972,5286,3665,5082,3869,5277,4220,5316,4290,5701,4987,6207,5906,6441,6327,6642,6126,6565,5993,6298,5524,6221,5391,6481,5131,6820,4792,7173,4987,7565,5203,7780,4987xm8131,4637l7264,3770,7936,3098,7711,2873,7039,3545,6448,2954,7224,2178,6999,1952,6033,2918,7941,4826,8131,4637xm9707,3061l8024,1378,8497,904,8272,679,7138,1814,7363,2039,7834,1567,9517,3250,9707,3061xe" filled="true" fillcolor="#c0c0c0" stroked="false">
            <v:path arrowok="t"/>
            <v:fill opacity="32896f" type="solid"/>
            <w10:wrap type="none"/>
          </v:shape>
        </w:pict>
      </w:r>
      <w:r>
        <w:rPr>
          <w:sz w:val="22"/>
        </w:rPr>
        <w:t>Applicants must be the owner of the home to be repaired and must have occupied the home</w:t>
      </w:r>
      <w:r>
        <w:rPr>
          <w:spacing w:val="-5"/>
          <w:sz w:val="22"/>
        </w:rPr>
        <w:t> </w:t>
      </w:r>
      <w:r>
        <w:rPr>
          <w:sz w:val="22"/>
        </w:rPr>
        <w:t>for</w:t>
      </w:r>
      <w:r>
        <w:rPr>
          <w:spacing w:val="-4"/>
          <w:sz w:val="22"/>
        </w:rPr>
        <w:t> </w:t>
      </w:r>
      <w:r>
        <w:rPr>
          <w:sz w:val="22"/>
        </w:rPr>
        <w:t>at</w:t>
      </w:r>
      <w:r>
        <w:rPr>
          <w:spacing w:val="-1"/>
          <w:sz w:val="22"/>
        </w:rPr>
        <w:t> </w:t>
      </w:r>
      <w:r>
        <w:rPr>
          <w:sz w:val="22"/>
        </w:rPr>
        <w:t>least</w:t>
      </w:r>
      <w:r>
        <w:rPr>
          <w:spacing w:val="-4"/>
          <w:sz w:val="22"/>
        </w:rPr>
        <w:t> </w:t>
      </w:r>
      <w:r>
        <w:rPr>
          <w:sz w:val="22"/>
        </w:rPr>
        <w:t>six</w:t>
      </w:r>
      <w:r>
        <w:rPr>
          <w:spacing w:val="-5"/>
          <w:sz w:val="22"/>
        </w:rPr>
        <w:t> </w:t>
      </w:r>
      <w:r>
        <w:rPr>
          <w:sz w:val="22"/>
        </w:rPr>
        <w:t>months</w:t>
      </w:r>
      <w:r>
        <w:rPr>
          <w:spacing w:val="-2"/>
          <w:sz w:val="22"/>
        </w:rPr>
        <w:t> </w:t>
      </w:r>
      <w:r>
        <w:rPr>
          <w:sz w:val="22"/>
        </w:rPr>
        <w:t>prior</w:t>
      </w:r>
      <w:r>
        <w:rPr>
          <w:spacing w:val="-4"/>
          <w:sz w:val="22"/>
        </w:rPr>
        <w:t> </w:t>
      </w:r>
      <w:r>
        <w:rPr>
          <w:sz w:val="22"/>
        </w:rPr>
        <w:t>to</w:t>
      </w:r>
      <w:r>
        <w:rPr>
          <w:spacing w:val="-5"/>
          <w:sz w:val="22"/>
        </w:rPr>
        <w:t> </w:t>
      </w:r>
      <w:r>
        <w:rPr>
          <w:sz w:val="22"/>
        </w:rPr>
        <w:t>the</w:t>
      </w:r>
      <w:r>
        <w:rPr>
          <w:spacing w:val="-5"/>
          <w:sz w:val="22"/>
        </w:rPr>
        <w:t> </w:t>
      </w:r>
      <w:r>
        <w:rPr>
          <w:sz w:val="22"/>
        </w:rPr>
        <w:t>date</w:t>
      </w:r>
      <w:r>
        <w:rPr>
          <w:spacing w:val="-3"/>
          <w:sz w:val="22"/>
        </w:rPr>
        <w:t> </w:t>
      </w:r>
      <w:r>
        <w:rPr>
          <w:sz w:val="22"/>
        </w:rPr>
        <w:t>of</w:t>
      </w:r>
      <w:r>
        <w:rPr>
          <w:spacing w:val="-3"/>
          <w:sz w:val="22"/>
        </w:rPr>
        <w:t> </w:t>
      </w:r>
      <w:r>
        <w:rPr>
          <w:sz w:val="22"/>
        </w:rPr>
        <w:t>application</w:t>
      </w:r>
      <w:r>
        <w:rPr>
          <w:spacing w:val="-3"/>
          <w:sz w:val="22"/>
        </w:rPr>
        <w:t> </w:t>
      </w:r>
      <w:r>
        <w:rPr>
          <w:sz w:val="22"/>
        </w:rPr>
        <w:t>(“Applicant”).</w:t>
      </w:r>
      <w:r>
        <w:rPr>
          <w:spacing w:val="-1"/>
          <w:sz w:val="22"/>
        </w:rPr>
        <w:t> </w:t>
      </w:r>
      <w:r>
        <w:rPr>
          <w:sz w:val="22"/>
        </w:rPr>
        <w:t>Applicants</w:t>
      </w:r>
      <w:r>
        <w:rPr>
          <w:spacing w:val="-3"/>
          <w:sz w:val="22"/>
        </w:rPr>
        <w:t> </w:t>
      </w:r>
      <w:r>
        <w:rPr>
          <w:sz w:val="22"/>
        </w:rPr>
        <w:t>must submit a deed showing the conveyance, or similar documentation acceptable to the City in its sole discretion, that proves ownership in fee simple.</w:t>
      </w:r>
    </w:p>
    <w:p>
      <w:pPr>
        <w:pStyle w:val="ListParagraph"/>
        <w:numPr>
          <w:ilvl w:val="0"/>
          <w:numId w:val="5"/>
        </w:numPr>
        <w:tabs>
          <w:tab w:pos="841" w:val="left" w:leader="none"/>
        </w:tabs>
        <w:spacing w:line="237" w:lineRule="auto" w:before="1" w:after="0"/>
        <w:ind w:left="840" w:right="155" w:hanging="361"/>
        <w:jc w:val="both"/>
        <w:rPr>
          <w:sz w:val="22"/>
        </w:rPr>
      </w:pPr>
      <w:r>
        <w:rPr>
          <w:sz w:val="22"/>
        </w:rPr>
        <w:t>Applicants must be a U.S. citizen or lawful permanent resident, and they must hold a current Texas state-issued identification card or driver’s license. Unless allowed by HUD or other applicable law.</w:t>
      </w:r>
    </w:p>
    <w:p>
      <w:pPr>
        <w:pStyle w:val="ListParagraph"/>
        <w:numPr>
          <w:ilvl w:val="0"/>
          <w:numId w:val="5"/>
        </w:numPr>
        <w:tabs>
          <w:tab w:pos="841" w:val="left" w:leader="none"/>
        </w:tabs>
        <w:spacing w:line="237" w:lineRule="auto" w:before="4" w:after="0"/>
        <w:ind w:left="840" w:right="155" w:hanging="361"/>
        <w:jc w:val="both"/>
        <w:rPr>
          <w:sz w:val="22"/>
        </w:rPr>
      </w:pPr>
      <w:r>
        <w:rPr>
          <w:sz w:val="22"/>
        </w:rPr>
        <w:t>Applicants must be current on mortgage payments and shall not be in default under the mortgage documents associated with the property or in default under any lien on the </w:t>
      </w:r>
      <w:r>
        <w:rPr>
          <w:spacing w:val="-2"/>
          <w:sz w:val="22"/>
        </w:rPr>
        <w:t>property.</w:t>
      </w:r>
    </w:p>
    <w:p>
      <w:pPr>
        <w:pStyle w:val="ListParagraph"/>
        <w:numPr>
          <w:ilvl w:val="0"/>
          <w:numId w:val="5"/>
        </w:numPr>
        <w:tabs>
          <w:tab w:pos="842" w:val="left" w:leader="none"/>
        </w:tabs>
        <w:spacing w:line="240" w:lineRule="auto" w:before="3" w:after="0"/>
        <w:ind w:left="841" w:right="154" w:hanging="361"/>
        <w:jc w:val="both"/>
        <w:rPr>
          <w:sz w:val="22"/>
        </w:rPr>
      </w:pPr>
      <w:r>
        <w:rPr>
          <w:sz w:val="22"/>
        </w:rPr>
        <w:t>Applicants must not have more than one outstanding loan on the property. The City will only accept a first or second lien position. Applicants having a reverse mortgage on the property are not eligible for this program.</w:t>
      </w:r>
    </w:p>
    <w:p>
      <w:pPr>
        <w:pStyle w:val="ListParagraph"/>
        <w:numPr>
          <w:ilvl w:val="0"/>
          <w:numId w:val="5"/>
        </w:numPr>
        <w:tabs>
          <w:tab w:pos="842" w:val="left" w:leader="none"/>
        </w:tabs>
        <w:spacing w:line="237" w:lineRule="auto" w:before="2" w:after="0"/>
        <w:ind w:left="841" w:right="157" w:hanging="361"/>
        <w:jc w:val="both"/>
        <w:rPr>
          <w:sz w:val="22"/>
        </w:rPr>
      </w:pPr>
      <w:r>
        <w:rPr>
          <w:sz w:val="22"/>
        </w:rPr>
        <w:t>Property taxes must be current and not delinquent for any tax year unless the Applicant has</w:t>
      </w:r>
      <w:r>
        <w:rPr>
          <w:spacing w:val="-7"/>
          <w:sz w:val="22"/>
        </w:rPr>
        <w:t> </w:t>
      </w:r>
      <w:r>
        <w:rPr>
          <w:sz w:val="22"/>
        </w:rPr>
        <w:t>entered</w:t>
      </w:r>
      <w:r>
        <w:rPr>
          <w:spacing w:val="-10"/>
          <w:sz w:val="22"/>
        </w:rPr>
        <w:t> </w:t>
      </w:r>
      <w:r>
        <w:rPr>
          <w:sz w:val="22"/>
        </w:rPr>
        <w:t>into</w:t>
      </w:r>
      <w:r>
        <w:rPr>
          <w:spacing w:val="-10"/>
          <w:sz w:val="22"/>
        </w:rPr>
        <w:t> </w:t>
      </w:r>
      <w:r>
        <w:rPr>
          <w:sz w:val="22"/>
        </w:rPr>
        <w:t>a</w:t>
      </w:r>
      <w:r>
        <w:rPr>
          <w:spacing w:val="-10"/>
          <w:sz w:val="22"/>
        </w:rPr>
        <w:t> </w:t>
      </w:r>
      <w:r>
        <w:rPr>
          <w:sz w:val="22"/>
        </w:rPr>
        <w:t>written</w:t>
      </w:r>
      <w:r>
        <w:rPr>
          <w:spacing w:val="-10"/>
          <w:sz w:val="22"/>
        </w:rPr>
        <w:t> </w:t>
      </w:r>
      <w:r>
        <w:rPr>
          <w:sz w:val="22"/>
        </w:rPr>
        <w:t>agreement</w:t>
      </w:r>
      <w:r>
        <w:rPr>
          <w:spacing w:val="-8"/>
          <w:sz w:val="22"/>
        </w:rPr>
        <w:t> </w:t>
      </w:r>
      <w:r>
        <w:rPr>
          <w:sz w:val="22"/>
        </w:rPr>
        <w:t>with</w:t>
      </w:r>
      <w:r>
        <w:rPr>
          <w:spacing w:val="-10"/>
          <w:sz w:val="22"/>
        </w:rPr>
        <w:t> </w:t>
      </w:r>
      <w:r>
        <w:rPr>
          <w:sz w:val="22"/>
        </w:rPr>
        <w:t>the</w:t>
      </w:r>
      <w:r>
        <w:rPr>
          <w:spacing w:val="-10"/>
          <w:sz w:val="22"/>
        </w:rPr>
        <w:t> </w:t>
      </w:r>
      <w:r>
        <w:rPr>
          <w:sz w:val="22"/>
        </w:rPr>
        <w:t>taxing</w:t>
      </w:r>
      <w:r>
        <w:rPr>
          <w:spacing w:val="-7"/>
          <w:sz w:val="22"/>
        </w:rPr>
        <w:t> </w:t>
      </w:r>
      <w:r>
        <w:rPr>
          <w:sz w:val="22"/>
        </w:rPr>
        <w:t>authority</w:t>
      </w:r>
      <w:r>
        <w:rPr>
          <w:spacing w:val="-9"/>
          <w:sz w:val="22"/>
        </w:rPr>
        <w:t> </w:t>
      </w:r>
      <w:r>
        <w:rPr>
          <w:sz w:val="22"/>
        </w:rPr>
        <w:t>outlining</w:t>
      </w:r>
      <w:r>
        <w:rPr>
          <w:spacing w:val="-7"/>
          <w:sz w:val="22"/>
        </w:rPr>
        <w:t> </w:t>
      </w:r>
      <w:r>
        <w:rPr>
          <w:sz w:val="22"/>
        </w:rPr>
        <w:t>a</w:t>
      </w:r>
      <w:r>
        <w:rPr>
          <w:spacing w:val="-10"/>
          <w:sz w:val="22"/>
        </w:rPr>
        <w:t> </w:t>
      </w:r>
      <w:r>
        <w:rPr>
          <w:sz w:val="22"/>
        </w:rPr>
        <w:t>payment</w:t>
      </w:r>
      <w:r>
        <w:rPr>
          <w:spacing w:val="-8"/>
          <w:sz w:val="22"/>
        </w:rPr>
        <w:t> </w:t>
      </w:r>
      <w:r>
        <w:rPr>
          <w:sz w:val="22"/>
        </w:rPr>
        <w:t>plan</w:t>
      </w:r>
      <w:r>
        <w:rPr>
          <w:spacing w:val="-10"/>
          <w:sz w:val="22"/>
        </w:rPr>
        <w:t> </w:t>
      </w:r>
      <w:r>
        <w:rPr>
          <w:sz w:val="22"/>
        </w:rPr>
        <w:t>for delinquent taxes and is abiding to the written agreement.</w:t>
      </w:r>
    </w:p>
    <w:p>
      <w:pPr>
        <w:pStyle w:val="ListParagraph"/>
        <w:numPr>
          <w:ilvl w:val="0"/>
          <w:numId w:val="5"/>
        </w:numPr>
        <w:tabs>
          <w:tab w:pos="842" w:val="left" w:leader="none"/>
        </w:tabs>
        <w:spacing w:line="240" w:lineRule="auto" w:before="2" w:after="0"/>
        <w:ind w:left="841" w:right="153" w:hanging="361"/>
        <w:jc w:val="both"/>
        <w:rPr>
          <w:sz w:val="22"/>
        </w:rPr>
      </w:pPr>
      <w:r>
        <w:rPr>
          <w:sz w:val="22"/>
        </w:rPr>
        <w:t>Applicants must have a gross annual household income at or below the applicable low- and</w:t>
      </w:r>
      <w:r>
        <w:rPr>
          <w:spacing w:val="-5"/>
          <w:sz w:val="22"/>
        </w:rPr>
        <w:t> </w:t>
      </w:r>
      <w:r>
        <w:rPr>
          <w:sz w:val="22"/>
        </w:rPr>
        <w:t>moderate-income</w:t>
      </w:r>
      <w:r>
        <w:rPr>
          <w:spacing w:val="-5"/>
          <w:sz w:val="22"/>
        </w:rPr>
        <w:t> </w:t>
      </w:r>
      <w:r>
        <w:rPr>
          <w:sz w:val="22"/>
        </w:rPr>
        <w:t>limits.</w:t>
      </w:r>
      <w:r>
        <w:rPr>
          <w:spacing w:val="-6"/>
          <w:sz w:val="22"/>
        </w:rPr>
        <w:t> </w:t>
      </w:r>
      <w:r>
        <w:rPr>
          <w:sz w:val="22"/>
        </w:rPr>
        <w:t>Applicants</w:t>
      </w:r>
      <w:r>
        <w:rPr>
          <w:spacing w:val="-5"/>
          <w:sz w:val="22"/>
        </w:rPr>
        <w:t> </w:t>
      </w:r>
      <w:r>
        <w:rPr>
          <w:sz w:val="22"/>
        </w:rPr>
        <w:t>must</w:t>
      </w:r>
      <w:r>
        <w:rPr>
          <w:spacing w:val="-3"/>
          <w:sz w:val="22"/>
        </w:rPr>
        <w:t> </w:t>
      </w:r>
      <w:r>
        <w:rPr>
          <w:sz w:val="22"/>
        </w:rPr>
        <w:t>be</w:t>
      </w:r>
      <w:r>
        <w:rPr>
          <w:spacing w:val="-7"/>
          <w:sz w:val="22"/>
        </w:rPr>
        <w:t> </w:t>
      </w:r>
      <w:r>
        <w:rPr>
          <w:sz w:val="22"/>
        </w:rPr>
        <w:t>at</w:t>
      </w:r>
      <w:r>
        <w:rPr>
          <w:spacing w:val="-4"/>
          <w:sz w:val="22"/>
        </w:rPr>
        <w:t> </w:t>
      </w:r>
      <w:r>
        <w:rPr>
          <w:sz w:val="22"/>
        </w:rPr>
        <w:t>or</w:t>
      </w:r>
      <w:r>
        <w:rPr>
          <w:spacing w:val="-4"/>
          <w:sz w:val="22"/>
        </w:rPr>
        <w:t> </w:t>
      </w:r>
      <w:r>
        <w:rPr>
          <w:sz w:val="22"/>
        </w:rPr>
        <w:t>below</w:t>
      </w:r>
      <w:r>
        <w:rPr>
          <w:spacing w:val="-6"/>
          <w:sz w:val="22"/>
        </w:rPr>
        <w:t> </w:t>
      </w:r>
      <w:r>
        <w:rPr>
          <w:sz w:val="22"/>
        </w:rPr>
        <w:t>80%</w:t>
      </w:r>
      <w:r>
        <w:rPr>
          <w:spacing w:val="-4"/>
          <w:sz w:val="22"/>
        </w:rPr>
        <w:t> </w:t>
      </w:r>
      <w:r>
        <w:rPr>
          <w:sz w:val="22"/>
        </w:rPr>
        <w:t>AMI</w:t>
      </w:r>
      <w:r>
        <w:rPr>
          <w:spacing w:val="-4"/>
          <w:sz w:val="22"/>
        </w:rPr>
        <w:t> </w:t>
      </w:r>
      <w:r>
        <w:rPr>
          <w:sz w:val="22"/>
        </w:rPr>
        <w:t>when</w:t>
      </w:r>
      <w:r>
        <w:rPr>
          <w:spacing w:val="-5"/>
          <w:sz w:val="22"/>
        </w:rPr>
        <w:t> </w:t>
      </w:r>
      <w:r>
        <w:rPr>
          <w:sz w:val="22"/>
        </w:rPr>
        <w:t>CDBG</w:t>
      </w:r>
      <w:r>
        <w:rPr>
          <w:spacing w:val="-4"/>
          <w:sz w:val="22"/>
        </w:rPr>
        <w:t> </w:t>
      </w:r>
      <w:r>
        <w:rPr>
          <w:sz w:val="22"/>
        </w:rPr>
        <w:t>funds are used</w:t>
      </w:r>
      <w:r>
        <w:rPr>
          <w:spacing w:val="-3"/>
          <w:sz w:val="22"/>
        </w:rPr>
        <w:t> </w:t>
      </w:r>
      <w:r>
        <w:rPr>
          <w:sz w:val="22"/>
        </w:rPr>
        <w:t>or at</w:t>
      </w:r>
      <w:r>
        <w:rPr>
          <w:spacing w:val="-1"/>
          <w:sz w:val="22"/>
        </w:rPr>
        <w:t> </w:t>
      </w:r>
      <w:r>
        <w:rPr>
          <w:sz w:val="22"/>
        </w:rPr>
        <w:t>or</w:t>
      </w:r>
      <w:r>
        <w:rPr>
          <w:spacing w:val="-1"/>
          <w:sz w:val="22"/>
        </w:rPr>
        <w:t> </w:t>
      </w:r>
      <w:r>
        <w:rPr>
          <w:sz w:val="22"/>
        </w:rPr>
        <w:t>below</w:t>
      </w:r>
      <w:r>
        <w:rPr>
          <w:spacing w:val="-1"/>
          <w:sz w:val="22"/>
        </w:rPr>
        <w:t> </w:t>
      </w:r>
      <w:r>
        <w:rPr>
          <w:sz w:val="22"/>
        </w:rPr>
        <w:t>120% of</w:t>
      </w:r>
      <w:r>
        <w:rPr>
          <w:spacing w:val="-1"/>
          <w:sz w:val="22"/>
        </w:rPr>
        <w:t> </w:t>
      </w:r>
      <w:r>
        <w:rPr>
          <w:sz w:val="22"/>
        </w:rPr>
        <w:t>AMI when</w:t>
      </w:r>
      <w:r>
        <w:rPr>
          <w:spacing w:val="-3"/>
          <w:sz w:val="22"/>
        </w:rPr>
        <w:t> </w:t>
      </w:r>
      <w:r>
        <w:rPr>
          <w:sz w:val="22"/>
        </w:rPr>
        <w:t>non-federal</w:t>
      </w:r>
      <w:r>
        <w:rPr>
          <w:spacing w:val="-1"/>
          <w:sz w:val="22"/>
        </w:rPr>
        <w:t> </w:t>
      </w:r>
      <w:r>
        <w:rPr>
          <w:sz w:val="22"/>
        </w:rPr>
        <w:t>funds are</w:t>
      </w:r>
      <w:r>
        <w:rPr>
          <w:spacing w:val="-3"/>
          <w:sz w:val="22"/>
        </w:rPr>
        <w:t> </w:t>
      </w:r>
      <w:r>
        <w:rPr>
          <w:sz w:val="22"/>
        </w:rPr>
        <w:t>used</w:t>
      </w:r>
      <w:r>
        <w:rPr>
          <w:spacing w:val="-3"/>
          <w:sz w:val="22"/>
        </w:rPr>
        <w:t> </w:t>
      </w:r>
      <w:r>
        <w:rPr>
          <w:sz w:val="22"/>
        </w:rPr>
        <w:t>as</w:t>
      </w:r>
      <w:r>
        <w:rPr>
          <w:spacing w:val="-2"/>
          <w:sz w:val="22"/>
        </w:rPr>
        <w:t> </w:t>
      </w:r>
      <w:r>
        <w:rPr>
          <w:sz w:val="22"/>
        </w:rPr>
        <w:t>established by HUD for the jurisdiction of Dallas, Texas. Income shall be calculated using the Part 5 method as outlined in 24 CFR 5.609. Income eligibility shall be determined at the</w:t>
      </w:r>
      <w:r>
        <w:rPr>
          <w:spacing w:val="-2"/>
          <w:sz w:val="22"/>
        </w:rPr>
        <w:t> </w:t>
      </w:r>
      <w:r>
        <w:rPr>
          <w:sz w:val="22"/>
        </w:rPr>
        <w:t>time of the</w:t>
      </w:r>
      <w:r>
        <w:rPr>
          <w:spacing w:val="-5"/>
          <w:sz w:val="22"/>
        </w:rPr>
        <w:t> </w:t>
      </w:r>
      <w:r>
        <w:rPr>
          <w:sz w:val="22"/>
        </w:rPr>
        <w:t>application.</w:t>
      </w:r>
      <w:r>
        <w:rPr>
          <w:spacing w:val="-6"/>
          <w:sz w:val="22"/>
        </w:rPr>
        <w:t> </w:t>
      </w:r>
      <w:r>
        <w:rPr>
          <w:sz w:val="22"/>
        </w:rPr>
        <w:t>Applicant</w:t>
      </w:r>
      <w:r>
        <w:rPr>
          <w:spacing w:val="-4"/>
          <w:sz w:val="22"/>
        </w:rPr>
        <w:t> </w:t>
      </w:r>
      <w:r>
        <w:rPr>
          <w:sz w:val="22"/>
        </w:rPr>
        <w:t>household</w:t>
      </w:r>
      <w:r>
        <w:rPr>
          <w:spacing w:val="-7"/>
          <w:sz w:val="22"/>
        </w:rPr>
        <w:t> </w:t>
      </w:r>
      <w:r>
        <w:rPr>
          <w:sz w:val="22"/>
        </w:rPr>
        <w:t>income</w:t>
      </w:r>
      <w:r>
        <w:rPr>
          <w:spacing w:val="-7"/>
          <w:sz w:val="22"/>
        </w:rPr>
        <w:t> </w:t>
      </w:r>
      <w:r>
        <w:rPr>
          <w:sz w:val="22"/>
        </w:rPr>
        <w:t>eligibility</w:t>
      </w:r>
      <w:r>
        <w:rPr>
          <w:spacing w:val="-5"/>
          <w:sz w:val="22"/>
        </w:rPr>
        <w:t> </w:t>
      </w:r>
      <w:r>
        <w:rPr>
          <w:sz w:val="22"/>
        </w:rPr>
        <w:t>is</w:t>
      </w:r>
      <w:r>
        <w:rPr>
          <w:spacing w:val="-5"/>
          <w:sz w:val="22"/>
        </w:rPr>
        <w:t> </w:t>
      </w:r>
      <w:r>
        <w:rPr>
          <w:sz w:val="22"/>
        </w:rPr>
        <w:t>only</w:t>
      </w:r>
      <w:r>
        <w:rPr>
          <w:spacing w:val="-7"/>
          <w:sz w:val="22"/>
        </w:rPr>
        <w:t> </w:t>
      </w:r>
      <w:r>
        <w:rPr>
          <w:sz w:val="22"/>
        </w:rPr>
        <w:t>valid</w:t>
      </w:r>
      <w:r>
        <w:rPr>
          <w:spacing w:val="-8"/>
          <w:sz w:val="22"/>
        </w:rPr>
        <w:t> </w:t>
      </w:r>
      <w:r>
        <w:rPr>
          <w:sz w:val="22"/>
        </w:rPr>
        <w:t>for</w:t>
      </w:r>
      <w:r>
        <w:rPr>
          <w:spacing w:val="-6"/>
          <w:sz w:val="22"/>
        </w:rPr>
        <w:t> </w:t>
      </w:r>
      <w:r>
        <w:rPr>
          <w:sz w:val="22"/>
        </w:rPr>
        <w:t>six</w:t>
      </w:r>
      <w:r>
        <w:rPr>
          <w:spacing w:val="-9"/>
          <w:sz w:val="22"/>
        </w:rPr>
        <w:t> </w:t>
      </w:r>
      <w:r>
        <w:rPr>
          <w:sz w:val="22"/>
        </w:rPr>
        <w:t>months</w:t>
      </w:r>
      <w:r>
        <w:rPr>
          <w:spacing w:val="-7"/>
          <w:sz w:val="22"/>
        </w:rPr>
        <w:t> </w:t>
      </w:r>
      <w:r>
        <w:rPr>
          <w:sz w:val="22"/>
        </w:rPr>
        <w:t>from</w:t>
      </w:r>
      <w:r>
        <w:rPr>
          <w:spacing w:val="-9"/>
          <w:sz w:val="22"/>
        </w:rPr>
        <w:t> </w:t>
      </w:r>
      <w:r>
        <w:rPr>
          <w:sz w:val="22"/>
        </w:rPr>
        <w:t>the date of the last application.</w:t>
      </w:r>
    </w:p>
    <w:p>
      <w:pPr>
        <w:pStyle w:val="ListParagraph"/>
        <w:numPr>
          <w:ilvl w:val="0"/>
          <w:numId w:val="5"/>
        </w:numPr>
        <w:tabs>
          <w:tab w:pos="842" w:val="left" w:leader="none"/>
        </w:tabs>
        <w:spacing w:line="237" w:lineRule="auto" w:before="0" w:after="0"/>
        <w:ind w:left="841" w:right="158" w:hanging="361"/>
        <w:jc w:val="both"/>
        <w:rPr>
          <w:sz w:val="22"/>
        </w:rPr>
      </w:pPr>
      <w:r>
        <w:rPr>
          <w:sz w:val="22"/>
        </w:rPr>
        <w:t>Applicants</w:t>
      </w:r>
      <w:r>
        <w:rPr>
          <w:spacing w:val="-12"/>
          <w:sz w:val="22"/>
        </w:rPr>
        <w:t> </w:t>
      </w:r>
      <w:r>
        <w:rPr>
          <w:sz w:val="22"/>
        </w:rPr>
        <w:t>must</w:t>
      </w:r>
      <w:r>
        <w:rPr>
          <w:spacing w:val="-11"/>
          <w:sz w:val="22"/>
        </w:rPr>
        <w:t> </w:t>
      </w:r>
      <w:r>
        <w:rPr>
          <w:sz w:val="22"/>
        </w:rPr>
        <w:t>correct</w:t>
      </w:r>
      <w:r>
        <w:rPr>
          <w:spacing w:val="-11"/>
          <w:sz w:val="22"/>
        </w:rPr>
        <w:t> </w:t>
      </w:r>
      <w:r>
        <w:rPr>
          <w:sz w:val="22"/>
        </w:rPr>
        <w:t>all</w:t>
      </w:r>
      <w:r>
        <w:rPr>
          <w:spacing w:val="-13"/>
          <w:sz w:val="22"/>
        </w:rPr>
        <w:t> </w:t>
      </w:r>
      <w:r>
        <w:rPr>
          <w:sz w:val="22"/>
        </w:rPr>
        <w:t>code</w:t>
      </w:r>
      <w:r>
        <w:rPr>
          <w:spacing w:val="-12"/>
          <w:sz w:val="22"/>
        </w:rPr>
        <w:t> </w:t>
      </w:r>
      <w:r>
        <w:rPr>
          <w:sz w:val="22"/>
        </w:rPr>
        <w:t>violations</w:t>
      </w:r>
      <w:r>
        <w:rPr>
          <w:spacing w:val="-12"/>
          <w:sz w:val="22"/>
        </w:rPr>
        <w:t> </w:t>
      </w:r>
      <w:r>
        <w:rPr>
          <w:sz w:val="22"/>
        </w:rPr>
        <w:t>not</w:t>
      </w:r>
      <w:r>
        <w:rPr>
          <w:spacing w:val="-11"/>
          <w:sz w:val="22"/>
        </w:rPr>
        <w:t> </w:t>
      </w:r>
      <w:r>
        <w:rPr>
          <w:sz w:val="22"/>
        </w:rPr>
        <w:t>associated</w:t>
      </w:r>
      <w:r>
        <w:rPr>
          <w:spacing w:val="-12"/>
          <w:sz w:val="22"/>
        </w:rPr>
        <w:t> </w:t>
      </w:r>
      <w:r>
        <w:rPr>
          <w:sz w:val="22"/>
        </w:rPr>
        <w:t>with</w:t>
      </w:r>
      <w:r>
        <w:rPr>
          <w:spacing w:val="-15"/>
          <w:sz w:val="22"/>
        </w:rPr>
        <w:t> </w:t>
      </w:r>
      <w:r>
        <w:rPr>
          <w:sz w:val="22"/>
        </w:rPr>
        <w:t>the</w:t>
      </w:r>
      <w:r>
        <w:rPr>
          <w:spacing w:val="-12"/>
          <w:sz w:val="22"/>
        </w:rPr>
        <w:t> </w:t>
      </w:r>
      <w:r>
        <w:rPr>
          <w:sz w:val="22"/>
        </w:rPr>
        <w:t>repairs</w:t>
      </w:r>
      <w:r>
        <w:rPr>
          <w:spacing w:val="-14"/>
          <w:sz w:val="22"/>
        </w:rPr>
        <w:t> </w:t>
      </w:r>
      <w:r>
        <w:rPr>
          <w:sz w:val="22"/>
        </w:rPr>
        <w:t>to</w:t>
      </w:r>
      <w:r>
        <w:rPr>
          <w:spacing w:val="-12"/>
          <w:sz w:val="22"/>
        </w:rPr>
        <w:t> </w:t>
      </w:r>
      <w:r>
        <w:rPr>
          <w:sz w:val="22"/>
        </w:rPr>
        <w:t>the</w:t>
      </w:r>
      <w:r>
        <w:rPr>
          <w:spacing w:val="-12"/>
          <w:sz w:val="22"/>
        </w:rPr>
        <w:t> </w:t>
      </w:r>
      <w:r>
        <w:rPr>
          <w:sz w:val="22"/>
        </w:rPr>
        <w:t>home</w:t>
      </w:r>
      <w:r>
        <w:rPr>
          <w:spacing w:val="-15"/>
          <w:sz w:val="22"/>
        </w:rPr>
        <w:t> </w:t>
      </w:r>
      <w:r>
        <w:rPr>
          <w:sz w:val="22"/>
        </w:rPr>
        <w:t>that currently exist on the property.</w:t>
      </w:r>
    </w:p>
    <w:p>
      <w:pPr>
        <w:pStyle w:val="ListParagraph"/>
        <w:numPr>
          <w:ilvl w:val="0"/>
          <w:numId w:val="5"/>
        </w:numPr>
        <w:tabs>
          <w:tab w:pos="842" w:val="left" w:leader="none"/>
        </w:tabs>
        <w:spacing w:line="240" w:lineRule="auto" w:before="2" w:after="0"/>
        <w:ind w:left="841" w:right="155" w:hanging="361"/>
        <w:jc w:val="both"/>
        <w:rPr>
          <w:sz w:val="22"/>
        </w:rPr>
      </w:pPr>
      <w:r>
        <w:rPr>
          <w:sz w:val="22"/>
        </w:rPr>
        <w:t>City</w:t>
      </w:r>
      <w:r>
        <w:rPr>
          <w:spacing w:val="-9"/>
          <w:sz w:val="22"/>
        </w:rPr>
        <w:t> </w:t>
      </w:r>
      <w:r>
        <w:rPr>
          <w:sz w:val="22"/>
        </w:rPr>
        <w:t>Council</w:t>
      </w:r>
      <w:r>
        <w:rPr>
          <w:spacing w:val="-10"/>
          <w:sz w:val="22"/>
        </w:rPr>
        <w:t> </w:t>
      </w:r>
      <w:r>
        <w:rPr>
          <w:sz w:val="22"/>
        </w:rPr>
        <w:t>members,</w:t>
      </w:r>
      <w:r>
        <w:rPr>
          <w:spacing w:val="-8"/>
          <w:sz w:val="22"/>
        </w:rPr>
        <w:t> </w:t>
      </w:r>
      <w:r>
        <w:rPr>
          <w:sz w:val="22"/>
        </w:rPr>
        <w:t>Department</w:t>
      </w:r>
      <w:r>
        <w:rPr>
          <w:spacing w:val="-10"/>
          <w:sz w:val="22"/>
        </w:rPr>
        <w:t> </w:t>
      </w:r>
      <w:r>
        <w:rPr>
          <w:sz w:val="22"/>
        </w:rPr>
        <w:t>of</w:t>
      </w:r>
      <w:r>
        <w:rPr>
          <w:spacing w:val="-10"/>
          <w:sz w:val="22"/>
        </w:rPr>
        <w:t> </w:t>
      </w:r>
      <w:r>
        <w:rPr>
          <w:sz w:val="22"/>
        </w:rPr>
        <w:t>Housing</w:t>
      </w:r>
      <w:r>
        <w:rPr>
          <w:spacing w:val="-9"/>
          <w:sz w:val="22"/>
        </w:rPr>
        <w:t> </w:t>
      </w:r>
      <w:r>
        <w:rPr>
          <w:sz w:val="22"/>
        </w:rPr>
        <w:t>&amp;</w:t>
      </w:r>
      <w:r>
        <w:rPr>
          <w:spacing w:val="-11"/>
          <w:sz w:val="22"/>
        </w:rPr>
        <w:t> </w:t>
      </w:r>
      <w:r>
        <w:rPr>
          <w:sz w:val="22"/>
        </w:rPr>
        <w:t>Neighborhood</w:t>
      </w:r>
      <w:r>
        <w:rPr>
          <w:spacing w:val="-9"/>
          <w:sz w:val="22"/>
        </w:rPr>
        <w:t> </w:t>
      </w:r>
      <w:r>
        <w:rPr>
          <w:sz w:val="22"/>
        </w:rPr>
        <w:t>Revitalization</w:t>
      </w:r>
      <w:r>
        <w:rPr>
          <w:spacing w:val="-9"/>
          <w:sz w:val="22"/>
        </w:rPr>
        <w:t> </w:t>
      </w:r>
      <w:r>
        <w:rPr>
          <w:sz w:val="22"/>
        </w:rPr>
        <w:t>employees and any employee, official or agent of the City who exercises any policy or program decision-making function in connection with the program are ineligible for assistance under the program.</w:t>
      </w:r>
    </w:p>
    <w:p>
      <w:pPr>
        <w:pStyle w:val="ListParagraph"/>
        <w:numPr>
          <w:ilvl w:val="0"/>
          <w:numId w:val="5"/>
        </w:numPr>
        <w:tabs>
          <w:tab w:pos="842" w:val="left" w:leader="none"/>
        </w:tabs>
        <w:spacing w:line="240" w:lineRule="auto" w:before="0" w:after="0"/>
        <w:ind w:left="841" w:right="154" w:hanging="361"/>
        <w:jc w:val="both"/>
        <w:rPr>
          <w:sz w:val="22"/>
        </w:rPr>
      </w:pPr>
      <w:r>
        <w:rPr>
          <w:sz w:val="22"/>
        </w:rPr>
        <w:t>Priority shall be given to Applicants who have not participated in any City repair, rehabilitation,</w:t>
      </w:r>
      <w:r>
        <w:rPr>
          <w:spacing w:val="-2"/>
          <w:sz w:val="22"/>
        </w:rPr>
        <w:t> </w:t>
      </w:r>
      <w:r>
        <w:rPr>
          <w:sz w:val="22"/>
        </w:rPr>
        <w:t>or</w:t>
      </w:r>
      <w:r>
        <w:rPr>
          <w:spacing w:val="-5"/>
          <w:sz w:val="22"/>
        </w:rPr>
        <w:t> </w:t>
      </w:r>
      <w:r>
        <w:rPr>
          <w:sz w:val="22"/>
        </w:rPr>
        <w:t>reconstruction</w:t>
      </w:r>
      <w:r>
        <w:rPr>
          <w:spacing w:val="-4"/>
          <w:sz w:val="22"/>
        </w:rPr>
        <w:t> </w:t>
      </w:r>
      <w:r>
        <w:rPr>
          <w:sz w:val="22"/>
        </w:rPr>
        <w:t>program</w:t>
      </w:r>
      <w:r>
        <w:rPr>
          <w:spacing w:val="-2"/>
          <w:sz w:val="22"/>
        </w:rPr>
        <w:t> </w:t>
      </w:r>
      <w:r>
        <w:rPr>
          <w:sz w:val="22"/>
        </w:rPr>
        <w:t>previously.</w:t>
      </w:r>
      <w:r>
        <w:rPr>
          <w:spacing w:val="-3"/>
          <w:sz w:val="22"/>
        </w:rPr>
        <w:t> </w:t>
      </w:r>
      <w:r>
        <w:rPr>
          <w:sz w:val="22"/>
        </w:rPr>
        <w:t>If</w:t>
      </w:r>
      <w:r>
        <w:rPr>
          <w:spacing w:val="-7"/>
          <w:sz w:val="22"/>
        </w:rPr>
        <w:t> </w:t>
      </w:r>
      <w:r>
        <w:rPr>
          <w:sz w:val="22"/>
        </w:rPr>
        <w:t>the</w:t>
      </w:r>
      <w:r>
        <w:rPr>
          <w:spacing w:val="-6"/>
          <w:sz w:val="22"/>
        </w:rPr>
        <w:t> </w:t>
      </w:r>
      <w:r>
        <w:rPr>
          <w:sz w:val="22"/>
        </w:rPr>
        <w:t>Applicant</w:t>
      </w:r>
      <w:r>
        <w:rPr>
          <w:spacing w:val="-2"/>
          <w:sz w:val="22"/>
        </w:rPr>
        <w:t> </w:t>
      </w:r>
      <w:r>
        <w:rPr>
          <w:sz w:val="22"/>
        </w:rPr>
        <w:t>is</w:t>
      </w:r>
      <w:r>
        <w:rPr>
          <w:spacing w:val="-6"/>
          <w:sz w:val="22"/>
        </w:rPr>
        <w:t> </w:t>
      </w:r>
      <w:r>
        <w:rPr>
          <w:sz w:val="22"/>
        </w:rPr>
        <w:t>in</w:t>
      </w:r>
      <w:r>
        <w:rPr>
          <w:spacing w:val="-6"/>
          <w:sz w:val="22"/>
        </w:rPr>
        <w:t> </w:t>
      </w:r>
      <w:r>
        <w:rPr>
          <w:sz w:val="22"/>
        </w:rPr>
        <w:t>their</w:t>
      </w:r>
      <w:r>
        <w:rPr>
          <w:spacing w:val="-2"/>
          <w:sz w:val="22"/>
        </w:rPr>
        <w:t> </w:t>
      </w:r>
      <w:r>
        <w:rPr>
          <w:sz w:val="22"/>
        </w:rPr>
        <w:t>affordability period</w:t>
      </w:r>
      <w:r>
        <w:rPr>
          <w:spacing w:val="-1"/>
          <w:sz w:val="22"/>
        </w:rPr>
        <w:t> </w:t>
      </w:r>
      <w:r>
        <w:rPr>
          <w:sz w:val="22"/>
        </w:rPr>
        <w:t>under</w:t>
      </w:r>
      <w:r>
        <w:rPr>
          <w:spacing w:val="-2"/>
          <w:sz w:val="22"/>
        </w:rPr>
        <w:t> </w:t>
      </w:r>
      <w:r>
        <w:rPr>
          <w:sz w:val="22"/>
        </w:rPr>
        <w:t>any</w:t>
      </w:r>
      <w:r>
        <w:rPr>
          <w:spacing w:val="-3"/>
          <w:sz w:val="22"/>
        </w:rPr>
        <w:t> </w:t>
      </w:r>
      <w:r>
        <w:rPr>
          <w:sz w:val="22"/>
        </w:rPr>
        <w:t>other</w:t>
      </w:r>
      <w:r>
        <w:rPr>
          <w:spacing w:val="-2"/>
          <w:sz w:val="22"/>
        </w:rPr>
        <w:t> </w:t>
      </w:r>
      <w:r>
        <w:rPr>
          <w:sz w:val="22"/>
        </w:rPr>
        <w:t>program except</w:t>
      </w:r>
      <w:r>
        <w:rPr>
          <w:spacing w:val="-5"/>
          <w:sz w:val="22"/>
        </w:rPr>
        <w:t> </w:t>
      </w:r>
      <w:r>
        <w:rPr>
          <w:sz w:val="22"/>
        </w:rPr>
        <w:t>the</w:t>
      </w:r>
      <w:r>
        <w:rPr>
          <w:spacing w:val="-1"/>
          <w:sz w:val="22"/>
        </w:rPr>
        <w:t> </w:t>
      </w:r>
      <w:r>
        <w:rPr>
          <w:sz w:val="22"/>
        </w:rPr>
        <w:t>Neighborhood</w:t>
      </w:r>
      <w:r>
        <w:rPr>
          <w:spacing w:val="-1"/>
          <w:sz w:val="22"/>
        </w:rPr>
        <w:t> </w:t>
      </w:r>
      <w:r>
        <w:rPr>
          <w:sz w:val="22"/>
        </w:rPr>
        <w:t>Empowerment</w:t>
      </w:r>
      <w:r>
        <w:rPr>
          <w:spacing w:val="-5"/>
          <w:sz w:val="22"/>
        </w:rPr>
        <w:t> </w:t>
      </w:r>
      <w:r>
        <w:rPr>
          <w:sz w:val="22"/>
        </w:rPr>
        <w:t>Zone</w:t>
      </w:r>
      <w:r>
        <w:rPr>
          <w:spacing w:val="-1"/>
          <w:sz w:val="22"/>
        </w:rPr>
        <w:t> </w:t>
      </w:r>
      <w:r>
        <w:rPr>
          <w:sz w:val="22"/>
        </w:rPr>
        <w:t>Program, then they are not eligible to receive funding under this program.</w:t>
      </w:r>
    </w:p>
    <w:p>
      <w:pPr>
        <w:pStyle w:val="ListParagraph"/>
        <w:numPr>
          <w:ilvl w:val="0"/>
          <w:numId w:val="5"/>
        </w:numPr>
        <w:tabs>
          <w:tab w:pos="843" w:val="left" w:leader="none"/>
        </w:tabs>
        <w:spacing w:line="237" w:lineRule="auto" w:before="0" w:after="0"/>
        <w:ind w:left="842" w:right="157" w:hanging="361"/>
        <w:jc w:val="both"/>
        <w:rPr>
          <w:sz w:val="22"/>
        </w:rPr>
      </w:pPr>
      <w:r>
        <w:rPr>
          <w:sz w:val="22"/>
        </w:rPr>
        <w:t>Applicants must be willing to voluntarily relocate at the homeowner’s expense, if </w:t>
      </w:r>
      <w:r>
        <w:rPr>
          <w:spacing w:val="-2"/>
          <w:sz w:val="22"/>
        </w:rPr>
        <w:t>necessary.</w:t>
      </w:r>
    </w:p>
    <w:p>
      <w:pPr>
        <w:pStyle w:val="BodyText"/>
        <w:spacing w:before="11"/>
        <w:rPr>
          <w:sz w:val="21"/>
        </w:rPr>
      </w:pPr>
    </w:p>
    <w:p>
      <w:pPr>
        <w:pStyle w:val="Heading5"/>
        <w:ind w:left="121"/>
        <w:jc w:val="left"/>
      </w:pPr>
      <w:r>
        <w:rPr/>
        <w:t>Property</w:t>
      </w:r>
      <w:r>
        <w:rPr>
          <w:spacing w:val="-6"/>
        </w:rPr>
        <w:t> </w:t>
      </w:r>
      <w:r>
        <w:rPr/>
        <w:t>Eligibility</w:t>
      </w:r>
      <w:r>
        <w:rPr>
          <w:spacing w:val="-6"/>
        </w:rPr>
        <w:t> </w:t>
      </w:r>
      <w:r>
        <w:rPr>
          <w:spacing w:val="-2"/>
        </w:rPr>
        <w:t>Requirements</w:t>
      </w:r>
    </w:p>
    <w:p>
      <w:pPr>
        <w:pStyle w:val="ListParagraph"/>
        <w:numPr>
          <w:ilvl w:val="0"/>
          <w:numId w:val="5"/>
        </w:numPr>
        <w:tabs>
          <w:tab w:pos="841" w:val="left" w:leader="none"/>
          <w:tab w:pos="843" w:val="left" w:leader="none"/>
        </w:tabs>
        <w:spacing w:line="237" w:lineRule="auto" w:before="54" w:after="0"/>
        <w:ind w:left="842" w:right="156" w:hanging="361"/>
        <w:jc w:val="left"/>
        <w:rPr>
          <w:sz w:val="22"/>
        </w:rPr>
      </w:pPr>
      <w:r>
        <w:rPr>
          <w:sz w:val="22"/>
        </w:rPr>
        <w:t>Must be a single-family dwelling, owner-occupied, and must be located within the City of Dallas, Texas city limits.</w:t>
      </w:r>
    </w:p>
    <w:p>
      <w:pPr>
        <w:pStyle w:val="ListParagraph"/>
        <w:numPr>
          <w:ilvl w:val="0"/>
          <w:numId w:val="5"/>
        </w:numPr>
        <w:tabs>
          <w:tab w:pos="841" w:val="left" w:leader="none"/>
          <w:tab w:pos="843" w:val="left" w:leader="none"/>
        </w:tabs>
        <w:spacing w:line="237" w:lineRule="auto" w:before="3" w:after="0"/>
        <w:ind w:left="842" w:right="156" w:hanging="361"/>
        <w:jc w:val="left"/>
        <w:rPr>
          <w:sz w:val="22"/>
        </w:rPr>
      </w:pPr>
      <w:r>
        <w:rPr>
          <w:sz w:val="22"/>
        </w:rPr>
        <w:t>Must</w:t>
      </w:r>
      <w:r>
        <w:rPr>
          <w:spacing w:val="39"/>
          <w:sz w:val="22"/>
        </w:rPr>
        <w:t> </w:t>
      </w:r>
      <w:r>
        <w:rPr>
          <w:sz w:val="22"/>
        </w:rPr>
        <w:t>obtain</w:t>
      </w:r>
      <w:r>
        <w:rPr>
          <w:spacing w:val="40"/>
          <w:sz w:val="22"/>
        </w:rPr>
        <w:t> </w:t>
      </w:r>
      <w:r>
        <w:rPr>
          <w:sz w:val="22"/>
        </w:rPr>
        <w:t>environmental</w:t>
      </w:r>
      <w:r>
        <w:rPr>
          <w:spacing w:val="40"/>
          <w:sz w:val="22"/>
        </w:rPr>
        <w:t> </w:t>
      </w:r>
      <w:r>
        <w:rPr>
          <w:sz w:val="22"/>
        </w:rPr>
        <w:t>clearance</w:t>
      </w:r>
      <w:r>
        <w:rPr>
          <w:spacing w:val="40"/>
          <w:sz w:val="22"/>
        </w:rPr>
        <w:t> </w:t>
      </w:r>
      <w:r>
        <w:rPr>
          <w:sz w:val="22"/>
        </w:rPr>
        <w:t>under</w:t>
      </w:r>
      <w:r>
        <w:rPr>
          <w:spacing w:val="39"/>
          <w:sz w:val="22"/>
        </w:rPr>
        <w:t> </w:t>
      </w:r>
      <w:r>
        <w:rPr>
          <w:sz w:val="22"/>
        </w:rPr>
        <w:t>24</w:t>
      </w:r>
      <w:r>
        <w:rPr>
          <w:spacing w:val="36"/>
          <w:sz w:val="22"/>
        </w:rPr>
        <w:t> </w:t>
      </w:r>
      <w:r>
        <w:rPr>
          <w:sz w:val="22"/>
        </w:rPr>
        <w:t>CFR</w:t>
      </w:r>
      <w:r>
        <w:rPr>
          <w:spacing w:val="40"/>
          <w:sz w:val="22"/>
        </w:rPr>
        <w:t> </w:t>
      </w:r>
      <w:r>
        <w:rPr>
          <w:sz w:val="22"/>
        </w:rPr>
        <w:t>Part</w:t>
      </w:r>
      <w:r>
        <w:rPr>
          <w:spacing w:val="39"/>
          <w:sz w:val="22"/>
        </w:rPr>
        <w:t> </w:t>
      </w:r>
      <w:r>
        <w:rPr>
          <w:sz w:val="22"/>
        </w:rPr>
        <w:t>58.5,</w:t>
      </w:r>
      <w:r>
        <w:rPr>
          <w:spacing w:val="39"/>
          <w:sz w:val="22"/>
        </w:rPr>
        <w:t> </w:t>
      </w:r>
      <w:r>
        <w:rPr>
          <w:sz w:val="22"/>
        </w:rPr>
        <w:t>as</w:t>
      </w:r>
      <w:r>
        <w:rPr>
          <w:spacing w:val="38"/>
          <w:sz w:val="22"/>
        </w:rPr>
        <w:t> </w:t>
      </w:r>
      <w:r>
        <w:rPr>
          <w:sz w:val="22"/>
        </w:rPr>
        <w:t>amended,</w:t>
      </w:r>
      <w:r>
        <w:rPr>
          <w:spacing w:val="39"/>
          <w:sz w:val="22"/>
        </w:rPr>
        <w:t> </w:t>
      </w:r>
      <w:r>
        <w:rPr>
          <w:sz w:val="22"/>
        </w:rPr>
        <w:t>prior</w:t>
      </w:r>
      <w:r>
        <w:rPr>
          <w:spacing w:val="37"/>
          <w:sz w:val="22"/>
        </w:rPr>
        <w:t> </w:t>
      </w:r>
      <w:r>
        <w:rPr>
          <w:sz w:val="22"/>
        </w:rPr>
        <w:t>to committing rehabilitation funds.</w:t>
      </w:r>
    </w:p>
    <w:p>
      <w:pPr>
        <w:spacing w:after="0" w:line="237" w:lineRule="auto"/>
        <w:jc w:val="left"/>
        <w:rPr>
          <w:sz w:val="22"/>
        </w:rPr>
        <w:sectPr>
          <w:pgSz w:w="12240" w:h="15840"/>
          <w:pgMar w:header="0" w:footer="1738" w:top="1360" w:bottom="1920" w:left="1320" w:right="1280"/>
        </w:sectPr>
      </w:pPr>
    </w:p>
    <w:p>
      <w:pPr>
        <w:pStyle w:val="ListParagraph"/>
        <w:numPr>
          <w:ilvl w:val="0"/>
          <w:numId w:val="5"/>
        </w:numPr>
        <w:tabs>
          <w:tab w:pos="841" w:val="left" w:leader="none"/>
        </w:tabs>
        <w:spacing w:line="240" w:lineRule="auto" w:before="82" w:after="0"/>
        <w:ind w:left="840" w:right="153" w:hanging="361"/>
        <w:jc w:val="both"/>
        <w:rPr>
          <w:sz w:val="22"/>
        </w:rPr>
      </w:pPr>
      <w:r>
        <w:rPr>
          <w:sz w:val="22"/>
        </w:rPr>
        <w:t>Standard</w:t>
      </w:r>
      <w:r>
        <w:rPr>
          <w:spacing w:val="-4"/>
          <w:sz w:val="22"/>
        </w:rPr>
        <w:t> </w:t>
      </w:r>
      <w:r>
        <w:rPr>
          <w:sz w:val="22"/>
        </w:rPr>
        <w:t>property</w:t>
      </w:r>
      <w:r>
        <w:rPr>
          <w:spacing w:val="-4"/>
          <w:sz w:val="22"/>
        </w:rPr>
        <w:t> </w:t>
      </w:r>
      <w:r>
        <w:rPr>
          <w:sz w:val="22"/>
        </w:rPr>
        <w:t>insurance,</w:t>
      </w:r>
      <w:r>
        <w:rPr>
          <w:spacing w:val="-3"/>
          <w:sz w:val="22"/>
        </w:rPr>
        <w:t> </w:t>
      </w:r>
      <w:r>
        <w:rPr>
          <w:sz w:val="22"/>
        </w:rPr>
        <w:t>satisfactory</w:t>
      </w:r>
      <w:r>
        <w:rPr>
          <w:spacing w:val="-4"/>
          <w:sz w:val="22"/>
        </w:rPr>
        <w:t> </w:t>
      </w:r>
      <w:r>
        <w:rPr>
          <w:sz w:val="22"/>
        </w:rPr>
        <w:t>to</w:t>
      </w:r>
      <w:r>
        <w:rPr>
          <w:spacing w:val="-4"/>
          <w:sz w:val="22"/>
        </w:rPr>
        <w:t> </w:t>
      </w:r>
      <w:r>
        <w:rPr>
          <w:sz w:val="22"/>
        </w:rPr>
        <w:t>the</w:t>
      </w:r>
      <w:r>
        <w:rPr>
          <w:spacing w:val="-4"/>
          <w:sz w:val="22"/>
        </w:rPr>
        <w:t> </w:t>
      </w:r>
      <w:r>
        <w:rPr>
          <w:sz w:val="22"/>
        </w:rPr>
        <w:t>City,</w:t>
      </w:r>
      <w:r>
        <w:rPr>
          <w:spacing w:val="-2"/>
          <w:sz w:val="22"/>
        </w:rPr>
        <w:t> </w:t>
      </w:r>
      <w:r>
        <w:rPr>
          <w:sz w:val="22"/>
        </w:rPr>
        <w:t>must</w:t>
      </w:r>
      <w:r>
        <w:rPr>
          <w:spacing w:val="-3"/>
          <w:sz w:val="22"/>
        </w:rPr>
        <w:t> </w:t>
      </w:r>
      <w:r>
        <w:rPr>
          <w:sz w:val="22"/>
        </w:rPr>
        <w:t>be</w:t>
      </w:r>
      <w:r>
        <w:rPr>
          <w:spacing w:val="-4"/>
          <w:sz w:val="22"/>
        </w:rPr>
        <w:t> </w:t>
      </w:r>
      <w:r>
        <w:rPr>
          <w:sz w:val="22"/>
        </w:rPr>
        <w:t>maintained</w:t>
      </w:r>
      <w:r>
        <w:rPr>
          <w:spacing w:val="-4"/>
          <w:sz w:val="22"/>
        </w:rPr>
        <w:t> </w:t>
      </w:r>
      <w:r>
        <w:rPr>
          <w:sz w:val="22"/>
        </w:rPr>
        <w:t>on</w:t>
      </w:r>
      <w:r>
        <w:rPr>
          <w:spacing w:val="-2"/>
          <w:sz w:val="22"/>
        </w:rPr>
        <w:t> </w:t>
      </w:r>
      <w:r>
        <w:rPr>
          <w:sz w:val="22"/>
        </w:rPr>
        <w:t>the</w:t>
      </w:r>
      <w:r>
        <w:rPr>
          <w:spacing w:val="-4"/>
          <w:sz w:val="22"/>
        </w:rPr>
        <w:t> </w:t>
      </w:r>
      <w:r>
        <w:rPr>
          <w:sz w:val="22"/>
        </w:rPr>
        <w:t>property (with coverage adequate to insure the City’s lien position). If a property is located in a floodplain, as determined by the City, in its sole discretion, flood insurance must also be maintained with coverage adequate to insure the City’s lien position. Insurance will be monitored</w:t>
      </w:r>
      <w:r>
        <w:rPr>
          <w:spacing w:val="-4"/>
          <w:sz w:val="22"/>
        </w:rPr>
        <w:t> </w:t>
      </w:r>
      <w:r>
        <w:rPr>
          <w:sz w:val="22"/>
        </w:rPr>
        <w:t>during</w:t>
      </w:r>
      <w:r>
        <w:rPr>
          <w:spacing w:val="-4"/>
          <w:sz w:val="22"/>
        </w:rPr>
        <w:t> </w:t>
      </w:r>
      <w:r>
        <w:rPr>
          <w:sz w:val="22"/>
        </w:rPr>
        <w:t>the</w:t>
      </w:r>
      <w:r>
        <w:rPr>
          <w:spacing w:val="-2"/>
          <w:sz w:val="22"/>
        </w:rPr>
        <w:t> </w:t>
      </w:r>
      <w:r>
        <w:rPr>
          <w:sz w:val="22"/>
        </w:rPr>
        <w:t>length</w:t>
      </w:r>
      <w:r>
        <w:rPr>
          <w:spacing w:val="-2"/>
          <w:sz w:val="22"/>
        </w:rPr>
        <w:t> </w:t>
      </w:r>
      <w:r>
        <w:rPr>
          <w:sz w:val="22"/>
        </w:rPr>
        <w:t>of</w:t>
      </w:r>
      <w:r>
        <w:rPr>
          <w:spacing w:val="-3"/>
          <w:sz w:val="22"/>
        </w:rPr>
        <w:t> </w:t>
      </w:r>
      <w:r>
        <w:rPr>
          <w:sz w:val="22"/>
        </w:rPr>
        <w:t>the</w:t>
      </w:r>
      <w:r>
        <w:rPr>
          <w:spacing w:val="-4"/>
          <w:sz w:val="22"/>
        </w:rPr>
        <w:t> </w:t>
      </w:r>
      <w:r>
        <w:rPr>
          <w:sz w:val="22"/>
        </w:rPr>
        <w:t>compliance</w:t>
      </w:r>
      <w:r>
        <w:rPr>
          <w:spacing w:val="-2"/>
          <w:sz w:val="22"/>
        </w:rPr>
        <w:t> </w:t>
      </w:r>
      <w:r>
        <w:rPr>
          <w:sz w:val="22"/>
        </w:rPr>
        <w:t>period, which</w:t>
      </w:r>
      <w:r>
        <w:rPr>
          <w:spacing w:val="-2"/>
          <w:sz w:val="22"/>
        </w:rPr>
        <w:t> </w:t>
      </w:r>
      <w:r>
        <w:rPr>
          <w:sz w:val="22"/>
        </w:rPr>
        <w:t>will</w:t>
      </w:r>
      <w:r>
        <w:rPr>
          <w:spacing w:val="-2"/>
          <w:sz w:val="22"/>
        </w:rPr>
        <w:t> </w:t>
      </w:r>
      <w:r>
        <w:rPr>
          <w:sz w:val="22"/>
        </w:rPr>
        <w:t>be</w:t>
      </w:r>
      <w:r>
        <w:rPr>
          <w:spacing w:val="-2"/>
          <w:sz w:val="22"/>
        </w:rPr>
        <w:t> </w:t>
      </w:r>
      <w:r>
        <w:rPr>
          <w:sz w:val="22"/>
        </w:rPr>
        <w:t>until</w:t>
      </w:r>
      <w:r>
        <w:rPr>
          <w:spacing w:val="-2"/>
          <w:sz w:val="22"/>
        </w:rPr>
        <w:t> </w:t>
      </w:r>
      <w:r>
        <w:rPr>
          <w:sz w:val="22"/>
        </w:rPr>
        <w:t>the</w:t>
      </w:r>
      <w:r>
        <w:rPr>
          <w:spacing w:val="-2"/>
          <w:sz w:val="22"/>
        </w:rPr>
        <w:t> </w:t>
      </w:r>
      <w:r>
        <w:rPr>
          <w:sz w:val="22"/>
        </w:rPr>
        <w:t>loan balance is repaid in full or forgiven, as described below. The City has the right to decline a homeowner that may be in a floodplain or floodway.</w:t>
      </w:r>
    </w:p>
    <w:p>
      <w:pPr>
        <w:pStyle w:val="ListParagraph"/>
        <w:numPr>
          <w:ilvl w:val="0"/>
          <w:numId w:val="5"/>
        </w:numPr>
        <w:tabs>
          <w:tab w:pos="841" w:val="left" w:leader="none"/>
        </w:tabs>
        <w:spacing w:line="237" w:lineRule="auto" w:before="0" w:after="0"/>
        <w:ind w:left="840" w:right="156" w:hanging="361"/>
        <w:jc w:val="both"/>
        <w:rPr>
          <w:sz w:val="22"/>
        </w:rPr>
      </w:pPr>
      <w:r>
        <w:rPr/>
        <w:pict>
          <v:shape style="position:absolute;margin-left:90.065002pt;margin-top:7.741066pt;width:395.3pt;height:419pt;mso-position-horizontal-relative:page;mso-position-vertical-relative:paragraph;z-index:-17735680" id="docshape23" coordorigin="1801,155" coordsize="7906,8380" path="m4498,7418l4492,7345,4477,7267,4455,7184,4432,7115,4403,7043,4367,6968,4325,6890,4276,6809,4237,6750,4200,6700,4200,7385,4197,7442,4186,7498,4167,7556,4138,7615,4097,7678,4044,7744,3979,7814,3674,8119,2216,6661,2517,6361,2598,6285,2672,6225,2740,6181,2801,6155,2868,6140,2941,6136,3020,6143,3105,6161,3195,6190,3255,6216,3317,6248,3380,6286,3446,6331,3514,6383,3584,6441,3656,6506,3729,6577,3789,6639,3845,6699,3896,6758,3943,6816,3986,6872,4025,6928,4059,6981,4101,7056,4136,7128,4163,7198,4183,7265,4196,7329,4200,7385,4200,6700,4194,6691,4148,6631,4098,6570,4045,6509,3989,6448,3929,6386,3865,6324,3801,6265,3737,6210,3673,6159,3643,6136,3609,6111,3546,6066,3482,6025,3419,5987,3346,5950,3274,5917,3203,5890,3132,5868,3062,5851,2992,5839,2923,5832,2850,5830,2779,5837,2709,5852,2642,5875,2577,5905,2528,5933,2476,5970,2420,6016,2359,6070,2294,6133,1801,6626,3710,8534,4124,8119,4226,8017,4287,7952,4341,7887,4386,7821,4424,7754,4454,7688,4476,7622,4491,7555,4498,7487,4498,7418xm6418,5825l6056,5698,5650,5555,5561,5526,5475,5502,5393,5483,5365,5478,5314,5468,5239,5458,5193,5457,5143,5460,5089,5467,5030,5478,5073,5408,5109,5338,5136,5269,5154,5200,5164,5132,5165,5064,5157,4996,5139,4918,5111,4842,5075,4767,5030,4694,4976,4624,4956,4601,4913,4555,4872,4517,4872,5074,4868,5130,4854,5185,4830,5241,4794,5299,4747,5360,4687,5424,4280,5831,3649,5200,4102,4747,4166,4690,4229,4647,4293,4617,4358,4602,4422,4601,4501,4616,4577,4646,4649,4690,4718,4750,4761,4798,4797,4848,4827,4902,4851,4959,4867,5017,4872,5074,4872,4517,4849,4495,4782,4443,4713,4397,4641,4359,4566,4327,4474,4299,4386,4286,4303,4288,4225,4304,4163,4329,4098,4365,4030,4413,3958,4473,3883,4544,3248,5179,5157,7087,5346,6897,4499,6050,4718,5831,4753,5797,4783,5769,4810,5748,4833,5734,4863,5720,4896,5710,4932,5702,4971,5698,5014,5698,5066,5703,5125,5713,5194,5730,5256,5747,5328,5768,5407,5793,5496,5822,6180,6064,6418,5825xm7780,4463l7415,4268,6555,3814,6555,4121,6070,4606,6030,4535,5989,4463,5748,4032,5708,3961,5668,3889,5629,3824,5590,3759,5550,3695,5509,3632,5467,3570,5424,3508,5380,3448,5436,3483,5498,3521,5564,3561,5635,3603,5792,3693,6555,4121,6555,3814,5862,3448,5286,3141,5082,3345,5277,3695,5316,3766,5701,4463,6207,5382,6441,5803,6642,5602,6565,5468,6298,5000,6221,4866,6481,4606,6820,4268,7173,4463,7565,4679,7780,4463xm8131,4113l7264,3246,7936,2574,7711,2349,7039,3020,6448,2430,7224,1653,6999,1428,6033,2394,7941,4302,8131,4113xm9707,2537l8024,854,8497,380,8272,155,7138,1289,7363,1515,7834,1043,9517,2726,9707,2537xe" filled="true" fillcolor="#c0c0c0" stroked="false">
            <v:path arrowok="t"/>
            <v:fill opacity="32896f" type="solid"/>
            <w10:wrap type="none"/>
          </v:shape>
        </w:pict>
      </w:r>
      <w:r>
        <w:rPr>
          <w:sz w:val="22"/>
        </w:rPr>
        <w:t>Applicant must certify that the home is not for sale and is the primary residence of </w:t>
      </w:r>
      <w:r>
        <w:rPr>
          <w:spacing w:val="-2"/>
          <w:sz w:val="22"/>
        </w:rPr>
        <w:t>Applicant.</w:t>
      </w:r>
    </w:p>
    <w:p>
      <w:pPr>
        <w:pStyle w:val="ListParagraph"/>
        <w:numPr>
          <w:ilvl w:val="0"/>
          <w:numId w:val="5"/>
        </w:numPr>
        <w:tabs>
          <w:tab w:pos="841" w:val="left" w:leader="none"/>
        </w:tabs>
        <w:spacing w:line="237" w:lineRule="auto" w:before="3" w:after="0"/>
        <w:ind w:left="840" w:right="156" w:hanging="361"/>
        <w:jc w:val="both"/>
        <w:rPr>
          <w:sz w:val="22"/>
        </w:rPr>
      </w:pPr>
      <w:r>
        <w:rPr>
          <w:sz w:val="22"/>
        </w:rPr>
        <w:t>If the property was previously assisted with City funds and the property is still within the period</w:t>
      </w:r>
      <w:r>
        <w:rPr>
          <w:spacing w:val="-7"/>
          <w:sz w:val="22"/>
        </w:rPr>
        <w:t> </w:t>
      </w:r>
      <w:r>
        <w:rPr>
          <w:sz w:val="22"/>
        </w:rPr>
        <w:t>of</w:t>
      </w:r>
      <w:r>
        <w:rPr>
          <w:spacing w:val="-6"/>
          <w:sz w:val="22"/>
        </w:rPr>
        <w:t> </w:t>
      </w:r>
      <w:r>
        <w:rPr>
          <w:sz w:val="22"/>
        </w:rPr>
        <w:t>affordability,</w:t>
      </w:r>
      <w:r>
        <w:rPr>
          <w:spacing w:val="-6"/>
          <w:sz w:val="22"/>
        </w:rPr>
        <w:t> </w:t>
      </w:r>
      <w:r>
        <w:rPr>
          <w:sz w:val="22"/>
        </w:rPr>
        <w:t>per</w:t>
      </w:r>
      <w:r>
        <w:rPr>
          <w:spacing w:val="-6"/>
          <w:sz w:val="22"/>
        </w:rPr>
        <w:t> </w:t>
      </w:r>
      <w:r>
        <w:rPr>
          <w:sz w:val="22"/>
        </w:rPr>
        <w:t>the</w:t>
      </w:r>
      <w:r>
        <w:rPr>
          <w:spacing w:val="-10"/>
          <w:sz w:val="22"/>
        </w:rPr>
        <w:t> </w:t>
      </w:r>
      <w:r>
        <w:rPr>
          <w:sz w:val="22"/>
        </w:rPr>
        <w:t>written</w:t>
      </w:r>
      <w:r>
        <w:rPr>
          <w:spacing w:val="-7"/>
          <w:sz w:val="22"/>
        </w:rPr>
        <w:t> </w:t>
      </w:r>
      <w:r>
        <w:rPr>
          <w:sz w:val="22"/>
        </w:rPr>
        <w:t>agreement</w:t>
      </w:r>
      <w:r>
        <w:rPr>
          <w:spacing w:val="-8"/>
          <w:sz w:val="22"/>
        </w:rPr>
        <w:t> </w:t>
      </w:r>
      <w:r>
        <w:rPr>
          <w:sz w:val="22"/>
        </w:rPr>
        <w:t>with</w:t>
      </w:r>
      <w:r>
        <w:rPr>
          <w:spacing w:val="-7"/>
          <w:sz w:val="22"/>
        </w:rPr>
        <w:t> </w:t>
      </w:r>
      <w:r>
        <w:rPr>
          <w:sz w:val="22"/>
        </w:rPr>
        <w:t>the</w:t>
      </w:r>
      <w:r>
        <w:rPr>
          <w:spacing w:val="-7"/>
          <w:sz w:val="22"/>
        </w:rPr>
        <w:t> </w:t>
      </w:r>
      <w:r>
        <w:rPr>
          <w:sz w:val="22"/>
        </w:rPr>
        <w:t>Applicant</w:t>
      </w:r>
      <w:r>
        <w:rPr>
          <w:spacing w:val="-6"/>
          <w:sz w:val="22"/>
        </w:rPr>
        <w:t> </w:t>
      </w:r>
      <w:r>
        <w:rPr>
          <w:sz w:val="22"/>
        </w:rPr>
        <w:t>or</w:t>
      </w:r>
      <w:r>
        <w:rPr>
          <w:spacing w:val="-9"/>
          <w:sz w:val="22"/>
        </w:rPr>
        <w:t> </w:t>
      </w:r>
      <w:r>
        <w:rPr>
          <w:sz w:val="22"/>
        </w:rPr>
        <w:t>the</w:t>
      </w:r>
      <w:r>
        <w:rPr>
          <w:spacing w:val="-10"/>
          <w:sz w:val="22"/>
        </w:rPr>
        <w:t> </w:t>
      </w:r>
      <w:r>
        <w:rPr>
          <w:sz w:val="22"/>
        </w:rPr>
        <w:t>previous</w:t>
      </w:r>
      <w:r>
        <w:rPr>
          <w:spacing w:val="-7"/>
          <w:sz w:val="22"/>
        </w:rPr>
        <w:t> </w:t>
      </w:r>
      <w:r>
        <w:rPr>
          <w:sz w:val="22"/>
        </w:rPr>
        <w:t>owner, Applicant will not be eligible to receive funding for the same property.</w:t>
      </w:r>
    </w:p>
    <w:p>
      <w:pPr>
        <w:pStyle w:val="ListParagraph"/>
        <w:numPr>
          <w:ilvl w:val="0"/>
          <w:numId w:val="5"/>
        </w:numPr>
        <w:tabs>
          <w:tab w:pos="841" w:val="left" w:leader="none"/>
        </w:tabs>
        <w:spacing w:line="269" w:lineRule="exact" w:before="3" w:after="0"/>
        <w:ind w:left="840" w:right="0" w:hanging="361"/>
        <w:jc w:val="both"/>
        <w:rPr>
          <w:sz w:val="22"/>
        </w:rPr>
      </w:pPr>
      <w:r>
        <w:rPr>
          <w:sz w:val="22"/>
        </w:rPr>
        <w:t>No</w:t>
      </w:r>
      <w:r>
        <w:rPr>
          <w:spacing w:val="-7"/>
          <w:sz w:val="22"/>
        </w:rPr>
        <w:t> </w:t>
      </w:r>
      <w:r>
        <w:rPr>
          <w:sz w:val="22"/>
        </w:rPr>
        <w:t>liens,</w:t>
      </w:r>
      <w:r>
        <w:rPr>
          <w:spacing w:val="-2"/>
          <w:sz w:val="22"/>
        </w:rPr>
        <w:t> </w:t>
      </w:r>
      <w:r>
        <w:rPr>
          <w:sz w:val="22"/>
        </w:rPr>
        <w:t>except</w:t>
      </w:r>
      <w:r>
        <w:rPr>
          <w:spacing w:val="-5"/>
          <w:sz w:val="22"/>
        </w:rPr>
        <w:t> </w:t>
      </w:r>
      <w:r>
        <w:rPr>
          <w:sz w:val="22"/>
        </w:rPr>
        <w:t>those</w:t>
      </w:r>
      <w:r>
        <w:rPr>
          <w:spacing w:val="-6"/>
          <w:sz w:val="22"/>
        </w:rPr>
        <w:t> </w:t>
      </w:r>
      <w:r>
        <w:rPr>
          <w:sz w:val="22"/>
        </w:rPr>
        <w:t>associated</w:t>
      </w:r>
      <w:r>
        <w:rPr>
          <w:spacing w:val="-4"/>
          <w:sz w:val="22"/>
        </w:rPr>
        <w:t> </w:t>
      </w:r>
      <w:r>
        <w:rPr>
          <w:sz w:val="22"/>
        </w:rPr>
        <w:t>with</w:t>
      </w:r>
      <w:r>
        <w:rPr>
          <w:spacing w:val="-6"/>
          <w:sz w:val="22"/>
        </w:rPr>
        <w:t> </w:t>
      </w:r>
      <w:r>
        <w:rPr>
          <w:sz w:val="22"/>
        </w:rPr>
        <w:t>the</w:t>
      </w:r>
      <w:r>
        <w:rPr>
          <w:spacing w:val="-6"/>
          <w:sz w:val="22"/>
        </w:rPr>
        <w:t> </w:t>
      </w:r>
      <w:r>
        <w:rPr>
          <w:sz w:val="22"/>
        </w:rPr>
        <w:t>first</w:t>
      </w:r>
      <w:r>
        <w:rPr>
          <w:spacing w:val="-5"/>
          <w:sz w:val="22"/>
        </w:rPr>
        <w:t> </w:t>
      </w:r>
      <w:r>
        <w:rPr>
          <w:sz w:val="22"/>
        </w:rPr>
        <w:t>mortgage,</w:t>
      </w:r>
      <w:r>
        <w:rPr>
          <w:spacing w:val="-2"/>
          <w:sz w:val="22"/>
        </w:rPr>
        <w:t> </w:t>
      </w:r>
      <w:r>
        <w:rPr>
          <w:sz w:val="22"/>
        </w:rPr>
        <w:t>shall</w:t>
      </w:r>
      <w:r>
        <w:rPr>
          <w:spacing w:val="-4"/>
          <w:sz w:val="22"/>
        </w:rPr>
        <w:t> </w:t>
      </w:r>
      <w:r>
        <w:rPr>
          <w:sz w:val="22"/>
        </w:rPr>
        <w:t>exist</w:t>
      </w:r>
      <w:r>
        <w:rPr>
          <w:spacing w:val="-2"/>
          <w:sz w:val="22"/>
        </w:rPr>
        <w:t> </w:t>
      </w:r>
      <w:r>
        <w:rPr>
          <w:sz w:val="22"/>
        </w:rPr>
        <w:t>on</w:t>
      </w:r>
      <w:r>
        <w:rPr>
          <w:spacing w:val="-6"/>
          <w:sz w:val="22"/>
        </w:rPr>
        <w:t> </w:t>
      </w:r>
      <w:r>
        <w:rPr>
          <w:sz w:val="22"/>
        </w:rPr>
        <w:t>the</w:t>
      </w:r>
      <w:r>
        <w:rPr>
          <w:spacing w:val="-4"/>
          <w:sz w:val="22"/>
        </w:rPr>
        <w:t> </w:t>
      </w:r>
      <w:r>
        <w:rPr>
          <w:spacing w:val="-2"/>
          <w:sz w:val="22"/>
        </w:rPr>
        <w:t>property.</w:t>
      </w:r>
    </w:p>
    <w:p>
      <w:pPr>
        <w:pStyle w:val="ListParagraph"/>
        <w:numPr>
          <w:ilvl w:val="0"/>
          <w:numId w:val="5"/>
        </w:numPr>
        <w:tabs>
          <w:tab w:pos="841" w:val="left" w:leader="none"/>
        </w:tabs>
        <w:spacing w:line="237" w:lineRule="auto" w:before="2" w:after="0"/>
        <w:ind w:left="840" w:right="157" w:hanging="361"/>
        <w:jc w:val="both"/>
        <w:rPr>
          <w:sz w:val="22"/>
        </w:rPr>
      </w:pPr>
      <w:r>
        <w:rPr>
          <w:sz w:val="22"/>
        </w:rPr>
        <w:t>The property must be in need of repairs designated as eligible repairs under the Major Rehab Program. The City has the authority to determine what the necessary repairs will be and when the amount exceeds the limits.</w:t>
      </w:r>
    </w:p>
    <w:p>
      <w:pPr>
        <w:pStyle w:val="BodyText"/>
        <w:spacing w:before="1"/>
      </w:pPr>
    </w:p>
    <w:p>
      <w:pPr>
        <w:pStyle w:val="Heading5"/>
        <w:spacing w:before="1"/>
      </w:pPr>
      <w:r>
        <w:rPr/>
        <w:t>Eligible</w:t>
      </w:r>
      <w:r>
        <w:rPr>
          <w:spacing w:val="-5"/>
        </w:rPr>
        <w:t> </w:t>
      </w:r>
      <w:r>
        <w:rPr/>
        <w:t>Repair</w:t>
      </w:r>
      <w:r>
        <w:rPr>
          <w:spacing w:val="-4"/>
        </w:rPr>
        <w:t> </w:t>
      </w:r>
      <w:r>
        <w:rPr>
          <w:spacing w:val="-2"/>
        </w:rPr>
        <w:t>Improvements</w:t>
      </w:r>
    </w:p>
    <w:p>
      <w:pPr>
        <w:pStyle w:val="BodyText"/>
        <w:spacing w:before="49"/>
        <w:ind w:left="120" w:right="152"/>
        <w:jc w:val="both"/>
      </w:pPr>
      <w:r>
        <w:rPr/>
        <w:t>Eligible</w:t>
      </w:r>
      <w:r>
        <w:rPr>
          <w:spacing w:val="-10"/>
        </w:rPr>
        <w:t> </w:t>
      </w:r>
      <w:r>
        <w:rPr/>
        <w:t>rehabilitation</w:t>
      </w:r>
      <w:r>
        <w:rPr>
          <w:spacing w:val="-10"/>
        </w:rPr>
        <w:t> </w:t>
      </w:r>
      <w:r>
        <w:rPr/>
        <w:t>activities</w:t>
      </w:r>
      <w:r>
        <w:rPr>
          <w:spacing w:val="-9"/>
        </w:rPr>
        <w:t> </w:t>
      </w:r>
      <w:r>
        <w:rPr/>
        <w:t>include</w:t>
      </w:r>
      <w:r>
        <w:rPr>
          <w:spacing w:val="-10"/>
        </w:rPr>
        <w:t> </w:t>
      </w:r>
      <w:r>
        <w:rPr/>
        <w:t>items</w:t>
      </w:r>
      <w:r>
        <w:rPr>
          <w:spacing w:val="-12"/>
        </w:rPr>
        <w:t> </w:t>
      </w:r>
      <w:r>
        <w:rPr/>
        <w:t>necessary</w:t>
      </w:r>
      <w:r>
        <w:rPr>
          <w:spacing w:val="-12"/>
        </w:rPr>
        <w:t> </w:t>
      </w:r>
      <w:r>
        <w:rPr/>
        <w:t>to</w:t>
      </w:r>
      <w:r>
        <w:rPr>
          <w:spacing w:val="-12"/>
        </w:rPr>
        <w:t> </w:t>
      </w:r>
      <w:r>
        <w:rPr/>
        <w:t>bring</w:t>
      </w:r>
      <w:r>
        <w:rPr>
          <w:spacing w:val="-12"/>
        </w:rPr>
        <w:t> </w:t>
      </w:r>
      <w:r>
        <w:rPr/>
        <w:t>the</w:t>
      </w:r>
      <w:r>
        <w:rPr>
          <w:spacing w:val="-12"/>
        </w:rPr>
        <w:t> </w:t>
      </w:r>
      <w:r>
        <w:rPr/>
        <w:t>structure</w:t>
      </w:r>
      <w:r>
        <w:rPr>
          <w:spacing w:val="-10"/>
        </w:rPr>
        <w:t> </w:t>
      </w:r>
      <w:r>
        <w:rPr/>
        <w:t>into</w:t>
      </w:r>
      <w:r>
        <w:rPr>
          <w:spacing w:val="-12"/>
        </w:rPr>
        <w:t> </w:t>
      </w:r>
      <w:r>
        <w:rPr/>
        <w:t>compliance</w:t>
      </w:r>
      <w:r>
        <w:rPr>
          <w:spacing w:val="-10"/>
        </w:rPr>
        <w:t> </w:t>
      </w:r>
      <w:r>
        <w:rPr/>
        <w:t>with the City’s written rehabilitation standards and applicable local residential codes; and will also include items recommended as necessary to preserve the property’s structural integrity, historic integrity, weatherization, and quality of living conditions. Major systems are part of the scope of work</w:t>
      </w:r>
      <w:r>
        <w:rPr>
          <w:spacing w:val="-7"/>
        </w:rPr>
        <w:t> </w:t>
      </w:r>
      <w:r>
        <w:rPr/>
        <w:t>and</w:t>
      </w:r>
      <w:r>
        <w:rPr>
          <w:spacing w:val="-10"/>
        </w:rPr>
        <w:t> </w:t>
      </w:r>
      <w:r>
        <w:rPr/>
        <w:t>are</w:t>
      </w:r>
      <w:r>
        <w:rPr>
          <w:spacing w:val="-10"/>
        </w:rPr>
        <w:t> </w:t>
      </w:r>
      <w:r>
        <w:rPr/>
        <w:t>identified</w:t>
      </w:r>
      <w:r>
        <w:rPr>
          <w:spacing w:val="-10"/>
        </w:rPr>
        <w:t> </w:t>
      </w:r>
      <w:r>
        <w:rPr/>
        <w:t>as</w:t>
      </w:r>
      <w:r>
        <w:rPr>
          <w:spacing w:val="-7"/>
        </w:rPr>
        <w:t> </w:t>
      </w:r>
      <w:r>
        <w:rPr/>
        <w:t>structural</w:t>
      </w:r>
      <w:r>
        <w:rPr>
          <w:spacing w:val="-10"/>
        </w:rPr>
        <w:t> </w:t>
      </w:r>
      <w:r>
        <w:rPr/>
        <w:t>support</w:t>
      </w:r>
      <w:r>
        <w:rPr>
          <w:spacing w:val="-8"/>
        </w:rPr>
        <w:t> </w:t>
      </w:r>
      <w:r>
        <w:rPr/>
        <w:t>(foundations);</w:t>
      </w:r>
      <w:r>
        <w:rPr>
          <w:spacing w:val="-11"/>
        </w:rPr>
        <w:t> </w:t>
      </w:r>
      <w:r>
        <w:rPr/>
        <w:t>roofing;</w:t>
      </w:r>
      <w:r>
        <w:rPr>
          <w:spacing w:val="-8"/>
        </w:rPr>
        <w:t> </w:t>
      </w:r>
      <w:r>
        <w:rPr/>
        <w:t>cladding</w:t>
      </w:r>
      <w:r>
        <w:rPr>
          <w:spacing w:val="-7"/>
        </w:rPr>
        <w:t> </w:t>
      </w:r>
      <w:r>
        <w:rPr/>
        <w:t>and</w:t>
      </w:r>
      <w:r>
        <w:rPr>
          <w:spacing w:val="-5"/>
        </w:rPr>
        <w:t> </w:t>
      </w:r>
      <w:r>
        <w:rPr/>
        <w:t>weatherproofing (e.g., windows, doors, siding, gutters); plumbing; electrical; and heating, ventilation, and air </w:t>
      </w:r>
      <w:r>
        <w:rPr>
          <w:spacing w:val="-2"/>
        </w:rPr>
        <w:t>conditioning.</w:t>
      </w:r>
    </w:p>
    <w:p>
      <w:pPr>
        <w:pStyle w:val="BodyText"/>
        <w:spacing w:before="1"/>
      </w:pPr>
    </w:p>
    <w:p>
      <w:pPr>
        <w:pStyle w:val="BodyText"/>
        <w:ind w:left="120" w:right="157"/>
        <w:jc w:val="both"/>
      </w:pPr>
      <w:r>
        <w:rPr/>
        <w:t>Demolition of an accessory structure deemed hazardous, such as a detached garage or work shed, will be made on a case-by-case basis depending on the available budget, grant requirements, planning requirements, current building codes, and health and safety concerns. The structure will not be rebuilt by the City.</w:t>
      </w:r>
    </w:p>
    <w:p>
      <w:pPr>
        <w:pStyle w:val="BodyText"/>
      </w:pPr>
    </w:p>
    <w:p>
      <w:pPr>
        <w:pStyle w:val="BodyText"/>
        <w:ind w:left="121" w:right="154"/>
        <w:jc w:val="both"/>
      </w:pPr>
      <w:r>
        <w:rPr/>
        <w:t>Assistance in removing any items from the property that are considered to be dangerous, hazardous,</w:t>
      </w:r>
      <w:r>
        <w:rPr>
          <w:spacing w:val="-10"/>
        </w:rPr>
        <w:t> </w:t>
      </w:r>
      <w:r>
        <w:rPr/>
        <w:t>or</w:t>
      </w:r>
      <w:r>
        <w:rPr>
          <w:spacing w:val="-8"/>
        </w:rPr>
        <w:t> </w:t>
      </w:r>
      <w:r>
        <w:rPr/>
        <w:t>a</w:t>
      </w:r>
      <w:r>
        <w:rPr>
          <w:spacing w:val="-11"/>
        </w:rPr>
        <w:t> </w:t>
      </w:r>
      <w:r>
        <w:rPr/>
        <w:t>violation</w:t>
      </w:r>
      <w:r>
        <w:rPr>
          <w:spacing w:val="-11"/>
        </w:rPr>
        <w:t> </w:t>
      </w:r>
      <w:r>
        <w:rPr/>
        <w:t>of</w:t>
      </w:r>
      <w:r>
        <w:rPr>
          <w:spacing w:val="-7"/>
        </w:rPr>
        <w:t> </w:t>
      </w:r>
      <w:r>
        <w:rPr/>
        <w:t>local</w:t>
      </w:r>
      <w:r>
        <w:rPr>
          <w:spacing w:val="-9"/>
        </w:rPr>
        <w:t> </w:t>
      </w:r>
      <w:r>
        <w:rPr/>
        <w:t>code</w:t>
      </w:r>
      <w:r>
        <w:rPr>
          <w:spacing w:val="-9"/>
        </w:rPr>
        <w:t> </w:t>
      </w:r>
      <w:r>
        <w:rPr/>
        <w:t>is</w:t>
      </w:r>
      <w:r>
        <w:rPr>
          <w:spacing w:val="-8"/>
        </w:rPr>
        <w:t> </w:t>
      </w:r>
      <w:r>
        <w:rPr/>
        <w:t>an</w:t>
      </w:r>
      <w:r>
        <w:rPr>
          <w:spacing w:val="-9"/>
        </w:rPr>
        <w:t> </w:t>
      </w:r>
      <w:r>
        <w:rPr/>
        <w:t>eligible</w:t>
      </w:r>
      <w:r>
        <w:rPr>
          <w:spacing w:val="-9"/>
        </w:rPr>
        <w:t> </w:t>
      </w:r>
      <w:r>
        <w:rPr/>
        <w:t>repair</w:t>
      </w:r>
      <w:r>
        <w:rPr>
          <w:spacing w:val="-8"/>
        </w:rPr>
        <w:t> </w:t>
      </w:r>
      <w:r>
        <w:rPr/>
        <w:t>when</w:t>
      </w:r>
      <w:r>
        <w:rPr>
          <w:spacing w:val="-9"/>
        </w:rPr>
        <w:t> </w:t>
      </w:r>
      <w:r>
        <w:rPr/>
        <w:t>performed</w:t>
      </w:r>
      <w:r>
        <w:rPr>
          <w:spacing w:val="-14"/>
        </w:rPr>
        <w:t> </w:t>
      </w:r>
      <w:r>
        <w:rPr/>
        <w:t>in</w:t>
      </w:r>
      <w:r>
        <w:rPr>
          <w:spacing w:val="-9"/>
        </w:rPr>
        <w:t> </w:t>
      </w:r>
      <w:r>
        <w:rPr/>
        <w:t>conjunction</w:t>
      </w:r>
      <w:r>
        <w:rPr>
          <w:spacing w:val="-9"/>
        </w:rPr>
        <w:t> </w:t>
      </w:r>
      <w:r>
        <w:rPr/>
        <w:t>with</w:t>
      </w:r>
      <w:r>
        <w:rPr>
          <w:spacing w:val="-11"/>
        </w:rPr>
        <w:t> </w:t>
      </w:r>
      <w:r>
        <w:rPr/>
        <w:t>the rehabilitation of eligible improvements on the property.</w:t>
      </w:r>
    </w:p>
    <w:p>
      <w:pPr>
        <w:pStyle w:val="BodyText"/>
        <w:spacing w:before="10"/>
        <w:rPr>
          <w:sz w:val="21"/>
        </w:rPr>
      </w:pPr>
    </w:p>
    <w:p>
      <w:pPr>
        <w:pStyle w:val="BodyText"/>
        <w:ind w:left="121" w:right="153"/>
        <w:jc w:val="both"/>
      </w:pPr>
      <w:r>
        <w:rPr/>
        <w:t>Assistance may not be used for the purchase or repairs of appliances or renovations not necessary</w:t>
      </w:r>
      <w:r>
        <w:rPr>
          <w:spacing w:val="-6"/>
        </w:rPr>
        <w:t> </w:t>
      </w:r>
      <w:r>
        <w:rPr/>
        <w:t>to</w:t>
      </w:r>
      <w:r>
        <w:rPr>
          <w:spacing w:val="-4"/>
        </w:rPr>
        <w:t> </w:t>
      </w:r>
      <w:r>
        <w:rPr/>
        <w:t>bring</w:t>
      </w:r>
      <w:r>
        <w:rPr>
          <w:spacing w:val="-6"/>
        </w:rPr>
        <w:t> </w:t>
      </w:r>
      <w:r>
        <w:rPr/>
        <w:t>the</w:t>
      </w:r>
      <w:r>
        <w:rPr>
          <w:spacing w:val="-3"/>
        </w:rPr>
        <w:t> </w:t>
      </w:r>
      <w:r>
        <w:rPr/>
        <w:t>home</w:t>
      </w:r>
      <w:r>
        <w:rPr>
          <w:spacing w:val="-4"/>
        </w:rPr>
        <w:t> </w:t>
      </w:r>
      <w:r>
        <w:rPr/>
        <w:t>up</w:t>
      </w:r>
      <w:r>
        <w:rPr>
          <w:spacing w:val="-4"/>
        </w:rPr>
        <w:t> </w:t>
      </w:r>
      <w:r>
        <w:rPr/>
        <w:t>to</w:t>
      </w:r>
      <w:r>
        <w:rPr>
          <w:spacing w:val="-4"/>
        </w:rPr>
        <w:t> </w:t>
      </w:r>
      <w:r>
        <w:rPr/>
        <w:t>local</w:t>
      </w:r>
      <w:r>
        <w:rPr>
          <w:spacing w:val="-5"/>
        </w:rPr>
        <w:t> </w:t>
      </w:r>
      <w:r>
        <w:rPr/>
        <w:t>code</w:t>
      </w:r>
      <w:r>
        <w:rPr>
          <w:spacing w:val="-4"/>
        </w:rPr>
        <w:t> </w:t>
      </w:r>
      <w:r>
        <w:rPr/>
        <w:t>or</w:t>
      </w:r>
      <w:r>
        <w:rPr>
          <w:spacing w:val="-5"/>
        </w:rPr>
        <w:t> </w:t>
      </w:r>
      <w:r>
        <w:rPr/>
        <w:t>property</w:t>
      </w:r>
      <w:r>
        <w:rPr>
          <w:spacing w:val="-4"/>
        </w:rPr>
        <w:t> </w:t>
      </w:r>
      <w:r>
        <w:rPr/>
        <w:t>standards.</w:t>
      </w:r>
      <w:r>
        <w:rPr>
          <w:spacing w:val="-3"/>
        </w:rPr>
        <w:t> </w:t>
      </w:r>
      <w:r>
        <w:rPr/>
        <w:t>Ineligible</w:t>
      </w:r>
      <w:r>
        <w:rPr>
          <w:spacing w:val="-4"/>
        </w:rPr>
        <w:t> </w:t>
      </w:r>
      <w:r>
        <w:rPr/>
        <w:t>repairs</w:t>
      </w:r>
      <w:r>
        <w:rPr>
          <w:spacing w:val="-4"/>
        </w:rPr>
        <w:t> </w:t>
      </w:r>
      <w:r>
        <w:rPr/>
        <w:t>include</w:t>
      </w:r>
      <w:r>
        <w:rPr>
          <w:spacing w:val="-4"/>
        </w:rPr>
        <w:t> </w:t>
      </w:r>
      <w:r>
        <w:rPr/>
        <w:t>but are not limited to luxury and recreational items (swimming pools, spas, high end fixtures). Tree trimming</w:t>
      </w:r>
      <w:r>
        <w:rPr>
          <w:spacing w:val="-9"/>
        </w:rPr>
        <w:t> </w:t>
      </w:r>
      <w:r>
        <w:rPr/>
        <w:t>will</w:t>
      </w:r>
      <w:r>
        <w:rPr>
          <w:spacing w:val="-9"/>
        </w:rPr>
        <w:t> </w:t>
      </w:r>
      <w:r>
        <w:rPr/>
        <w:t>be</w:t>
      </w:r>
      <w:r>
        <w:rPr>
          <w:spacing w:val="-9"/>
        </w:rPr>
        <w:t> </w:t>
      </w:r>
      <w:r>
        <w:rPr/>
        <w:t>in</w:t>
      </w:r>
      <w:r>
        <w:rPr>
          <w:spacing w:val="-9"/>
        </w:rPr>
        <w:t> </w:t>
      </w:r>
      <w:r>
        <w:rPr/>
        <w:t>conjunction</w:t>
      </w:r>
      <w:r>
        <w:rPr>
          <w:spacing w:val="-9"/>
        </w:rPr>
        <w:t> </w:t>
      </w:r>
      <w:r>
        <w:rPr/>
        <w:t>with</w:t>
      </w:r>
      <w:r>
        <w:rPr>
          <w:spacing w:val="-11"/>
        </w:rPr>
        <w:t> </w:t>
      </w:r>
      <w:r>
        <w:rPr/>
        <w:t>repair</w:t>
      </w:r>
      <w:r>
        <w:rPr>
          <w:spacing w:val="-8"/>
        </w:rPr>
        <w:t> </w:t>
      </w:r>
      <w:r>
        <w:rPr/>
        <w:t>and</w:t>
      </w:r>
      <w:r>
        <w:rPr>
          <w:spacing w:val="-11"/>
        </w:rPr>
        <w:t> </w:t>
      </w:r>
      <w:r>
        <w:rPr/>
        <w:t>only</w:t>
      </w:r>
      <w:r>
        <w:rPr>
          <w:spacing w:val="-11"/>
        </w:rPr>
        <w:t> </w:t>
      </w:r>
      <w:r>
        <w:rPr/>
        <w:t>if</w:t>
      </w:r>
      <w:r>
        <w:rPr>
          <w:spacing w:val="-8"/>
        </w:rPr>
        <w:t> </w:t>
      </w:r>
      <w:r>
        <w:rPr/>
        <w:t>considered</w:t>
      </w:r>
      <w:r>
        <w:rPr>
          <w:spacing w:val="-9"/>
        </w:rPr>
        <w:t> </w:t>
      </w:r>
      <w:r>
        <w:rPr/>
        <w:t>necessary</w:t>
      </w:r>
      <w:r>
        <w:rPr>
          <w:spacing w:val="-13"/>
        </w:rPr>
        <w:t> </w:t>
      </w:r>
      <w:r>
        <w:rPr/>
        <w:t>and</w:t>
      </w:r>
      <w:r>
        <w:rPr>
          <w:spacing w:val="-9"/>
        </w:rPr>
        <w:t> </w:t>
      </w:r>
      <w:r>
        <w:rPr/>
        <w:t>if</w:t>
      </w:r>
      <w:r>
        <w:rPr>
          <w:spacing w:val="-8"/>
        </w:rPr>
        <w:t> </w:t>
      </w:r>
      <w:r>
        <w:rPr/>
        <w:t>allowable</w:t>
      </w:r>
      <w:r>
        <w:rPr>
          <w:spacing w:val="-9"/>
        </w:rPr>
        <w:t> </w:t>
      </w:r>
      <w:r>
        <w:rPr/>
        <w:t>under the CDBG regulations. Any other ineligible activity may be considered if deemed necessary by the City</w:t>
      </w:r>
      <w:r>
        <w:rPr>
          <w:spacing w:val="-1"/>
        </w:rPr>
        <w:t> </w:t>
      </w:r>
      <w:r>
        <w:rPr/>
        <w:t>to</w:t>
      </w:r>
      <w:r>
        <w:rPr>
          <w:spacing w:val="-2"/>
        </w:rPr>
        <w:t> </w:t>
      </w:r>
      <w:r>
        <w:rPr/>
        <w:t>undertake</w:t>
      </w:r>
      <w:r>
        <w:rPr>
          <w:spacing w:val="-1"/>
        </w:rPr>
        <w:t> </w:t>
      </w:r>
      <w:r>
        <w:rPr/>
        <w:t>an</w:t>
      </w:r>
      <w:r>
        <w:rPr>
          <w:spacing w:val="-2"/>
        </w:rPr>
        <w:t> </w:t>
      </w:r>
      <w:r>
        <w:rPr/>
        <w:t>eligible activity, if allowable under the CDBG regulations, as</w:t>
      </w:r>
      <w:r>
        <w:rPr>
          <w:spacing w:val="-1"/>
        </w:rPr>
        <w:t> </w:t>
      </w:r>
      <w:r>
        <w:rPr/>
        <w:t>applicable.</w:t>
      </w:r>
    </w:p>
    <w:p>
      <w:pPr>
        <w:pStyle w:val="BodyText"/>
      </w:pPr>
    </w:p>
    <w:p>
      <w:pPr>
        <w:pStyle w:val="BodyText"/>
        <w:ind w:left="121"/>
      </w:pPr>
      <w:r>
        <w:rPr/>
        <w:t>Eligible</w:t>
      </w:r>
      <w:r>
        <w:rPr>
          <w:spacing w:val="-9"/>
        </w:rPr>
        <w:t> </w:t>
      </w:r>
      <w:r>
        <w:rPr/>
        <w:t>improvements</w:t>
      </w:r>
      <w:r>
        <w:rPr>
          <w:spacing w:val="-8"/>
        </w:rPr>
        <w:t> </w:t>
      </w:r>
      <w:r>
        <w:rPr/>
        <w:t>under</w:t>
      </w:r>
      <w:r>
        <w:rPr>
          <w:spacing w:val="-7"/>
        </w:rPr>
        <w:t> </w:t>
      </w:r>
      <w:r>
        <w:rPr/>
        <w:t>the</w:t>
      </w:r>
      <w:r>
        <w:rPr>
          <w:spacing w:val="-8"/>
        </w:rPr>
        <w:t> </w:t>
      </w:r>
      <w:r>
        <w:rPr/>
        <w:t>Major</w:t>
      </w:r>
      <w:r>
        <w:rPr>
          <w:spacing w:val="-4"/>
        </w:rPr>
        <w:t> </w:t>
      </w:r>
      <w:r>
        <w:rPr/>
        <w:t>Home</w:t>
      </w:r>
      <w:r>
        <w:rPr>
          <w:spacing w:val="-6"/>
        </w:rPr>
        <w:t> </w:t>
      </w:r>
      <w:r>
        <w:rPr/>
        <w:t>Rehabilitation</w:t>
      </w:r>
      <w:r>
        <w:rPr>
          <w:spacing w:val="-6"/>
        </w:rPr>
        <w:t> </w:t>
      </w:r>
      <w:r>
        <w:rPr/>
        <w:t>Program</w:t>
      </w:r>
      <w:r>
        <w:rPr>
          <w:spacing w:val="-5"/>
        </w:rPr>
        <w:t> </w:t>
      </w:r>
      <w:r>
        <w:rPr/>
        <w:t>include</w:t>
      </w:r>
      <w:r>
        <w:rPr>
          <w:spacing w:val="-6"/>
        </w:rPr>
        <w:t> </w:t>
      </w:r>
      <w:r>
        <w:rPr/>
        <w:t>the</w:t>
      </w:r>
      <w:r>
        <w:rPr>
          <w:spacing w:val="-8"/>
        </w:rPr>
        <w:t> </w:t>
      </w:r>
      <w:r>
        <w:rPr>
          <w:spacing w:val="-2"/>
        </w:rPr>
        <w:t>following:</w:t>
      </w:r>
    </w:p>
    <w:p>
      <w:pPr>
        <w:pStyle w:val="ListParagraph"/>
        <w:numPr>
          <w:ilvl w:val="0"/>
          <w:numId w:val="5"/>
        </w:numPr>
        <w:tabs>
          <w:tab w:pos="841" w:val="left" w:leader="none"/>
          <w:tab w:pos="842" w:val="left" w:leader="none"/>
        </w:tabs>
        <w:spacing w:line="237" w:lineRule="auto" w:before="3" w:after="0"/>
        <w:ind w:left="841" w:right="158" w:hanging="361"/>
        <w:jc w:val="left"/>
        <w:rPr>
          <w:sz w:val="22"/>
        </w:rPr>
      </w:pPr>
      <w:r>
        <w:rPr>
          <w:sz w:val="22"/>
        </w:rPr>
        <w:t>Cost effective energy conservation measures, including solar heating, cooling, &amp; water systems permanently affixed to dwelling</w:t>
      </w:r>
    </w:p>
    <w:p>
      <w:pPr>
        <w:pStyle w:val="ListParagraph"/>
        <w:numPr>
          <w:ilvl w:val="0"/>
          <w:numId w:val="5"/>
        </w:numPr>
        <w:tabs>
          <w:tab w:pos="841" w:val="left" w:leader="none"/>
          <w:tab w:pos="842" w:val="left" w:leader="none"/>
        </w:tabs>
        <w:spacing w:line="269" w:lineRule="exact" w:before="1" w:after="0"/>
        <w:ind w:left="841" w:right="0" w:hanging="361"/>
        <w:jc w:val="left"/>
        <w:rPr>
          <w:sz w:val="22"/>
        </w:rPr>
      </w:pPr>
      <w:r>
        <w:rPr>
          <w:sz w:val="22"/>
        </w:rPr>
        <w:t>Testing</w:t>
      </w:r>
      <w:r>
        <w:rPr>
          <w:spacing w:val="-8"/>
          <w:sz w:val="22"/>
        </w:rPr>
        <w:t> </w:t>
      </w:r>
      <w:r>
        <w:rPr>
          <w:sz w:val="22"/>
        </w:rPr>
        <w:t>&amp;</w:t>
      </w:r>
      <w:r>
        <w:rPr>
          <w:spacing w:val="-9"/>
          <w:sz w:val="22"/>
        </w:rPr>
        <w:t> </w:t>
      </w:r>
      <w:r>
        <w:rPr>
          <w:sz w:val="22"/>
        </w:rPr>
        <w:t>treatment/removal</w:t>
      </w:r>
      <w:r>
        <w:rPr>
          <w:spacing w:val="-7"/>
          <w:sz w:val="22"/>
        </w:rPr>
        <w:t> </w:t>
      </w:r>
      <w:r>
        <w:rPr>
          <w:sz w:val="22"/>
        </w:rPr>
        <w:t>of</w:t>
      </w:r>
      <w:r>
        <w:rPr>
          <w:spacing w:val="-6"/>
          <w:sz w:val="22"/>
        </w:rPr>
        <w:t> </w:t>
      </w:r>
      <w:r>
        <w:rPr>
          <w:sz w:val="22"/>
        </w:rPr>
        <w:t>lead-based</w:t>
      </w:r>
      <w:r>
        <w:rPr>
          <w:spacing w:val="-7"/>
          <w:sz w:val="22"/>
        </w:rPr>
        <w:t> </w:t>
      </w:r>
      <w:r>
        <w:rPr>
          <w:sz w:val="22"/>
        </w:rPr>
        <w:t>paint/asbestos</w:t>
      </w:r>
      <w:r>
        <w:rPr>
          <w:spacing w:val="-9"/>
          <w:sz w:val="22"/>
        </w:rPr>
        <w:t> </w:t>
      </w:r>
      <w:r>
        <w:rPr>
          <w:spacing w:val="-2"/>
          <w:sz w:val="22"/>
        </w:rPr>
        <w:t>hazards</w:t>
      </w:r>
    </w:p>
    <w:p>
      <w:pPr>
        <w:pStyle w:val="ListParagraph"/>
        <w:numPr>
          <w:ilvl w:val="0"/>
          <w:numId w:val="5"/>
        </w:numPr>
        <w:tabs>
          <w:tab w:pos="841" w:val="left" w:leader="none"/>
          <w:tab w:pos="842" w:val="left" w:leader="none"/>
        </w:tabs>
        <w:spacing w:line="269" w:lineRule="exact" w:before="0" w:after="0"/>
        <w:ind w:left="841" w:right="0" w:hanging="361"/>
        <w:jc w:val="left"/>
        <w:rPr>
          <w:sz w:val="22"/>
        </w:rPr>
      </w:pPr>
      <w:r>
        <w:rPr>
          <w:sz w:val="22"/>
        </w:rPr>
        <w:t>Handicapped</w:t>
      </w:r>
      <w:r>
        <w:rPr>
          <w:spacing w:val="-6"/>
          <w:sz w:val="22"/>
        </w:rPr>
        <w:t> </w:t>
      </w:r>
      <w:r>
        <w:rPr>
          <w:sz w:val="22"/>
        </w:rPr>
        <w:t>improvements</w:t>
      </w:r>
      <w:r>
        <w:rPr>
          <w:spacing w:val="-4"/>
          <w:sz w:val="22"/>
        </w:rPr>
        <w:t> </w:t>
      </w:r>
      <w:r>
        <w:rPr>
          <w:sz w:val="22"/>
        </w:rPr>
        <w:t>&amp;</w:t>
      </w:r>
      <w:r>
        <w:rPr>
          <w:spacing w:val="-7"/>
          <w:sz w:val="22"/>
        </w:rPr>
        <w:t> </w:t>
      </w:r>
      <w:r>
        <w:rPr>
          <w:sz w:val="22"/>
        </w:rPr>
        <w:t>removal</w:t>
      </w:r>
      <w:r>
        <w:rPr>
          <w:spacing w:val="-5"/>
          <w:sz w:val="22"/>
        </w:rPr>
        <w:t> </w:t>
      </w:r>
      <w:r>
        <w:rPr>
          <w:sz w:val="22"/>
        </w:rPr>
        <w:t>of</w:t>
      </w:r>
      <w:r>
        <w:rPr>
          <w:spacing w:val="-3"/>
          <w:sz w:val="22"/>
        </w:rPr>
        <w:t> </w:t>
      </w:r>
      <w:r>
        <w:rPr>
          <w:sz w:val="22"/>
        </w:rPr>
        <w:t>barriers</w:t>
      </w:r>
      <w:r>
        <w:rPr>
          <w:spacing w:val="-6"/>
          <w:sz w:val="22"/>
        </w:rPr>
        <w:t> </w:t>
      </w:r>
      <w:r>
        <w:rPr>
          <w:sz w:val="22"/>
        </w:rPr>
        <w:t>to</w:t>
      </w:r>
      <w:r>
        <w:rPr>
          <w:spacing w:val="-7"/>
          <w:sz w:val="22"/>
        </w:rPr>
        <w:t> </w:t>
      </w:r>
      <w:r>
        <w:rPr>
          <w:sz w:val="22"/>
        </w:rPr>
        <w:t>the</w:t>
      </w:r>
      <w:r>
        <w:rPr>
          <w:spacing w:val="-6"/>
          <w:sz w:val="22"/>
        </w:rPr>
        <w:t> </w:t>
      </w:r>
      <w:r>
        <w:rPr>
          <w:spacing w:val="-2"/>
          <w:sz w:val="22"/>
        </w:rPr>
        <w:t>handicapped</w:t>
      </w:r>
    </w:p>
    <w:p>
      <w:pPr>
        <w:spacing w:after="0" w:line="269" w:lineRule="exact"/>
        <w:jc w:val="left"/>
        <w:rPr>
          <w:sz w:val="22"/>
        </w:rPr>
        <w:sectPr>
          <w:pgSz w:w="12240" w:h="15840"/>
          <w:pgMar w:header="0" w:footer="1738" w:top="1360" w:bottom="1920" w:left="1320" w:right="1280"/>
        </w:sectPr>
      </w:pPr>
    </w:p>
    <w:p>
      <w:pPr>
        <w:pStyle w:val="ListParagraph"/>
        <w:numPr>
          <w:ilvl w:val="0"/>
          <w:numId w:val="5"/>
        </w:numPr>
        <w:tabs>
          <w:tab w:pos="840" w:val="left" w:leader="none"/>
          <w:tab w:pos="841" w:val="left" w:leader="none"/>
        </w:tabs>
        <w:spacing w:line="237" w:lineRule="auto" w:before="84" w:after="0"/>
        <w:ind w:left="840" w:right="155" w:hanging="361"/>
        <w:jc w:val="left"/>
        <w:rPr>
          <w:sz w:val="22"/>
        </w:rPr>
      </w:pPr>
      <w:r>
        <w:rPr>
          <w:sz w:val="22"/>
        </w:rPr>
        <w:t>Removal</w:t>
      </w:r>
      <w:r>
        <w:rPr>
          <w:spacing w:val="23"/>
          <w:sz w:val="22"/>
        </w:rPr>
        <w:t> </w:t>
      </w:r>
      <w:r>
        <w:rPr>
          <w:sz w:val="22"/>
        </w:rPr>
        <w:t>of</w:t>
      </w:r>
      <w:r>
        <w:rPr>
          <w:spacing w:val="23"/>
          <w:sz w:val="22"/>
        </w:rPr>
        <w:t> </w:t>
      </w:r>
      <w:r>
        <w:rPr>
          <w:sz w:val="22"/>
        </w:rPr>
        <w:t>termites;</w:t>
      </w:r>
      <w:r>
        <w:rPr>
          <w:spacing w:val="23"/>
          <w:sz w:val="22"/>
        </w:rPr>
        <w:t> </w:t>
      </w:r>
      <w:r>
        <w:rPr>
          <w:sz w:val="22"/>
        </w:rPr>
        <w:t>removal</w:t>
      </w:r>
      <w:r>
        <w:rPr>
          <w:spacing w:val="23"/>
          <w:sz w:val="22"/>
        </w:rPr>
        <w:t> </w:t>
      </w:r>
      <w:r>
        <w:rPr>
          <w:sz w:val="22"/>
        </w:rPr>
        <w:t>of</w:t>
      </w:r>
      <w:r>
        <w:rPr>
          <w:spacing w:val="23"/>
          <w:sz w:val="22"/>
        </w:rPr>
        <w:t> </w:t>
      </w:r>
      <w:r>
        <w:rPr>
          <w:sz w:val="22"/>
        </w:rPr>
        <w:t>rodents</w:t>
      </w:r>
      <w:r>
        <w:rPr>
          <w:spacing w:val="22"/>
          <w:sz w:val="22"/>
        </w:rPr>
        <w:t> </w:t>
      </w:r>
      <w:r>
        <w:rPr>
          <w:sz w:val="22"/>
        </w:rPr>
        <w:t>and</w:t>
      </w:r>
      <w:r>
        <w:rPr>
          <w:spacing w:val="21"/>
          <w:sz w:val="22"/>
        </w:rPr>
        <w:t> </w:t>
      </w:r>
      <w:r>
        <w:rPr>
          <w:sz w:val="22"/>
        </w:rPr>
        <w:t>roaches</w:t>
      </w:r>
      <w:r>
        <w:rPr>
          <w:spacing w:val="22"/>
          <w:sz w:val="22"/>
        </w:rPr>
        <w:t> </w:t>
      </w:r>
      <w:r>
        <w:rPr>
          <w:sz w:val="22"/>
        </w:rPr>
        <w:t>(pest</w:t>
      </w:r>
      <w:r>
        <w:rPr>
          <w:spacing w:val="23"/>
          <w:sz w:val="22"/>
        </w:rPr>
        <w:t> </w:t>
      </w:r>
      <w:r>
        <w:rPr>
          <w:sz w:val="22"/>
        </w:rPr>
        <w:t>control),</w:t>
      </w:r>
      <w:r>
        <w:rPr>
          <w:spacing w:val="23"/>
          <w:sz w:val="22"/>
        </w:rPr>
        <w:t> </w:t>
      </w:r>
      <w:r>
        <w:rPr>
          <w:sz w:val="22"/>
        </w:rPr>
        <w:t>but</w:t>
      </w:r>
      <w:r>
        <w:rPr>
          <w:spacing w:val="23"/>
          <w:sz w:val="22"/>
        </w:rPr>
        <w:t> </w:t>
      </w:r>
      <w:r>
        <w:rPr>
          <w:sz w:val="22"/>
        </w:rPr>
        <w:t>may</w:t>
      </w:r>
      <w:r>
        <w:rPr>
          <w:spacing w:val="24"/>
          <w:sz w:val="22"/>
        </w:rPr>
        <w:t> </w:t>
      </w:r>
      <w:r>
        <w:rPr>
          <w:sz w:val="22"/>
        </w:rPr>
        <w:t>not</w:t>
      </w:r>
      <w:r>
        <w:rPr>
          <w:spacing w:val="23"/>
          <w:sz w:val="22"/>
        </w:rPr>
        <w:t> </w:t>
      </w:r>
      <w:r>
        <w:rPr>
          <w:sz w:val="22"/>
        </w:rPr>
        <w:t>be</w:t>
      </w:r>
      <w:r>
        <w:rPr>
          <w:spacing w:val="24"/>
          <w:sz w:val="22"/>
        </w:rPr>
        <w:t> </w:t>
      </w:r>
      <w:r>
        <w:rPr>
          <w:sz w:val="22"/>
        </w:rPr>
        <w:t>a stand-alone cost</w:t>
      </w:r>
    </w:p>
    <w:p>
      <w:pPr>
        <w:pStyle w:val="ListParagraph"/>
        <w:numPr>
          <w:ilvl w:val="0"/>
          <w:numId w:val="5"/>
        </w:numPr>
        <w:tabs>
          <w:tab w:pos="840" w:val="left" w:leader="none"/>
          <w:tab w:pos="841" w:val="left" w:leader="none"/>
        </w:tabs>
        <w:spacing w:line="268" w:lineRule="exact" w:before="1" w:after="0"/>
        <w:ind w:left="840" w:right="0" w:hanging="361"/>
        <w:jc w:val="left"/>
        <w:rPr>
          <w:sz w:val="22"/>
        </w:rPr>
      </w:pPr>
      <w:r>
        <w:rPr>
          <w:sz w:val="22"/>
        </w:rPr>
        <w:t>Replace/repair</w:t>
      </w:r>
      <w:r>
        <w:rPr>
          <w:spacing w:val="-15"/>
          <w:sz w:val="22"/>
        </w:rPr>
        <w:t> </w:t>
      </w:r>
      <w:r>
        <w:rPr>
          <w:spacing w:val="-2"/>
          <w:sz w:val="22"/>
        </w:rPr>
        <w:t>roofing</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Replace/repair</w:t>
      </w:r>
      <w:r>
        <w:rPr>
          <w:spacing w:val="-8"/>
          <w:sz w:val="22"/>
        </w:rPr>
        <w:t> </w:t>
      </w:r>
      <w:r>
        <w:rPr>
          <w:sz w:val="22"/>
        </w:rPr>
        <w:t>HVAC</w:t>
      </w:r>
      <w:r>
        <w:rPr>
          <w:spacing w:val="-8"/>
          <w:sz w:val="22"/>
        </w:rPr>
        <w:t> </w:t>
      </w:r>
      <w:r>
        <w:rPr>
          <w:spacing w:val="-2"/>
          <w:sz w:val="22"/>
        </w:rPr>
        <w:t>systems</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Replace/repair</w:t>
      </w:r>
      <w:r>
        <w:rPr>
          <w:spacing w:val="-6"/>
          <w:sz w:val="22"/>
        </w:rPr>
        <w:t> </w:t>
      </w:r>
      <w:r>
        <w:rPr>
          <w:sz w:val="22"/>
        </w:rPr>
        <w:t>plumbing,</w:t>
      </w:r>
      <w:r>
        <w:rPr>
          <w:spacing w:val="-7"/>
          <w:sz w:val="22"/>
        </w:rPr>
        <w:t> </w:t>
      </w:r>
      <w:r>
        <w:rPr>
          <w:sz w:val="22"/>
        </w:rPr>
        <w:t>water</w:t>
      </w:r>
      <w:r>
        <w:rPr>
          <w:spacing w:val="-6"/>
          <w:sz w:val="22"/>
        </w:rPr>
        <w:t> </w:t>
      </w:r>
      <w:r>
        <w:rPr>
          <w:sz w:val="22"/>
        </w:rPr>
        <w:t>and</w:t>
      </w:r>
      <w:r>
        <w:rPr>
          <w:spacing w:val="-8"/>
          <w:sz w:val="22"/>
        </w:rPr>
        <w:t> </w:t>
      </w:r>
      <w:r>
        <w:rPr>
          <w:sz w:val="22"/>
        </w:rPr>
        <w:t>sewer</w:t>
      </w:r>
      <w:r>
        <w:rPr>
          <w:spacing w:val="-4"/>
          <w:sz w:val="22"/>
        </w:rPr>
        <w:t> </w:t>
      </w:r>
      <w:r>
        <w:rPr>
          <w:sz w:val="22"/>
        </w:rPr>
        <w:t>pipes,</w:t>
      </w:r>
      <w:r>
        <w:rPr>
          <w:spacing w:val="-6"/>
          <w:sz w:val="22"/>
        </w:rPr>
        <w:t> </w:t>
      </w:r>
      <w:r>
        <w:rPr>
          <w:sz w:val="22"/>
        </w:rPr>
        <w:t>kitchen</w:t>
      </w:r>
      <w:r>
        <w:rPr>
          <w:spacing w:val="-6"/>
          <w:sz w:val="22"/>
        </w:rPr>
        <w:t> </w:t>
      </w:r>
      <w:r>
        <w:rPr>
          <w:sz w:val="22"/>
        </w:rPr>
        <w:t>and</w:t>
      </w:r>
      <w:r>
        <w:rPr>
          <w:spacing w:val="-7"/>
          <w:sz w:val="22"/>
        </w:rPr>
        <w:t> </w:t>
      </w:r>
      <w:r>
        <w:rPr>
          <w:sz w:val="22"/>
        </w:rPr>
        <w:t>bath</w:t>
      </w:r>
      <w:r>
        <w:rPr>
          <w:spacing w:val="-7"/>
          <w:sz w:val="22"/>
        </w:rPr>
        <w:t> </w:t>
      </w:r>
      <w:r>
        <w:rPr>
          <w:spacing w:val="-2"/>
          <w:sz w:val="22"/>
        </w:rPr>
        <w:t>fixtures</w:t>
      </w:r>
    </w:p>
    <w:p>
      <w:pPr>
        <w:pStyle w:val="ListParagraph"/>
        <w:numPr>
          <w:ilvl w:val="0"/>
          <w:numId w:val="5"/>
        </w:numPr>
        <w:tabs>
          <w:tab w:pos="840" w:val="left" w:leader="none"/>
          <w:tab w:pos="841" w:val="left" w:leader="none"/>
        </w:tabs>
        <w:spacing w:line="267" w:lineRule="exact" w:before="0" w:after="0"/>
        <w:ind w:left="840" w:right="0" w:hanging="361"/>
        <w:jc w:val="left"/>
        <w:rPr>
          <w:sz w:val="22"/>
        </w:rPr>
      </w:pPr>
      <w:r>
        <w:rPr>
          <w:sz w:val="22"/>
        </w:rPr>
        <w:t>Replace/repair</w:t>
      </w:r>
      <w:r>
        <w:rPr>
          <w:spacing w:val="-8"/>
          <w:sz w:val="22"/>
        </w:rPr>
        <w:t> </w:t>
      </w:r>
      <w:r>
        <w:rPr>
          <w:sz w:val="22"/>
        </w:rPr>
        <w:t>gas</w:t>
      </w:r>
      <w:r>
        <w:rPr>
          <w:spacing w:val="-8"/>
          <w:sz w:val="22"/>
        </w:rPr>
        <w:t> </w:t>
      </w:r>
      <w:r>
        <w:rPr>
          <w:sz w:val="22"/>
        </w:rPr>
        <w:t>pipes/gas</w:t>
      </w:r>
      <w:r>
        <w:rPr>
          <w:spacing w:val="-10"/>
          <w:sz w:val="22"/>
        </w:rPr>
        <w:t> </w:t>
      </w:r>
      <w:r>
        <w:rPr>
          <w:spacing w:val="-4"/>
          <w:sz w:val="22"/>
        </w:rPr>
        <w:t>test</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position w:val="2"/>
          <w:sz w:val="22"/>
        </w:rPr>
        <w:t>Install</w:t>
      </w:r>
      <w:r>
        <w:rPr>
          <w:spacing w:val="-4"/>
          <w:position w:val="2"/>
          <w:sz w:val="22"/>
        </w:rPr>
        <w:t> </w:t>
      </w:r>
      <w:r>
        <w:rPr>
          <w:position w:val="2"/>
          <w:sz w:val="22"/>
        </w:rPr>
        <w:t>new</w:t>
      </w:r>
      <w:r>
        <w:rPr>
          <w:spacing w:val="-6"/>
          <w:position w:val="2"/>
          <w:sz w:val="22"/>
        </w:rPr>
        <w:t> </w:t>
      </w:r>
      <w:r>
        <w:rPr>
          <w:position w:val="2"/>
          <w:sz w:val="22"/>
        </w:rPr>
        <w:t>smoke,</w:t>
      </w:r>
      <w:r>
        <w:rPr>
          <w:spacing w:val="-4"/>
          <w:position w:val="2"/>
          <w:sz w:val="22"/>
        </w:rPr>
        <w:t> </w:t>
      </w:r>
      <w:r>
        <w:rPr>
          <w:position w:val="2"/>
          <w:sz w:val="22"/>
        </w:rPr>
        <w:t>fire,</w:t>
      </w:r>
      <w:r>
        <w:rPr>
          <w:spacing w:val="-1"/>
          <w:position w:val="2"/>
          <w:sz w:val="22"/>
        </w:rPr>
        <w:t> </w:t>
      </w:r>
      <w:r>
        <w:rPr>
          <w:position w:val="2"/>
          <w:sz w:val="22"/>
        </w:rPr>
        <w:t>and</w:t>
      </w:r>
      <w:r>
        <w:rPr>
          <w:spacing w:val="-4"/>
          <w:position w:val="2"/>
          <w:sz w:val="22"/>
        </w:rPr>
        <w:t> </w:t>
      </w:r>
      <w:r>
        <w:rPr>
          <w:position w:val="2"/>
          <w:sz w:val="22"/>
        </w:rPr>
        <w:t>CO</w:t>
      </w:r>
      <w:r>
        <w:rPr>
          <w:sz w:val="14"/>
        </w:rPr>
        <w:t>2</w:t>
      </w:r>
      <w:r>
        <w:rPr>
          <w:spacing w:val="19"/>
          <w:sz w:val="14"/>
        </w:rPr>
        <w:t> </w:t>
      </w:r>
      <w:r>
        <w:rPr>
          <w:spacing w:val="-2"/>
          <w:position w:val="2"/>
          <w:sz w:val="22"/>
        </w:rPr>
        <w:t>alarms</w:t>
      </w:r>
    </w:p>
    <w:p>
      <w:pPr>
        <w:pStyle w:val="ListParagraph"/>
        <w:numPr>
          <w:ilvl w:val="0"/>
          <w:numId w:val="5"/>
        </w:numPr>
        <w:tabs>
          <w:tab w:pos="840" w:val="left" w:leader="none"/>
          <w:tab w:pos="841" w:val="left" w:leader="none"/>
        </w:tabs>
        <w:spacing w:line="267" w:lineRule="exact" w:before="0" w:after="0"/>
        <w:ind w:left="840" w:right="0" w:hanging="362"/>
        <w:jc w:val="left"/>
        <w:rPr>
          <w:sz w:val="22"/>
        </w:rPr>
      </w:pPr>
      <w:r>
        <w:rPr/>
        <w:pict>
          <v:shape style="position:absolute;margin-left:90.065002pt;margin-top:4.136172pt;width:395.3pt;height:419pt;mso-position-horizontal-relative:page;mso-position-vertical-relative:paragraph;z-index:-17735168" id="docshape24" coordorigin="1801,83" coordsize="7906,8380" path="m4498,7346l4492,7273,4477,7195,4455,7112,4432,7043,4403,6971,4367,6896,4325,6818,4276,6737,4237,6678,4200,6628,4200,7313,4197,7369,4186,7426,4167,7484,4138,7543,4097,7606,4044,7672,3979,7742,3674,8047,2216,6589,2517,6289,2598,6212,2672,6153,2740,6109,2801,6083,2868,6068,2941,6064,3020,6071,3105,6089,3195,6118,3255,6143,3317,6176,3380,6214,3446,6259,3514,6311,3584,6369,3656,6434,3729,6505,3789,6567,3845,6627,3896,6686,3943,6744,3986,6800,4025,6855,4059,6909,4101,6984,4136,7056,4163,7126,4183,7193,4196,7257,4200,7313,4200,6628,4194,6619,4148,6559,4098,6498,4045,6437,3989,6376,3929,6314,3865,6252,3801,6193,3737,6138,3673,6087,3643,6064,3609,6039,3546,5994,3482,5953,3419,5915,3346,5877,3274,5845,3203,5818,3132,5796,3062,5779,2992,5767,2923,5760,2850,5758,2779,5765,2709,5780,2642,5803,2577,5833,2528,5861,2476,5898,2420,5944,2359,5998,2294,6060,1801,6554,3710,8462,4124,8047,4226,7945,4287,7880,4341,7815,4386,7749,4424,7682,4454,7616,4476,7549,4491,7483,4498,7415,4498,7346xm6418,5753l6056,5626,5650,5483,5561,5454,5475,5430,5393,5411,5365,5405,5314,5396,5239,5386,5193,5385,5143,5388,5089,5395,5030,5405,5073,5336,5109,5266,5136,5197,5154,5128,5164,5060,5165,4991,5157,4924,5139,4846,5111,4769,5075,4695,5030,4622,4976,4551,4956,4529,4913,4483,4872,4445,4872,5002,4868,5058,4854,5113,4830,5169,4794,5227,4747,5288,4687,5352,4280,5759,3649,5128,4102,4675,4166,4618,4229,4575,4293,4545,4358,4530,4422,4529,4501,4544,4577,4574,4649,4618,4718,4678,4761,4726,4797,4776,4827,4830,4851,4887,4867,4945,4872,5002,4872,4445,4849,4423,4782,4371,4713,4325,4641,4287,4566,4255,4474,4226,4386,4214,4303,4216,4225,4232,4163,4256,4098,4293,4030,4341,3958,4401,3883,4472,3248,5107,5157,7015,5346,6825,4499,5978,4718,5759,4753,5725,4783,5697,4810,5676,4833,5662,4863,5648,4896,5637,4932,5630,4971,5626,5014,5626,5066,5631,5125,5641,5194,5658,5256,5675,5328,5696,5407,5721,5496,5750,6180,5991,6418,5753xm7780,4391l7415,4196,6555,3742,6555,4049,6070,4534,6030,4463,5989,4391,5748,3960,5708,3889,5668,3817,5629,3752,5590,3687,5550,3623,5509,3560,5467,3498,5424,3436,5380,3376,5436,3411,5498,3449,5564,3489,5635,3531,5792,3621,6555,4049,6555,3742,5862,3376,5286,3069,5082,3273,5277,3623,5316,3693,5701,4391,6207,5310,6441,5731,6642,5530,6565,5396,6298,4928,6221,4794,6481,4534,6820,4196,7173,4391,7565,4607,7780,4391xm8131,4041l7264,3174,7936,2502,7711,2277,7039,2948,6448,2358,7224,1581,6999,1356,6033,2322,7941,4230,8131,4041xm9707,2465l8024,782,8497,308,8272,83,7138,1217,7363,1442,7834,971,9517,2654,9707,2465xe" filled="true" fillcolor="#c0c0c0" stroked="false">
            <v:path arrowok="t"/>
            <v:fill opacity="32896f" type="solid"/>
            <w10:wrap type="none"/>
          </v:shape>
        </w:pict>
      </w:r>
      <w:r>
        <w:rPr>
          <w:sz w:val="22"/>
        </w:rPr>
        <w:t>Install</w:t>
      </w:r>
      <w:r>
        <w:rPr>
          <w:spacing w:val="-3"/>
          <w:sz w:val="22"/>
        </w:rPr>
        <w:t> </w:t>
      </w:r>
      <w:r>
        <w:rPr>
          <w:sz w:val="22"/>
        </w:rPr>
        <w:t>new</w:t>
      </w:r>
      <w:r>
        <w:rPr>
          <w:spacing w:val="-2"/>
          <w:sz w:val="22"/>
        </w:rPr>
        <w:t> insulation</w:t>
      </w:r>
    </w:p>
    <w:p>
      <w:pPr>
        <w:pStyle w:val="ListParagraph"/>
        <w:numPr>
          <w:ilvl w:val="0"/>
          <w:numId w:val="5"/>
        </w:numPr>
        <w:tabs>
          <w:tab w:pos="840" w:val="left" w:leader="none"/>
          <w:tab w:pos="841" w:val="left" w:leader="none"/>
        </w:tabs>
        <w:spacing w:line="269" w:lineRule="exact" w:before="0" w:after="0"/>
        <w:ind w:left="840" w:right="0" w:hanging="361"/>
        <w:jc w:val="left"/>
        <w:rPr>
          <w:sz w:val="22"/>
        </w:rPr>
      </w:pPr>
      <w:r>
        <w:rPr>
          <w:sz w:val="22"/>
        </w:rPr>
        <w:t>Replace/repair</w:t>
      </w:r>
      <w:r>
        <w:rPr>
          <w:spacing w:val="-9"/>
          <w:sz w:val="22"/>
        </w:rPr>
        <w:t> </w:t>
      </w:r>
      <w:r>
        <w:rPr>
          <w:sz w:val="22"/>
        </w:rPr>
        <w:t>flooring</w:t>
      </w:r>
      <w:r>
        <w:rPr>
          <w:spacing w:val="-8"/>
          <w:sz w:val="22"/>
        </w:rPr>
        <w:t> </w:t>
      </w:r>
      <w:r>
        <w:rPr>
          <w:sz w:val="22"/>
        </w:rPr>
        <w:t>and</w:t>
      </w:r>
      <w:r>
        <w:rPr>
          <w:spacing w:val="-8"/>
          <w:sz w:val="22"/>
        </w:rPr>
        <w:t> </w:t>
      </w:r>
      <w:r>
        <w:rPr>
          <w:spacing w:val="-2"/>
          <w:sz w:val="22"/>
        </w:rPr>
        <w:t>carpeting</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Replace/repair</w:t>
      </w:r>
      <w:r>
        <w:rPr>
          <w:spacing w:val="-8"/>
          <w:sz w:val="22"/>
        </w:rPr>
        <w:t> </w:t>
      </w:r>
      <w:r>
        <w:rPr>
          <w:sz w:val="22"/>
        </w:rPr>
        <w:t>water</w:t>
      </w:r>
      <w:r>
        <w:rPr>
          <w:spacing w:val="-10"/>
          <w:sz w:val="22"/>
        </w:rPr>
        <w:t> </w:t>
      </w:r>
      <w:r>
        <w:rPr>
          <w:spacing w:val="-2"/>
          <w:sz w:val="22"/>
        </w:rPr>
        <w:t>heaters</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Replace/repair</w:t>
      </w:r>
      <w:r>
        <w:rPr>
          <w:spacing w:val="-7"/>
          <w:sz w:val="22"/>
        </w:rPr>
        <w:t> </w:t>
      </w:r>
      <w:r>
        <w:rPr>
          <w:sz w:val="22"/>
        </w:rPr>
        <w:t>electrical</w:t>
      </w:r>
      <w:r>
        <w:rPr>
          <w:spacing w:val="-9"/>
          <w:sz w:val="22"/>
        </w:rPr>
        <w:t> </w:t>
      </w:r>
      <w:r>
        <w:rPr>
          <w:sz w:val="22"/>
        </w:rPr>
        <w:t>system</w:t>
      </w:r>
      <w:r>
        <w:rPr>
          <w:spacing w:val="-4"/>
          <w:sz w:val="22"/>
        </w:rPr>
        <w:t> </w:t>
      </w:r>
      <w:r>
        <w:rPr>
          <w:sz w:val="22"/>
        </w:rPr>
        <w:t>and</w:t>
      </w:r>
      <w:r>
        <w:rPr>
          <w:spacing w:val="-8"/>
          <w:sz w:val="22"/>
        </w:rPr>
        <w:t> </w:t>
      </w:r>
      <w:r>
        <w:rPr>
          <w:sz w:val="22"/>
        </w:rPr>
        <w:t>installation</w:t>
      </w:r>
      <w:r>
        <w:rPr>
          <w:spacing w:val="-7"/>
          <w:sz w:val="22"/>
        </w:rPr>
        <w:t> </w:t>
      </w:r>
      <w:r>
        <w:rPr>
          <w:sz w:val="22"/>
        </w:rPr>
        <w:t>of</w:t>
      </w:r>
      <w:r>
        <w:rPr>
          <w:spacing w:val="-4"/>
          <w:sz w:val="22"/>
        </w:rPr>
        <w:t> </w:t>
      </w:r>
      <w:r>
        <w:rPr>
          <w:sz w:val="22"/>
        </w:rPr>
        <w:t>ground</w:t>
      </w:r>
      <w:r>
        <w:rPr>
          <w:spacing w:val="-8"/>
          <w:sz w:val="22"/>
        </w:rPr>
        <w:t> </w:t>
      </w:r>
      <w:r>
        <w:rPr>
          <w:sz w:val="22"/>
        </w:rPr>
        <w:t>fault</w:t>
      </w:r>
      <w:r>
        <w:rPr>
          <w:spacing w:val="-7"/>
          <w:sz w:val="22"/>
        </w:rPr>
        <w:t> </w:t>
      </w:r>
      <w:r>
        <w:rPr>
          <w:sz w:val="22"/>
        </w:rPr>
        <w:t>circuit</w:t>
      </w:r>
      <w:r>
        <w:rPr>
          <w:spacing w:val="-6"/>
          <w:sz w:val="22"/>
        </w:rPr>
        <w:t> </w:t>
      </w:r>
      <w:r>
        <w:rPr>
          <w:spacing w:val="-2"/>
          <w:sz w:val="22"/>
        </w:rPr>
        <w:t>interrupters</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Replace/repair</w:t>
      </w:r>
      <w:r>
        <w:rPr>
          <w:spacing w:val="-12"/>
          <w:sz w:val="22"/>
        </w:rPr>
        <w:t> </w:t>
      </w:r>
      <w:r>
        <w:rPr>
          <w:spacing w:val="-2"/>
          <w:sz w:val="22"/>
        </w:rPr>
        <w:t>windows</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Replace/repair</w:t>
      </w:r>
      <w:r>
        <w:rPr>
          <w:spacing w:val="-8"/>
          <w:sz w:val="22"/>
        </w:rPr>
        <w:t> </w:t>
      </w:r>
      <w:r>
        <w:rPr>
          <w:sz w:val="22"/>
        </w:rPr>
        <w:t>window</w:t>
      </w:r>
      <w:r>
        <w:rPr>
          <w:spacing w:val="-8"/>
          <w:sz w:val="22"/>
        </w:rPr>
        <w:t> </w:t>
      </w:r>
      <w:r>
        <w:rPr>
          <w:sz w:val="22"/>
        </w:rPr>
        <w:t>and/or</w:t>
      </w:r>
      <w:r>
        <w:rPr>
          <w:spacing w:val="-8"/>
          <w:sz w:val="22"/>
        </w:rPr>
        <w:t> </w:t>
      </w:r>
      <w:r>
        <w:rPr>
          <w:sz w:val="22"/>
        </w:rPr>
        <w:t>door</w:t>
      </w:r>
      <w:r>
        <w:rPr>
          <w:spacing w:val="-8"/>
          <w:sz w:val="22"/>
        </w:rPr>
        <w:t> </w:t>
      </w:r>
      <w:r>
        <w:rPr>
          <w:spacing w:val="-2"/>
          <w:sz w:val="22"/>
        </w:rPr>
        <w:t>screens</w:t>
      </w:r>
    </w:p>
    <w:p>
      <w:pPr>
        <w:pStyle w:val="ListParagraph"/>
        <w:numPr>
          <w:ilvl w:val="0"/>
          <w:numId w:val="5"/>
        </w:numPr>
        <w:tabs>
          <w:tab w:pos="840" w:val="left" w:leader="none"/>
          <w:tab w:pos="841" w:val="left" w:leader="none"/>
        </w:tabs>
        <w:spacing w:line="269" w:lineRule="exact" w:before="0" w:after="0"/>
        <w:ind w:left="840" w:right="0" w:hanging="361"/>
        <w:jc w:val="left"/>
        <w:rPr>
          <w:sz w:val="22"/>
        </w:rPr>
      </w:pPr>
      <w:r>
        <w:rPr>
          <w:sz w:val="22"/>
        </w:rPr>
        <w:t>Replace/repair</w:t>
      </w:r>
      <w:r>
        <w:rPr>
          <w:spacing w:val="-7"/>
          <w:sz w:val="22"/>
        </w:rPr>
        <w:t> </w:t>
      </w:r>
      <w:r>
        <w:rPr>
          <w:sz w:val="22"/>
        </w:rPr>
        <w:t>plaster,</w:t>
      </w:r>
      <w:r>
        <w:rPr>
          <w:spacing w:val="-6"/>
          <w:sz w:val="22"/>
        </w:rPr>
        <w:t> </w:t>
      </w:r>
      <w:r>
        <w:rPr>
          <w:sz w:val="22"/>
        </w:rPr>
        <w:t>siding</w:t>
      </w:r>
      <w:r>
        <w:rPr>
          <w:spacing w:val="-8"/>
          <w:sz w:val="22"/>
        </w:rPr>
        <w:t> </w:t>
      </w:r>
      <w:r>
        <w:rPr>
          <w:sz w:val="22"/>
        </w:rPr>
        <w:t>and</w:t>
      </w:r>
      <w:r>
        <w:rPr>
          <w:spacing w:val="-8"/>
          <w:sz w:val="22"/>
        </w:rPr>
        <w:t> </w:t>
      </w:r>
      <w:r>
        <w:rPr>
          <w:spacing w:val="-2"/>
          <w:sz w:val="22"/>
        </w:rPr>
        <w:t>stucco</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Painting</w:t>
      </w:r>
      <w:r>
        <w:rPr>
          <w:spacing w:val="-6"/>
          <w:sz w:val="22"/>
        </w:rPr>
        <w:t> </w:t>
      </w:r>
      <w:r>
        <w:rPr>
          <w:sz w:val="22"/>
        </w:rPr>
        <w:t>(inside</w:t>
      </w:r>
      <w:r>
        <w:rPr>
          <w:spacing w:val="-6"/>
          <w:sz w:val="22"/>
        </w:rPr>
        <w:t> </w:t>
      </w:r>
      <w:r>
        <w:rPr>
          <w:sz w:val="22"/>
        </w:rPr>
        <w:t>and</w:t>
      </w:r>
      <w:r>
        <w:rPr>
          <w:spacing w:val="-5"/>
          <w:sz w:val="22"/>
        </w:rPr>
        <w:t> </w:t>
      </w:r>
      <w:r>
        <w:rPr>
          <w:spacing w:val="-2"/>
          <w:sz w:val="22"/>
        </w:rPr>
        <w:t>outside)</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Install</w:t>
      </w:r>
      <w:r>
        <w:rPr>
          <w:spacing w:val="-7"/>
          <w:sz w:val="22"/>
        </w:rPr>
        <w:t> </w:t>
      </w:r>
      <w:r>
        <w:rPr>
          <w:sz w:val="22"/>
        </w:rPr>
        <w:t>new</w:t>
      </w:r>
      <w:r>
        <w:rPr>
          <w:spacing w:val="-5"/>
          <w:sz w:val="22"/>
        </w:rPr>
        <w:t> </w:t>
      </w:r>
      <w:r>
        <w:rPr>
          <w:sz w:val="22"/>
        </w:rPr>
        <w:t>deadbolt</w:t>
      </w:r>
      <w:r>
        <w:rPr>
          <w:spacing w:val="-3"/>
          <w:sz w:val="22"/>
        </w:rPr>
        <w:t> </w:t>
      </w:r>
      <w:r>
        <w:rPr>
          <w:spacing w:val="-4"/>
          <w:sz w:val="22"/>
        </w:rPr>
        <w:t>locks</w:t>
      </w:r>
    </w:p>
    <w:p>
      <w:pPr>
        <w:pStyle w:val="ListParagraph"/>
        <w:numPr>
          <w:ilvl w:val="0"/>
          <w:numId w:val="5"/>
        </w:numPr>
        <w:tabs>
          <w:tab w:pos="840" w:val="left" w:leader="none"/>
          <w:tab w:pos="841" w:val="left" w:leader="none"/>
        </w:tabs>
        <w:spacing w:line="268" w:lineRule="exact" w:before="0" w:after="0"/>
        <w:ind w:left="841" w:right="0" w:hanging="361"/>
        <w:jc w:val="left"/>
        <w:rPr>
          <w:sz w:val="22"/>
        </w:rPr>
      </w:pPr>
      <w:r>
        <w:rPr>
          <w:sz w:val="22"/>
        </w:rPr>
        <w:t>Replace/repair</w:t>
      </w:r>
      <w:r>
        <w:rPr>
          <w:spacing w:val="-4"/>
          <w:sz w:val="22"/>
        </w:rPr>
        <w:t> </w:t>
      </w:r>
      <w:r>
        <w:rPr>
          <w:sz w:val="22"/>
        </w:rPr>
        <w:t>kitchen</w:t>
      </w:r>
      <w:r>
        <w:rPr>
          <w:spacing w:val="-5"/>
          <w:sz w:val="22"/>
        </w:rPr>
        <w:t> </w:t>
      </w:r>
      <w:r>
        <w:rPr>
          <w:sz w:val="22"/>
        </w:rPr>
        <w:t>or</w:t>
      </w:r>
      <w:r>
        <w:rPr>
          <w:spacing w:val="-6"/>
          <w:sz w:val="22"/>
        </w:rPr>
        <w:t> </w:t>
      </w:r>
      <w:r>
        <w:rPr>
          <w:sz w:val="22"/>
        </w:rPr>
        <w:t>bath</w:t>
      </w:r>
      <w:r>
        <w:rPr>
          <w:spacing w:val="-7"/>
          <w:sz w:val="22"/>
        </w:rPr>
        <w:t> </w:t>
      </w:r>
      <w:r>
        <w:rPr>
          <w:sz w:val="22"/>
        </w:rPr>
        <w:t>cabinets</w:t>
      </w:r>
      <w:r>
        <w:rPr>
          <w:spacing w:val="-7"/>
          <w:sz w:val="22"/>
        </w:rPr>
        <w:t> </w:t>
      </w:r>
      <w:r>
        <w:rPr>
          <w:sz w:val="22"/>
        </w:rPr>
        <w:t>and</w:t>
      </w:r>
      <w:r>
        <w:rPr>
          <w:spacing w:val="-5"/>
          <w:sz w:val="22"/>
        </w:rPr>
        <w:t> </w:t>
      </w:r>
      <w:r>
        <w:rPr>
          <w:spacing w:val="-2"/>
          <w:sz w:val="22"/>
        </w:rPr>
        <w:t>countertops</w:t>
      </w:r>
    </w:p>
    <w:p>
      <w:pPr>
        <w:pStyle w:val="ListParagraph"/>
        <w:numPr>
          <w:ilvl w:val="0"/>
          <w:numId w:val="5"/>
        </w:numPr>
        <w:tabs>
          <w:tab w:pos="841" w:val="left" w:leader="none"/>
          <w:tab w:pos="842" w:val="left" w:leader="none"/>
        </w:tabs>
        <w:spacing w:line="268" w:lineRule="exact" w:before="0" w:after="0"/>
        <w:ind w:left="841" w:right="0" w:hanging="361"/>
        <w:jc w:val="left"/>
        <w:rPr>
          <w:sz w:val="22"/>
        </w:rPr>
      </w:pPr>
      <w:r>
        <w:rPr>
          <w:sz w:val="22"/>
        </w:rPr>
        <w:t>Replace/repair</w:t>
      </w:r>
      <w:r>
        <w:rPr>
          <w:spacing w:val="-9"/>
          <w:sz w:val="22"/>
        </w:rPr>
        <w:t> </w:t>
      </w:r>
      <w:r>
        <w:rPr>
          <w:sz w:val="22"/>
        </w:rPr>
        <w:t>garage</w:t>
      </w:r>
      <w:r>
        <w:rPr>
          <w:spacing w:val="-9"/>
          <w:sz w:val="22"/>
        </w:rPr>
        <w:t> </w:t>
      </w:r>
      <w:r>
        <w:rPr>
          <w:spacing w:val="-4"/>
          <w:sz w:val="22"/>
        </w:rPr>
        <w:t>doors</w:t>
      </w:r>
    </w:p>
    <w:p>
      <w:pPr>
        <w:pStyle w:val="ListParagraph"/>
        <w:numPr>
          <w:ilvl w:val="0"/>
          <w:numId w:val="5"/>
        </w:numPr>
        <w:tabs>
          <w:tab w:pos="841" w:val="left" w:leader="none"/>
          <w:tab w:pos="842" w:val="left" w:leader="none"/>
        </w:tabs>
        <w:spacing w:line="237" w:lineRule="auto" w:before="2" w:after="0"/>
        <w:ind w:left="841" w:right="157" w:hanging="361"/>
        <w:jc w:val="left"/>
        <w:rPr>
          <w:sz w:val="22"/>
        </w:rPr>
      </w:pPr>
      <w:r>
        <w:rPr>
          <w:sz w:val="22"/>
        </w:rPr>
        <w:t>Structural repairs/modifications (only to correct existing structural code deficiencies or to provide accessibility to disabled persons)</w:t>
      </w:r>
    </w:p>
    <w:p>
      <w:pPr>
        <w:pStyle w:val="ListParagraph"/>
        <w:numPr>
          <w:ilvl w:val="0"/>
          <w:numId w:val="5"/>
        </w:numPr>
        <w:tabs>
          <w:tab w:pos="841" w:val="left" w:leader="none"/>
          <w:tab w:pos="842" w:val="left" w:leader="none"/>
        </w:tabs>
        <w:spacing w:line="269" w:lineRule="exact" w:before="1" w:after="0"/>
        <w:ind w:left="841" w:right="0" w:hanging="361"/>
        <w:jc w:val="left"/>
        <w:rPr>
          <w:sz w:val="22"/>
        </w:rPr>
      </w:pPr>
      <w:r>
        <w:rPr>
          <w:sz w:val="22"/>
        </w:rPr>
        <w:t>Foundation</w:t>
      </w:r>
      <w:r>
        <w:rPr>
          <w:spacing w:val="-8"/>
          <w:sz w:val="22"/>
        </w:rPr>
        <w:t> </w:t>
      </w:r>
      <w:r>
        <w:rPr>
          <w:spacing w:val="-2"/>
          <w:sz w:val="22"/>
        </w:rPr>
        <w:t>repairs</w:t>
      </w:r>
    </w:p>
    <w:p>
      <w:pPr>
        <w:pStyle w:val="ListParagraph"/>
        <w:numPr>
          <w:ilvl w:val="0"/>
          <w:numId w:val="5"/>
        </w:numPr>
        <w:tabs>
          <w:tab w:pos="841" w:val="left" w:leader="none"/>
          <w:tab w:pos="842" w:val="left" w:leader="none"/>
        </w:tabs>
        <w:spacing w:line="269" w:lineRule="exact" w:before="0" w:after="0"/>
        <w:ind w:left="841" w:right="0" w:hanging="361"/>
        <w:jc w:val="left"/>
        <w:rPr>
          <w:sz w:val="22"/>
        </w:rPr>
      </w:pPr>
      <w:r>
        <w:rPr>
          <w:sz w:val="22"/>
        </w:rPr>
        <w:t>Any</w:t>
      </w:r>
      <w:r>
        <w:rPr>
          <w:spacing w:val="-4"/>
          <w:sz w:val="22"/>
        </w:rPr>
        <w:t> </w:t>
      </w:r>
      <w:r>
        <w:rPr>
          <w:sz w:val="22"/>
        </w:rPr>
        <w:t>items</w:t>
      </w:r>
      <w:r>
        <w:rPr>
          <w:spacing w:val="-4"/>
          <w:sz w:val="22"/>
        </w:rPr>
        <w:t> </w:t>
      </w:r>
      <w:r>
        <w:rPr>
          <w:sz w:val="22"/>
        </w:rPr>
        <w:t>determined</w:t>
      </w:r>
      <w:r>
        <w:rPr>
          <w:spacing w:val="-5"/>
          <w:sz w:val="22"/>
        </w:rPr>
        <w:t> </w:t>
      </w:r>
      <w:r>
        <w:rPr>
          <w:sz w:val="22"/>
        </w:rPr>
        <w:t>eligible</w:t>
      </w:r>
      <w:r>
        <w:rPr>
          <w:spacing w:val="-4"/>
          <w:sz w:val="22"/>
        </w:rPr>
        <w:t> </w:t>
      </w:r>
      <w:r>
        <w:rPr>
          <w:sz w:val="22"/>
        </w:rPr>
        <w:t>by</w:t>
      </w:r>
      <w:r>
        <w:rPr>
          <w:spacing w:val="-4"/>
          <w:sz w:val="22"/>
        </w:rPr>
        <w:t> </w:t>
      </w:r>
      <w:r>
        <w:rPr>
          <w:sz w:val="22"/>
        </w:rPr>
        <w:t>the</w:t>
      </w:r>
      <w:r>
        <w:rPr>
          <w:spacing w:val="-6"/>
          <w:sz w:val="22"/>
        </w:rPr>
        <w:t> </w:t>
      </w:r>
      <w:r>
        <w:rPr>
          <w:spacing w:val="-2"/>
          <w:sz w:val="22"/>
        </w:rPr>
        <w:t>Director</w:t>
      </w:r>
    </w:p>
    <w:p>
      <w:pPr>
        <w:pStyle w:val="BodyText"/>
        <w:spacing w:before="1"/>
        <w:rPr>
          <w:sz w:val="26"/>
        </w:rPr>
      </w:pPr>
    </w:p>
    <w:p>
      <w:pPr>
        <w:pStyle w:val="Heading5"/>
        <w:ind w:left="121"/>
      </w:pPr>
      <w:r>
        <w:rPr/>
        <w:t>Terms</w:t>
      </w:r>
      <w:r>
        <w:rPr>
          <w:spacing w:val="-3"/>
        </w:rPr>
        <w:t> </w:t>
      </w:r>
      <w:r>
        <w:rPr/>
        <w:t>of</w:t>
      </w:r>
      <w:r>
        <w:rPr>
          <w:spacing w:val="-3"/>
        </w:rPr>
        <w:t> </w:t>
      </w:r>
      <w:r>
        <w:rPr>
          <w:spacing w:val="-2"/>
        </w:rPr>
        <w:t>Assistance</w:t>
      </w:r>
    </w:p>
    <w:p>
      <w:pPr>
        <w:pStyle w:val="BodyText"/>
        <w:spacing w:before="49"/>
        <w:ind w:left="121" w:right="154"/>
        <w:jc w:val="both"/>
      </w:pPr>
      <w:r>
        <w:rPr/>
        <w:t>Major</w:t>
      </w:r>
      <w:r>
        <w:rPr>
          <w:spacing w:val="-16"/>
        </w:rPr>
        <w:t> </w:t>
      </w:r>
      <w:r>
        <w:rPr/>
        <w:t>Home</w:t>
      </w:r>
      <w:r>
        <w:rPr>
          <w:spacing w:val="-15"/>
        </w:rPr>
        <w:t> </w:t>
      </w:r>
      <w:r>
        <w:rPr/>
        <w:t>Rehabilitation</w:t>
      </w:r>
      <w:r>
        <w:rPr>
          <w:spacing w:val="-12"/>
        </w:rPr>
        <w:t> </w:t>
      </w:r>
      <w:r>
        <w:rPr/>
        <w:t>Program</w:t>
      </w:r>
      <w:r>
        <w:rPr>
          <w:spacing w:val="-14"/>
        </w:rPr>
        <w:t> </w:t>
      </w:r>
      <w:r>
        <w:rPr/>
        <w:t>assistance</w:t>
      </w:r>
      <w:r>
        <w:rPr>
          <w:spacing w:val="-16"/>
        </w:rPr>
        <w:t> </w:t>
      </w:r>
      <w:r>
        <w:rPr/>
        <w:t>is</w:t>
      </w:r>
      <w:r>
        <w:rPr>
          <w:spacing w:val="-15"/>
        </w:rPr>
        <w:t> </w:t>
      </w:r>
      <w:r>
        <w:rPr/>
        <w:t>an</w:t>
      </w:r>
      <w:r>
        <w:rPr>
          <w:spacing w:val="-12"/>
        </w:rPr>
        <w:t> </w:t>
      </w:r>
      <w:r>
        <w:rPr/>
        <w:t>interest-free,</w:t>
      </w:r>
      <w:r>
        <w:rPr>
          <w:spacing w:val="-16"/>
        </w:rPr>
        <w:t> </w:t>
      </w:r>
      <w:r>
        <w:rPr/>
        <w:t>forgivable,</w:t>
      </w:r>
      <w:r>
        <w:rPr>
          <w:spacing w:val="-13"/>
        </w:rPr>
        <w:t> </w:t>
      </w:r>
      <w:r>
        <w:rPr/>
        <w:t>self-amortizing</w:t>
      </w:r>
      <w:r>
        <w:rPr>
          <w:spacing w:val="-13"/>
        </w:rPr>
        <w:t> </w:t>
      </w:r>
      <w:r>
        <w:rPr/>
        <w:t>loan in an amount subject to the City’s assessment of needs, not to exceed 27% of HOME Homeownership</w:t>
      </w:r>
      <w:r>
        <w:rPr>
          <w:spacing w:val="-7"/>
        </w:rPr>
        <w:t> </w:t>
      </w:r>
      <w:r>
        <w:rPr/>
        <w:t>Value</w:t>
      </w:r>
      <w:r>
        <w:rPr>
          <w:spacing w:val="-7"/>
        </w:rPr>
        <w:t> </w:t>
      </w:r>
      <w:r>
        <w:rPr/>
        <w:t>Limits,</w:t>
      </w:r>
      <w:r>
        <w:rPr>
          <w:spacing w:val="-8"/>
        </w:rPr>
        <w:t> </w:t>
      </w:r>
      <w:r>
        <w:rPr/>
        <w:t>as</w:t>
      </w:r>
      <w:r>
        <w:rPr>
          <w:spacing w:val="-9"/>
        </w:rPr>
        <w:t> </w:t>
      </w:r>
      <w:r>
        <w:rPr/>
        <w:t>established</w:t>
      </w:r>
      <w:r>
        <w:rPr>
          <w:spacing w:val="-7"/>
        </w:rPr>
        <w:t> </w:t>
      </w:r>
      <w:r>
        <w:rPr/>
        <w:t>by</w:t>
      </w:r>
      <w:r>
        <w:rPr>
          <w:spacing w:val="-5"/>
        </w:rPr>
        <w:t> </w:t>
      </w:r>
      <w:r>
        <w:rPr/>
        <w:t>HUD.</w:t>
      </w:r>
      <w:r>
        <w:rPr>
          <w:spacing w:val="-6"/>
        </w:rPr>
        <w:t> </w:t>
      </w:r>
      <w:r>
        <w:rPr/>
        <w:t>The</w:t>
      </w:r>
      <w:r>
        <w:rPr>
          <w:spacing w:val="-7"/>
        </w:rPr>
        <w:t> </w:t>
      </w:r>
      <w:r>
        <w:rPr/>
        <w:t>City</w:t>
      </w:r>
      <w:r>
        <w:rPr>
          <w:spacing w:val="-9"/>
        </w:rPr>
        <w:t> </w:t>
      </w:r>
      <w:r>
        <w:rPr/>
        <w:t>loan</w:t>
      </w:r>
      <w:r>
        <w:rPr>
          <w:spacing w:val="-10"/>
        </w:rPr>
        <w:t> </w:t>
      </w:r>
      <w:r>
        <w:rPr/>
        <w:t>shall</w:t>
      </w:r>
      <w:r>
        <w:rPr>
          <w:spacing w:val="-8"/>
        </w:rPr>
        <w:t> </w:t>
      </w:r>
      <w:r>
        <w:rPr/>
        <w:t>be</w:t>
      </w:r>
      <w:r>
        <w:rPr>
          <w:spacing w:val="-7"/>
        </w:rPr>
        <w:t> </w:t>
      </w:r>
      <w:r>
        <w:rPr/>
        <w:t>secured</w:t>
      </w:r>
      <w:r>
        <w:rPr>
          <w:spacing w:val="-10"/>
        </w:rPr>
        <w:t> </w:t>
      </w:r>
      <w:r>
        <w:rPr/>
        <w:t>by</w:t>
      </w:r>
      <w:r>
        <w:rPr>
          <w:spacing w:val="-9"/>
        </w:rPr>
        <w:t> </w:t>
      </w:r>
      <w:r>
        <w:rPr/>
        <w:t>a</w:t>
      </w:r>
      <w:r>
        <w:rPr>
          <w:spacing w:val="-10"/>
        </w:rPr>
        <w:t> </w:t>
      </w:r>
      <w:r>
        <w:rPr/>
        <w:t>first</w:t>
      </w:r>
      <w:r>
        <w:rPr>
          <w:spacing w:val="-6"/>
        </w:rPr>
        <w:t> </w:t>
      </w:r>
      <w:r>
        <w:rPr/>
        <w:t>or second lien on the property, signed by Applicant as the owner of the property.</w:t>
      </w:r>
    </w:p>
    <w:p>
      <w:pPr>
        <w:pStyle w:val="BodyText"/>
        <w:spacing w:before="2"/>
      </w:pPr>
    </w:p>
    <w:p>
      <w:pPr>
        <w:pStyle w:val="BodyText"/>
        <w:ind w:left="121" w:right="154"/>
        <w:jc w:val="both"/>
      </w:pPr>
      <w:r>
        <w:rPr/>
        <w:t>Loan payments are self-amortized over the ten-year loan term and forgiven annually at the rate of one-tenth of the loan amount for every year the borrower occupies the property continuously as</w:t>
      </w:r>
      <w:r>
        <w:rPr>
          <w:spacing w:val="-16"/>
        </w:rPr>
        <w:t> </w:t>
      </w:r>
      <w:r>
        <w:rPr/>
        <w:t>his/her</w:t>
      </w:r>
      <w:r>
        <w:rPr>
          <w:spacing w:val="-13"/>
        </w:rPr>
        <w:t> </w:t>
      </w:r>
      <w:r>
        <w:rPr/>
        <w:t>primary</w:t>
      </w:r>
      <w:r>
        <w:rPr>
          <w:spacing w:val="-15"/>
        </w:rPr>
        <w:t> </w:t>
      </w:r>
      <w:r>
        <w:rPr/>
        <w:t>residence</w:t>
      </w:r>
      <w:r>
        <w:rPr>
          <w:spacing w:val="-14"/>
        </w:rPr>
        <w:t> </w:t>
      </w:r>
      <w:r>
        <w:rPr/>
        <w:t>and</w:t>
      </w:r>
      <w:r>
        <w:rPr>
          <w:spacing w:val="-14"/>
        </w:rPr>
        <w:t> </w:t>
      </w:r>
      <w:r>
        <w:rPr/>
        <w:t>complies</w:t>
      </w:r>
      <w:r>
        <w:rPr>
          <w:spacing w:val="-14"/>
        </w:rPr>
        <w:t> </w:t>
      </w:r>
      <w:r>
        <w:rPr/>
        <w:t>with</w:t>
      </w:r>
      <w:r>
        <w:rPr>
          <w:spacing w:val="-16"/>
        </w:rPr>
        <w:t> </w:t>
      </w:r>
      <w:r>
        <w:rPr/>
        <w:t>the</w:t>
      </w:r>
      <w:r>
        <w:rPr>
          <w:spacing w:val="-14"/>
        </w:rPr>
        <w:t> </w:t>
      </w:r>
      <w:r>
        <w:rPr/>
        <w:t>terms</w:t>
      </w:r>
      <w:r>
        <w:rPr>
          <w:spacing w:val="-16"/>
        </w:rPr>
        <w:t> </w:t>
      </w:r>
      <w:r>
        <w:rPr/>
        <w:t>and</w:t>
      </w:r>
      <w:r>
        <w:rPr>
          <w:spacing w:val="-14"/>
        </w:rPr>
        <w:t> </w:t>
      </w:r>
      <w:r>
        <w:rPr/>
        <w:t>conditions</w:t>
      </w:r>
      <w:r>
        <w:rPr>
          <w:spacing w:val="-14"/>
        </w:rPr>
        <w:t> </w:t>
      </w:r>
      <w:r>
        <w:rPr/>
        <w:t>of</w:t>
      </w:r>
      <w:r>
        <w:rPr>
          <w:spacing w:val="-15"/>
        </w:rPr>
        <w:t> </w:t>
      </w:r>
      <w:r>
        <w:rPr/>
        <w:t>the</w:t>
      </w:r>
      <w:r>
        <w:rPr>
          <w:spacing w:val="-16"/>
        </w:rPr>
        <w:t> </w:t>
      </w:r>
      <w:r>
        <w:rPr/>
        <w:t>contract.</w:t>
      </w:r>
      <w:r>
        <w:rPr>
          <w:spacing w:val="-12"/>
        </w:rPr>
        <w:t> </w:t>
      </w:r>
      <w:r>
        <w:rPr/>
        <w:t>The</w:t>
      </w:r>
      <w:r>
        <w:rPr>
          <w:spacing w:val="-16"/>
        </w:rPr>
        <w:t> </w:t>
      </w:r>
      <w:r>
        <w:rPr/>
        <w:t>deed restrictions and</w:t>
      </w:r>
      <w:r>
        <w:rPr>
          <w:spacing w:val="-2"/>
        </w:rPr>
        <w:t> </w:t>
      </w:r>
      <w:r>
        <w:rPr/>
        <w:t>the deed of trust shall be released on the tenth anniversary of the making of the loan</w:t>
      </w:r>
      <w:r>
        <w:rPr>
          <w:spacing w:val="-16"/>
        </w:rPr>
        <w:t> </w:t>
      </w:r>
      <w:r>
        <w:rPr/>
        <w:t>so</w:t>
      </w:r>
      <w:r>
        <w:rPr>
          <w:spacing w:val="-15"/>
        </w:rPr>
        <w:t> </w:t>
      </w:r>
      <w:r>
        <w:rPr/>
        <w:t>long</w:t>
      </w:r>
      <w:r>
        <w:rPr>
          <w:spacing w:val="-15"/>
        </w:rPr>
        <w:t> </w:t>
      </w:r>
      <w:r>
        <w:rPr/>
        <w:t>as</w:t>
      </w:r>
      <w:r>
        <w:rPr>
          <w:spacing w:val="-16"/>
        </w:rPr>
        <w:t> </w:t>
      </w:r>
      <w:r>
        <w:rPr/>
        <w:t>the</w:t>
      </w:r>
      <w:r>
        <w:rPr>
          <w:spacing w:val="-15"/>
        </w:rPr>
        <w:t> </w:t>
      </w:r>
      <w:r>
        <w:rPr/>
        <w:t>borrower</w:t>
      </w:r>
      <w:r>
        <w:rPr>
          <w:spacing w:val="-15"/>
        </w:rPr>
        <w:t> </w:t>
      </w:r>
      <w:r>
        <w:rPr/>
        <w:t>has</w:t>
      </w:r>
      <w:r>
        <w:rPr>
          <w:spacing w:val="-15"/>
        </w:rPr>
        <w:t> </w:t>
      </w:r>
      <w:r>
        <w:rPr/>
        <w:t>met</w:t>
      </w:r>
      <w:r>
        <w:rPr>
          <w:spacing w:val="-16"/>
        </w:rPr>
        <w:t> </w:t>
      </w:r>
      <w:r>
        <w:rPr/>
        <w:t>the</w:t>
      </w:r>
      <w:r>
        <w:rPr>
          <w:spacing w:val="-15"/>
        </w:rPr>
        <w:t> </w:t>
      </w:r>
      <w:r>
        <w:rPr/>
        <w:t>conditions</w:t>
      </w:r>
      <w:r>
        <w:rPr>
          <w:spacing w:val="-15"/>
        </w:rPr>
        <w:t> </w:t>
      </w:r>
      <w:r>
        <w:rPr/>
        <w:t>of</w:t>
      </w:r>
      <w:r>
        <w:rPr>
          <w:spacing w:val="-16"/>
        </w:rPr>
        <w:t> </w:t>
      </w:r>
      <w:r>
        <w:rPr/>
        <w:t>the</w:t>
      </w:r>
      <w:r>
        <w:rPr>
          <w:spacing w:val="-15"/>
        </w:rPr>
        <w:t> </w:t>
      </w:r>
      <w:r>
        <w:rPr/>
        <w:t>loan,</w:t>
      </w:r>
      <w:r>
        <w:rPr>
          <w:spacing w:val="-15"/>
        </w:rPr>
        <w:t> </w:t>
      </w:r>
      <w:r>
        <w:rPr/>
        <w:t>as</w:t>
      </w:r>
      <w:r>
        <w:rPr>
          <w:spacing w:val="-15"/>
        </w:rPr>
        <w:t> </w:t>
      </w:r>
      <w:r>
        <w:rPr/>
        <w:t>described</w:t>
      </w:r>
      <w:r>
        <w:rPr>
          <w:spacing w:val="-16"/>
        </w:rPr>
        <w:t> </w:t>
      </w:r>
      <w:r>
        <w:rPr/>
        <w:t>under</w:t>
      </w:r>
      <w:r>
        <w:rPr>
          <w:spacing w:val="-15"/>
        </w:rPr>
        <w:t> </w:t>
      </w:r>
      <w:r>
        <w:rPr/>
        <w:t>these</w:t>
      </w:r>
      <w:r>
        <w:rPr>
          <w:spacing w:val="-15"/>
        </w:rPr>
        <w:t> </w:t>
      </w:r>
      <w:r>
        <w:rPr/>
        <w:t>program requirements, for the entire term. Failure of borrower to occupy the property continuously as his/her primary residence or comply with the terms and conditions of the contract for the entire term shall result in repayment of the unamortized balance of the loan.</w:t>
      </w:r>
    </w:p>
    <w:p>
      <w:pPr>
        <w:pStyle w:val="BodyText"/>
        <w:spacing w:before="10"/>
        <w:rPr>
          <w:sz w:val="21"/>
        </w:rPr>
      </w:pPr>
    </w:p>
    <w:p>
      <w:pPr>
        <w:pStyle w:val="BodyText"/>
        <w:ind w:left="121"/>
        <w:jc w:val="both"/>
      </w:pPr>
      <w:r>
        <w:rPr/>
        <w:t>The</w:t>
      </w:r>
      <w:r>
        <w:rPr>
          <w:spacing w:val="-7"/>
        </w:rPr>
        <w:t> </w:t>
      </w:r>
      <w:r>
        <w:rPr/>
        <w:t>affordability</w:t>
      </w:r>
      <w:r>
        <w:rPr>
          <w:spacing w:val="-4"/>
        </w:rPr>
        <w:t> </w:t>
      </w:r>
      <w:r>
        <w:rPr/>
        <w:t>period</w:t>
      </w:r>
      <w:r>
        <w:rPr>
          <w:spacing w:val="-6"/>
        </w:rPr>
        <w:t> </w:t>
      </w:r>
      <w:r>
        <w:rPr/>
        <w:t>for</w:t>
      </w:r>
      <w:r>
        <w:rPr>
          <w:spacing w:val="-6"/>
        </w:rPr>
        <w:t> </w:t>
      </w:r>
      <w:r>
        <w:rPr/>
        <w:t>the</w:t>
      </w:r>
      <w:r>
        <w:rPr>
          <w:spacing w:val="-7"/>
        </w:rPr>
        <w:t> </w:t>
      </w:r>
      <w:r>
        <w:rPr/>
        <w:t>Major</w:t>
      </w:r>
      <w:r>
        <w:rPr>
          <w:spacing w:val="-3"/>
        </w:rPr>
        <w:t> </w:t>
      </w:r>
      <w:r>
        <w:rPr/>
        <w:t>Home</w:t>
      </w:r>
      <w:r>
        <w:rPr>
          <w:spacing w:val="-4"/>
        </w:rPr>
        <w:t> </w:t>
      </w:r>
      <w:r>
        <w:rPr/>
        <w:t>Rehabilitation</w:t>
      </w:r>
      <w:r>
        <w:rPr>
          <w:spacing w:val="-5"/>
        </w:rPr>
        <w:t> </w:t>
      </w:r>
      <w:r>
        <w:rPr/>
        <w:t>Program</w:t>
      </w:r>
      <w:r>
        <w:rPr>
          <w:spacing w:val="-4"/>
        </w:rPr>
        <w:t> </w:t>
      </w:r>
      <w:r>
        <w:rPr/>
        <w:t>shall</w:t>
      </w:r>
      <w:r>
        <w:rPr>
          <w:spacing w:val="-5"/>
        </w:rPr>
        <w:t> </w:t>
      </w:r>
      <w:r>
        <w:rPr/>
        <w:t>be</w:t>
      </w:r>
      <w:r>
        <w:rPr>
          <w:spacing w:val="-5"/>
        </w:rPr>
        <w:t> </w:t>
      </w:r>
      <w:r>
        <w:rPr/>
        <w:t>ten</w:t>
      </w:r>
      <w:r>
        <w:rPr>
          <w:spacing w:val="-6"/>
        </w:rPr>
        <w:t> </w:t>
      </w:r>
      <w:r>
        <w:rPr/>
        <w:t>(10)</w:t>
      </w:r>
      <w:r>
        <w:rPr>
          <w:spacing w:val="-3"/>
        </w:rPr>
        <w:t> </w:t>
      </w:r>
      <w:r>
        <w:rPr>
          <w:spacing w:val="-2"/>
        </w:rPr>
        <w:t>years.</w:t>
      </w:r>
    </w:p>
    <w:p>
      <w:pPr>
        <w:pStyle w:val="BodyText"/>
      </w:pPr>
    </w:p>
    <w:p>
      <w:pPr>
        <w:pStyle w:val="BodyText"/>
        <w:ind w:left="121" w:right="154" w:firstLine="62"/>
        <w:jc w:val="both"/>
      </w:pPr>
      <w:r>
        <w:rPr/>
        <w:t>Applicant</w:t>
      </w:r>
      <w:r>
        <w:rPr>
          <w:spacing w:val="-3"/>
        </w:rPr>
        <w:t> </w:t>
      </w:r>
      <w:r>
        <w:rPr/>
        <w:t>shall</w:t>
      </w:r>
      <w:r>
        <w:rPr>
          <w:spacing w:val="-5"/>
        </w:rPr>
        <w:t> </w:t>
      </w:r>
      <w:r>
        <w:rPr/>
        <w:t>be</w:t>
      </w:r>
      <w:r>
        <w:rPr>
          <w:spacing w:val="-4"/>
        </w:rPr>
        <w:t> </w:t>
      </w:r>
      <w:r>
        <w:rPr/>
        <w:t>required</w:t>
      </w:r>
      <w:r>
        <w:rPr>
          <w:spacing w:val="-4"/>
        </w:rPr>
        <w:t> </w:t>
      </w:r>
      <w:r>
        <w:rPr/>
        <w:t>to</w:t>
      </w:r>
      <w:r>
        <w:rPr>
          <w:spacing w:val="-4"/>
        </w:rPr>
        <w:t> </w:t>
      </w:r>
      <w:r>
        <w:rPr/>
        <w:t>provide</w:t>
      </w:r>
      <w:r>
        <w:rPr>
          <w:spacing w:val="-4"/>
        </w:rPr>
        <w:t> </w:t>
      </w:r>
      <w:r>
        <w:rPr/>
        <w:t>on-going</w:t>
      </w:r>
      <w:r>
        <w:rPr>
          <w:spacing w:val="-4"/>
        </w:rPr>
        <w:t> </w:t>
      </w:r>
      <w:r>
        <w:rPr/>
        <w:t>proof</w:t>
      </w:r>
      <w:r>
        <w:rPr>
          <w:spacing w:val="-3"/>
        </w:rPr>
        <w:t> </w:t>
      </w:r>
      <w:r>
        <w:rPr/>
        <w:t>of</w:t>
      </w:r>
      <w:r>
        <w:rPr>
          <w:spacing w:val="-5"/>
        </w:rPr>
        <w:t> </w:t>
      </w:r>
      <w:r>
        <w:rPr/>
        <w:t>insurance</w:t>
      </w:r>
      <w:r>
        <w:rPr>
          <w:spacing w:val="-6"/>
        </w:rPr>
        <w:t> </w:t>
      </w:r>
      <w:r>
        <w:rPr/>
        <w:t>to</w:t>
      </w:r>
      <w:r>
        <w:rPr>
          <w:spacing w:val="-7"/>
        </w:rPr>
        <w:t> </w:t>
      </w:r>
      <w:r>
        <w:rPr/>
        <w:t>the</w:t>
      </w:r>
      <w:r>
        <w:rPr>
          <w:spacing w:val="-4"/>
        </w:rPr>
        <w:t> </w:t>
      </w:r>
      <w:r>
        <w:rPr/>
        <w:t>City,</w:t>
      </w:r>
      <w:r>
        <w:rPr>
          <w:spacing w:val="-5"/>
        </w:rPr>
        <w:t> </w:t>
      </w:r>
      <w:r>
        <w:rPr/>
        <w:t>with</w:t>
      </w:r>
      <w:r>
        <w:rPr>
          <w:spacing w:val="-4"/>
        </w:rPr>
        <w:t> </w:t>
      </w:r>
      <w:r>
        <w:rPr/>
        <w:t>the</w:t>
      </w:r>
      <w:r>
        <w:rPr>
          <w:spacing w:val="-6"/>
        </w:rPr>
        <w:t> </w:t>
      </w:r>
      <w:r>
        <w:rPr/>
        <w:t>City</w:t>
      </w:r>
      <w:r>
        <w:rPr>
          <w:spacing w:val="-4"/>
        </w:rPr>
        <w:t> </w:t>
      </w:r>
      <w:r>
        <w:rPr/>
        <w:t>as</w:t>
      </w:r>
      <w:r>
        <w:rPr>
          <w:spacing w:val="-6"/>
        </w:rPr>
        <w:t> </w:t>
      </w:r>
      <w:r>
        <w:rPr/>
        <w:t>an added insured. Applicant must certify annually that the home is not for sale, is the primary residence of the Applicant, and any other certifications required by the City in the contract, until the balance of the loan is repaid to the City or until the full amount of the loan is forgiven.</w:t>
      </w:r>
    </w:p>
    <w:p>
      <w:pPr>
        <w:spacing w:after="0"/>
        <w:jc w:val="both"/>
        <w:sectPr>
          <w:pgSz w:w="12240" w:h="15840"/>
          <w:pgMar w:header="0" w:footer="1738" w:top="1360" w:bottom="1920" w:left="1320" w:right="1280"/>
        </w:sectPr>
      </w:pPr>
    </w:p>
    <w:p>
      <w:pPr>
        <w:pStyle w:val="BodyText"/>
        <w:spacing w:before="80"/>
        <w:ind w:left="120" w:right="50"/>
      </w:pPr>
      <w:r>
        <w:rPr/>
        <w:t>In addition to execution of a loan agreement, execution and recordation of a deed of trust, deed restriction, and a note will be required for the ten-year term.</w:t>
      </w:r>
    </w:p>
    <w:p>
      <w:pPr>
        <w:pStyle w:val="BodyText"/>
        <w:spacing w:before="10"/>
        <w:rPr>
          <w:sz w:val="21"/>
        </w:rPr>
      </w:pPr>
    </w:p>
    <w:p>
      <w:pPr>
        <w:pStyle w:val="BodyText"/>
        <w:spacing w:before="1"/>
        <w:ind w:left="120"/>
      </w:pPr>
      <w:r>
        <w:rPr/>
        <w:t>Applicant may repay Rehabilitation loans at any time without penalty. All loans are immediately payable upon the earlier of:</w:t>
      </w:r>
    </w:p>
    <w:p>
      <w:pPr>
        <w:pStyle w:val="ListParagraph"/>
        <w:numPr>
          <w:ilvl w:val="0"/>
          <w:numId w:val="5"/>
        </w:numPr>
        <w:tabs>
          <w:tab w:pos="839" w:val="left" w:leader="none"/>
          <w:tab w:pos="841" w:val="left" w:leader="none"/>
        </w:tabs>
        <w:spacing w:line="268" w:lineRule="exact" w:before="2" w:after="0"/>
        <w:ind w:left="840" w:right="0" w:hanging="362"/>
        <w:jc w:val="left"/>
        <w:rPr>
          <w:sz w:val="22"/>
        </w:rPr>
      </w:pPr>
      <w:r>
        <w:rPr>
          <w:sz w:val="22"/>
        </w:rPr>
        <w:t>The</w:t>
      </w:r>
      <w:r>
        <w:rPr>
          <w:spacing w:val="-7"/>
          <w:sz w:val="22"/>
        </w:rPr>
        <w:t> </w:t>
      </w:r>
      <w:r>
        <w:rPr>
          <w:sz w:val="22"/>
        </w:rPr>
        <w:t>sale,</w:t>
      </w:r>
      <w:r>
        <w:rPr>
          <w:spacing w:val="-7"/>
          <w:sz w:val="22"/>
        </w:rPr>
        <w:t> </w:t>
      </w:r>
      <w:r>
        <w:rPr>
          <w:sz w:val="22"/>
        </w:rPr>
        <w:t>conveyance,</w:t>
      </w:r>
      <w:r>
        <w:rPr>
          <w:spacing w:val="-6"/>
          <w:sz w:val="22"/>
        </w:rPr>
        <w:t> </w:t>
      </w:r>
      <w:r>
        <w:rPr>
          <w:sz w:val="22"/>
        </w:rPr>
        <w:t>transfer,</w:t>
      </w:r>
      <w:r>
        <w:rPr>
          <w:spacing w:val="-7"/>
          <w:sz w:val="22"/>
        </w:rPr>
        <w:t> </w:t>
      </w:r>
      <w:r>
        <w:rPr>
          <w:sz w:val="22"/>
        </w:rPr>
        <w:t>rental,</w:t>
      </w:r>
      <w:r>
        <w:rPr>
          <w:spacing w:val="-6"/>
          <w:sz w:val="22"/>
        </w:rPr>
        <w:t> </w:t>
      </w:r>
      <w:r>
        <w:rPr>
          <w:sz w:val="22"/>
        </w:rPr>
        <w:t>hypothecation</w:t>
      </w:r>
      <w:r>
        <w:rPr>
          <w:spacing w:val="-5"/>
          <w:sz w:val="22"/>
        </w:rPr>
        <w:t> </w:t>
      </w:r>
      <w:r>
        <w:rPr>
          <w:sz w:val="22"/>
        </w:rPr>
        <w:t>of</w:t>
      </w:r>
      <w:r>
        <w:rPr>
          <w:spacing w:val="-7"/>
          <w:sz w:val="22"/>
        </w:rPr>
        <w:t> </w:t>
      </w:r>
      <w:r>
        <w:rPr>
          <w:sz w:val="22"/>
        </w:rPr>
        <w:t>the</w:t>
      </w:r>
      <w:r>
        <w:rPr>
          <w:spacing w:val="-8"/>
          <w:sz w:val="22"/>
        </w:rPr>
        <w:t> </w:t>
      </w:r>
      <w:r>
        <w:rPr>
          <w:sz w:val="22"/>
        </w:rPr>
        <w:t>security;</w:t>
      </w:r>
      <w:r>
        <w:rPr>
          <w:spacing w:val="-3"/>
          <w:sz w:val="22"/>
        </w:rPr>
        <w:t> </w:t>
      </w:r>
      <w:r>
        <w:rPr>
          <w:spacing w:val="-5"/>
          <w:sz w:val="22"/>
        </w:rPr>
        <w:t>or</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If</w:t>
      </w:r>
      <w:r>
        <w:rPr>
          <w:spacing w:val="-5"/>
          <w:sz w:val="22"/>
        </w:rPr>
        <w:t> </w:t>
      </w:r>
      <w:r>
        <w:rPr>
          <w:sz w:val="22"/>
        </w:rPr>
        <w:t>the</w:t>
      </w:r>
      <w:r>
        <w:rPr>
          <w:spacing w:val="-4"/>
          <w:sz w:val="22"/>
        </w:rPr>
        <w:t> </w:t>
      </w:r>
      <w:r>
        <w:rPr>
          <w:sz w:val="22"/>
        </w:rPr>
        <w:t>home</w:t>
      </w:r>
      <w:r>
        <w:rPr>
          <w:spacing w:val="-4"/>
          <w:sz w:val="22"/>
        </w:rPr>
        <w:t> </w:t>
      </w:r>
      <w:r>
        <w:rPr>
          <w:sz w:val="22"/>
        </w:rPr>
        <w:t>is</w:t>
      </w:r>
      <w:r>
        <w:rPr>
          <w:spacing w:val="-2"/>
          <w:sz w:val="22"/>
        </w:rPr>
        <w:t> </w:t>
      </w:r>
      <w:r>
        <w:rPr>
          <w:sz w:val="22"/>
        </w:rPr>
        <w:t>vacated</w:t>
      </w:r>
      <w:r>
        <w:rPr>
          <w:spacing w:val="-4"/>
          <w:sz w:val="22"/>
        </w:rPr>
        <w:t> </w:t>
      </w:r>
      <w:r>
        <w:rPr>
          <w:sz w:val="22"/>
        </w:rPr>
        <w:t>during</w:t>
      </w:r>
      <w:r>
        <w:rPr>
          <w:spacing w:val="-2"/>
          <w:sz w:val="22"/>
        </w:rPr>
        <w:t> </w:t>
      </w:r>
      <w:r>
        <w:rPr>
          <w:sz w:val="22"/>
        </w:rPr>
        <w:t>the</w:t>
      </w:r>
      <w:r>
        <w:rPr>
          <w:spacing w:val="-4"/>
          <w:sz w:val="22"/>
        </w:rPr>
        <w:t> </w:t>
      </w:r>
      <w:r>
        <w:rPr>
          <w:sz w:val="22"/>
        </w:rPr>
        <w:t>term</w:t>
      </w:r>
      <w:r>
        <w:rPr>
          <w:spacing w:val="-4"/>
          <w:sz w:val="22"/>
        </w:rPr>
        <w:t> </w:t>
      </w:r>
      <w:r>
        <w:rPr>
          <w:sz w:val="22"/>
        </w:rPr>
        <w:t>of</w:t>
      </w:r>
      <w:r>
        <w:rPr>
          <w:spacing w:val="-5"/>
          <w:sz w:val="22"/>
        </w:rPr>
        <w:t> </w:t>
      </w:r>
      <w:r>
        <w:rPr>
          <w:sz w:val="22"/>
        </w:rPr>
        <w:t>the</w:t>
      </w:r>
      <w:r>
        <w:rPr>
          <w:spacing w:val="-2"/>
          <w:sz w:val="22"/>
        </w:rPr>
        <w:t> </w:t>
      </w:r>
      <w:r>
        <w:rPr>
          <w:sz w:val="22"/>
        </w:rPr>
        <w:t>loan; </w:t>
      </w:r>
      <w:r>
        <w:rPr>
          <w:spacing w:val="-5"/>
          <w:sz w:val="22"/>
        </w:rPr>
        <w:t>or</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pict>
          <v:shape style="position:absolute;margin-left:90.065002pt;margin-top:7.103793pt;width:395.3pt;height:419pt;mso-position-horizontal-relative:page;mso-position-vertical-relative:paragraph;z-index:-17734656" id="docshape25" coordorigin="1801,142" coordsize="7906,8380" path="m4498,7406l4492,7332,4477,7254,4455,7171,4432,7102,4403,7030,4367,6955,4325,6877,4276,6797,4237,6738,4200,6687,4200,7372,4197,7429,4186,7486,4167,7543,4138,7603,4097,7665,4044,7732,3979,7801,3674,8106,2216,6649,2517,6348,2598,6272,2672,6212,2740,6168,2801,6142,2868,6127,2941,6123,3020,6130,3105,6148,3195,6177,3255,6203,3317,6235,3380,6274,3446,6319,3514,6370,3584,6428,3656,6493,3729,6564,3789,6626,3845,6686,3896,6745,3943,6803,3986,6860,4025,6915,4059,6969,4101,7043,4136,7116,4163,7185,4183,7252,4196,7316,4200,7372,4200,6687,4194,6678,4148,6618,4098,6557,4045,6496,3989,6435,3929,6373,3865,6311,3801,6253,3737,6198,3673,6146,3643,6123,3609,6098,3546,6054,3482,6012,3419,5974,3346,5937,3274,5904,3203,5877,3132,5855,3062,5838,2992,5826,2923,5819,2850,5817,2779,5824,2709,5839,2642,5862,2577,5892,2528,5921,2476,5958,2420,6003,2359,6057,2294,6120,1801,6613,3710,8521,4124,8106,4226,8005,4287,7940,4341,7874,4386,7808,4424,7742,4454,7675,4476,7609,4491,7542,4498,7474,4498,7406xm6418,5813l6056,5685,5650,5542,5561,5513,5475,5489,5393,5470,5365,5465,5314,5456,5239,5446,5193,5444,5143,5447,5089,5454,5030,5465,5073,5395,5109,5326,5136,5256,5154,5188,5164,5119,5165,5051,5157,4983,5139,4905,5111,4829,5075,4754,5030,4682,4976,4611,4956,4588,4913,4542,4872,4504,4872,5061,4868,5117,4854,5172,4830,5228,4794,5287,4747,5348,4687,5411,4280,5818,3649,5187,4102,4734,4166,4677,4229,4634,4293,4605,4358,4589,4422,4588,4501,4603,4577,4633,4649,4678,4718,4737,4761,4785,4797,4836,4827,4889,4851,4946,4867,5004,4872,5061,4872,4504,4849,4483,4782,4430,4713,4385,4641,4346,4566,4314,4474,4286,4386,4273,4303,4275,4225,4291,4163,4316,4098,4352,4030,4401,3958,4460,3883,4531,3248,5166,5157,7074,5346,6885,4499,6037,4718,5818,4753,5784,4783,5757,4810,5736,4833,5721,4863,5708,4896,5697,4932,5689,4971,5685,5014,5685,5066,5690,5125,5701,5194,5717,5256,5734,5328,5755,5407,5780,5496,5809,6180,6051,6418,5813xm7780,4450l7415,4255,6555,3801,6555,4108,6070,4593,6030,4522,5989,4450,5748,4020,5708,3948,5668,3876,5629,3811,5590,3746,5550,3682,5509,3619,5467,3557,5424,3496,5380,3435,5436,3471,5498,3508,5564,3548,5635,3590,5792,3681,6555,4108,6555,3801,5862,3435,5286,3128,5082,3332,5277,3683,5316,3753,5701,4450,6207,5369,6441,5790,6642,5589,6565,5455,6298,4987,6221,4854,6481,4593,6820,4255,7173,4450,7565,4666,7780,4450xm8131,4100l7264,3233,7936,2561,7711,2336,7039,3008,6448,2417,7224,1641,6999,1415,6033,2381,7941,4289,8131,4100xm9707,2524l8024,841,8497,367,8272,142,7138,1277,7363,1502,7834,1030,9517,2713,9707,2524xe" filled="true" fillcolor="#c0c0c0" stroked="false">
            <v:path arrowok="t"/>
            <v:fill opacity="32896f" type="solid"/>
            <w10:wrap type="none"/>
          </v:shape>
        </w:pict>
      </w:r>
      <w:r>
        <w:rPr>
          <w:sz w:val="22"/>
        </w:rPr>
        <w:t>Failure</w:t>
      </w:r>
      <w:r>
        <w:rPr>
          <w:spacing w:val="-4"/>
          <w:sz w:val="22"/>
        </w:rPr>
        <w:t> </w:t>
      </w:r>
      <w:r>
        <w:rPr>
          <w:sz w:val="22"/>
        </w:rPr>
        <w:t>to</w:t>
      </w:r>
      <w:r>
        <w:rPr>
          <w:spacing w:val="-3"/>
          <w:sz w:val="22"/>
        </w:rPr>
        <w:t> </w:t>
      </w:r>
      <w:r>
        <w:rPr>
          <w:sz w:val="22"/>
        </w:rPr>
        <w:t>adhere</w:t>
      </w:r>
      <w:r>
        <w:rPr>
          <w:spacing w:val="-5"/>
          <w:sz w:val="22"/>
        </w:rPr>
        <w:t> </w:t>
      </w:r>
      <w:r>
        <w:rPr>
          <w:sz w:val="22"/>
        </w:rPr>
        <w:t>to</w:t>
      </w:r>
      <w:r>
        <w:rPr>
          <w:spacing w:val="-6"/>
          <w:sz w:val="22"/>
        </w:rPr>
        <w:t> </w:t>
      </w:r>
      <w:r>
        <w:rPr>
          <w:sz w:val="22"/>
        </w:rPr>
        <w:t>the</w:t>
      </w:r>
      <w:r>
        <w:rPr>
          <w:spacing w:val="-7"/>
          <w:sz w:val="22"/>
        </w:rPr>
        <w:t> </w:t>
      </w:r>
      <w:r>
        <w:rPr>
          <w:sz w:val="22"/>
        </w:rPr>
        <w:t>provisions</w:t>
      </w:r>
      <w:r>
        <w:rPr>
          <w:spacing w:val="-2"/>
          <w:sz w:val="22"/>
        </w:rPr>
        <w:t> </w:t>
      </w:r>
      <w:r>
        <w:rPr>
          <w:sz w:val="22"/>
        </w:rPr>
        <w:t>of</w:t>
      </w:r>
      <w:r>
        <w:rPr>
          <w:spacing w:val="-5"/>
          <w:sz w:val="22"/>
        </w:rPr>
        <w:t> </w:t>
      </w:r>
      <w:r>
        <w:rPr>
          <w:sz w:val="22"/>
        </w:rPr>
        <w:t>the</w:t>
      </w:r>
      <w:r>
        <w:rPr>
          <w:spacing w:val="-5"/>
          <w:sz w:val="22"/>
        </w:rPr>
        <w:t> </w:t>
      </w:r>
      <w:r>
        <w:rPr>
          <w:sz w:val="22"/>
        </w:rPr>
        <w:t>loan</w:t>
      </w:r>
      <w:r>
        <w:rPr>
          <w:spacing w:val="-3"/>
          <w:sz w:val="22"/>
        </w:rPr>
        <w:t> </w:t>
      </w:r>
      <w:r>
        <w:rPr>
          <w:sz w:val="22"/>
        </w:rPr>
        <w:t>agreement;</w:t>
      </w:r>
      <w:r>
        <w:rPr>
          <w:spacing w:val="-3"/>
          <w:sz w:val="22"/>
        </w:rPr>
        <w:t> </w:t>
      </w:r>
      <w:r>
        <w:rPr>
          <w:spacing w:val="-5"/>
          <w:sz w:val="22"/>
        </w:rPr>
        <w:t>or</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If</w:t>
      </w:r>
      <w:r>
        <w:rPr>
          <w:spacing w:val="-6"/>
          <w:sz w:val="22"/>
        </w:rPr>
        <w:t> </w:t>
      </w:r>
      <w:r>
        <w:rPr>
          <w:sz w:val="22"/>
        </w:rPr>
        <w:t>property</w:t>
      </w:r>
      <w:r>
        <w:rPr>
          <w:spacing w:val="-6"/>
          <w:sz w:val="22"/>
        </w:rPr>
        <w:t> </w:t>
      </w:r>
      <w:r>
        <w:rPr>
          <w:sz w:val="22"/>
        </w:rPr>
        <w:t>insurance,</w:t>
      </w:r>
      <w:r>
        <w:rPr>
          <w:spacing w:val="-4"/>
          <w:sz w:val="22"/>
        </w:rPr>
        <w:t> </w:t>
      </w:r>
      <w:r>
        <w:rPr>
          <w:sz w:val="22"/>
        </w:rPr>
        <w:t>satisfactory</w:t>
      </w:r>
      <w:r>
        <w:rPr>
          <w:spacing w:val="-6"/>
          <w:sz w:val="22"/>
        </w:rPr>
        <w:t> </w:t>
      </w:r>
      <w:r>
        <w:rPr>
          <w:sz w:val="22"/>
        </w:rPr>
        <w:t>to</w:t>
      </w:r>
      <w:r>
        <w:rPr>
          <w:spacing w:val="-6"/>
          <w:sz w:val="22"/>
        </w:rPr>
        <w:t> </w:t>
      </w:r>
      <w:r>
        <w:rPr>
          <w:sz w:val="22"/>
        </w:rPr>
        <w:t>the</w:t>
      </w:r>
      <w:r>
        <w:rPr>
          <w:spacing w:val="-3"/>
          <w:sz w:val="22"/>
        </w:rPr>
        <w:t> </w:t>
      </w:r>
      <w:r>
        <w:rPr>
          <w:sz w:val="22"/>
        </w:rPr>
        <w:t>City,</w:t>
      </w:r>
      <w:r>
        <w:rPr>
          <w:spacing w:val="-4"/>
          <w:sz w:val="22"/>
        </w:rPr>
        <w:t> </w:t>
      </w:r>
      <w:r>
        <w:rPr>
          <w:sz w:val="22"/>
        </w:rPr>
        <w:t>is</w:t>
      </w:r>
      <w:r>
        <w:rPr>
          <w:spacing w:val="-3"/>
          <w:sz w:val="22"/>
        </w:rPr>
        <w:t> </w:t>
      </w:r>
      <w:r>
        <w:rPr>
          <w:sz w:val="22"/>
        </w:rPr>
        <w:t>not</w:t>
      </w:r>
      <w:r>
        <w:rPr>
          <w:spacing w:val="-5"/>
          <w:sz w:val="22"/>
        </w:rPr>
        <w:t> </w:t>
      </w:r>
      <w:r>
        <w:rPr>
          <w:sz w:val="22"/>
        </w:rPr>
        <w:t>maintained</w:t>
      </w:r>
      <w:r>
        <w:rPr>
          <w:spacing w:val="-3"/>
          <w:sz w:val="22"/>
        </w:rPr>
        <w:t> </w:t>
      </w:r>
      <w:r>
        <w:rPr>
          <w:sz w:val="22"/>
        </w:rPr>
        <w:t>on</w:t>
      </w:r>
      <w:r>
        <w:rPr>
          <w:spacing w:val="-6"/>
          <w:sz w:val="22"/>
        </w:rPr>
        <w:t> </w:t>
      </w:r>
      <w:r>
        <w:rPr>
          <w:sz w:val="22"/>
        </w:rPr>
        <w:t>the</w:t>
      </w:r>
      <w:r>
        <w:rPr>
          <w:spacing w:val="-5"/>
          <w:sz w:val="22"/>
        </w:rPr>
        <w:t> </w:t>
      </w:r>
      <w:r>
        <w:rPr>
          <w:spacing w:val="-2"/>
          <w:sz w:val="22"/>
        </w:rPr>
        <w:t>property.</w:t>
      </w:r>
    </w:p>
    <w:p>
      <w:pPr>
        <w:pStyle w:val="ListParagraph"/>
        <w:numPr>
          <w:ilvl w:val="0"/>
          <w:numId w:val="5"/>
        </w:numPr>
        <w:tabs>
          <w:tab w:pos="840" w:val="left" w:leader="none"/>
          <w:tab w:pos="841" w:val="left" w:leader="none"/>
        </w:tabs>
        <w:spacing w:line="269" w:lineRule="exact" w:before="0" w:after="0"/>
        <w:ind w:left="840" w:right="0" w:hanging="361"/>
        <w:jc w:val="left"/>
        <w:rPr>
          <w:sz w:val="22"/>
        </w:rPr>
      </w:pPr>
      <w:r>
        <w:rPr>
          <w:sz w:val="22"/>
        </w:rPr>
        <w:t>If</w:t>
      </w:r>
      <w:r>
        <w:rPr>
          <w:spacing w:val="-4"/>
          <w:sz w:val="22"/>
        </w:rPr>
        <w:t> </w:t>
      </w:r>
      <w:r>
        <w:rPr>
          <w:sz w:val="22"/>
        </w:rPr>
        <w:t>the</w:t>
      </w:r>
      <w:r>
        <w:rPr>
          <w:spacing w:val="-5"/>
          <w:sz w:val="22"/>
        </w:rPr>
        <w:t> </w:t>
      </w:r>
      <w:r>
        <w:rPr>
          <w:sz w:val="22"/>
        </w:rPr>
        <w:t>Applicant</w:t>
      </w:r>
      <w:r>
        <w:rPr>
          <w:spacing w:val="-4"/>
          <w:sz w:val="22"/>
        </w:rPr>
        <w:t> </w:t>
      </w:r>
      <w:r>
        <w:rPr>
          <w:sz w:val="22"/>
        </w:rPr>
        <w:t>falls</w:t>
      </w:r>
      <w:r>
        <w:rPr>
          <w:spacing w:val="-2"/>
          <w:sz w:val="22"/>
        </w:rPr>
        <w:t> </w:t>
      </w:r>
      <w:r>
        <w:rPr>
          <w:sz w:val="22"/>
        </w:rPr>
        <w:t>behind</w:t>
      </w:r>
      <w:r>
        <w:rPr>
          <w:spacing w:val="-3"/>
          <w:sz w:val="22"/>
        </w:rPr>
        <w:t> </w:t>
      </w:r>
      <w:r>
        <w:rPr>
          <w:sz w:val="22"/>
        </w:rPr>
        <w:t>on</w:t>
      </w:r>
      <w:r>
        <w:rPr>
          <w:spacing w:val="-6"/>
          <w:sz w:val="22"/>
        </w:rPr>
        <w:t> </w:t>
      </w:r>
      <w:r>
        <w:rPr>
          <w:sz w:val="22"/>
        </w:rPr>
        <w:t>the</w:t>
      </w:r>
      <w:r>
        <w:rPr>
          <w:spacing w:val="-5"/>
          <w:sz w:val="22"/>
        </w:rPr>
        <w:t> </w:t>
      </w:r>
      <w:r>
        <w:rPr>
          <w:sz w:val="22"/>
        </w:rPr>
        <w:t>mortgage</w:t>
      </w:r>
      <w:r>
        <w:rPr>
          <w:spacing w:val="-3"/>
          <w:sz w:val="22"/>
        </w:rPr>
        <w:t> </w:t>
      </w:r>
      <w:r>
        <w:rPr>
          <w:sz w:val="22"/>
        </w:rPr>
        <w:t>of</w:t>
      </w:r>
      <w:r>
        <w:rPr>
          <w:spacing w:val="-3"/>
          <w:sz w:val="22"/>
        </w:rPr>
        <w:t> </w:t>
      </w:r>
      <w:r>
        <w:rPr>
          <w:sz w:val="22"/>
        </w:rPr>
        <w:t>their</w:t>
      </w:r>
      <w:r>
        <w:rPr>
          <w:spacing w:val="-1"/>
          <w:sz w:val="22"/>
        </w:rPr>
        <w:t> </w:t>
      </w:r>
      <w:r>
        <w:rPr>
          <w:spacing w:val="-2"/>
          <w:sz w:val="22"/>
        </w:rPr>
        <w:t>home.</w:t>
      </w:r>
    </w:p>
    <w:p>
      <w:pPr>
        <w:pStyle w:val="ListParagraph"/>
        <w:numPr>
          <w:ilvl w:val="0"/>
          <w:numId w:val="5"/>
        </w:numPr>
        <w:tabs>
          <w:tab w:pos="840" w:val="left" w:leader="none"/>
          <w:tab w:pos="841" w:val="left" w:leader="none"/>
        </w:tabs>
        <w:spacing w:line="237" w:lineRule="auto" w:before="2" w:after="0"/>
        <w:ind w:left="840" w:right="153" w:hanging="361"/>
        <w:jc w:val="left"/>
        <w:rPr>
          <w:sz w:val="22"/>
        </w:rPr>
      </w:pPr>
      <w:r>
        <w:rPr>
          <w:sz w:val="22"/>
        </w:rPr>
        <w:t>Failure to otherwise adhere to the provisions under the City’s contract, deed restrictions, deed of trust and/or the note.</w:t>
      </w:r>
    </w:p>
    <w:p>
      <w:pPr>
        <w:pStyle w:val="BodyText"/>
        <w:spacing w:before="9"/>
        <w:rPr>
          <w:sz w:val="21"/>
        </w:rPr>
      </w:pPr>
    </w:p>
    <w:p>
      <w:pPr>
        <w:pStyle w:val="BodyText"/>
        <w:ind w:left="120"/>
      </w:pPr>
      <w:r>
        <w:rPr/>
        <w:t>Major Home Rehabilitation Program loans are not assumable except under the following limited </w:t>
      </w:r>
      <w:r>
        <w:rPr>
          <w:spacing w:val="-2"/>
        </w:rPr>
        <w:t>circumstances:</w:t>
      </w:r>
    </w:p>
    <w:p>
      <w:pPr>
        <w:pStyle w:val="ListParagraph"/>
        <w:numPr>
          <w:ilvl w:val="0"/>
          <w:numId w:val="5"/>
        </w:numPr>
        <w:tabs>
          <w:tab w:pos="840" w:val="left" w:leader="none"/>
          <w:tab w:pos="841" w:val="left" w:leader="none"/>
        </w:tabs>
        <w:spacing w:line="268" w:lineRule="exact" w:before="3" w:after="0"/>
        <w:ind w:left="840" w:right="0" w:hanging="361"/>
        <w:jc w:val="left"/>
        <w:rPr>
          <w:sz w:val="22"/>
        </w:rPr>
      </w:pPr>
      <w:r>
        <w:rPr>
          <w:sz w:val="22"/>
        </w:rPr>
        <w:t>Transfer</w:t>
      </w:r>
      <w:r>
        <w:rPr>
          <w:spacing w:val="-2"/>
          <w:sz w:val="22"/>
        </w:rPr>
        <w:t> </w:t>
      </w:r>
      <w:r>
        <w:rPr>
          <w:sz w:val="22"/>
        </w:rPr>
        <w:t>of</w:t>
      </w:r>
      <w:r>
        <w:rPr>
          <w:spacing w:val="-2"/>
          <w:sz w:val="22"/>
        </w:rPr>
        <w:t> </w:t>
      </w:r>
      <w:r>
        <w:rPr>
          <w:sz w:val="22"/>
        </w:rPr>
        <w:t>property</w:t>
      </w:r>
      <w:r>
        <w:rPr>
          <w:spacing w:val="-5"/>
          <w:sz w:val="22"/>
        </w:rPr>
        <w:t> </w:t>
      </w:r>
      <w:r>
        <w:rPr>
          <w:sz w:val="22"/>
        </w:rPr>
        <w:t>to</w:t>
      </w:r>
      <w:r>
        <w:rPr>
          <w:spacing w:val="-6"/>
          <w:sz w:val="22"/>
        </w:rPr>
        <w:t> </w:t>
      </w:r>
      <w:r>
        <w:rPr>
          <w:sz w:val="22"/>
        </w:rPr>
        <w:t>a</w:t>
      </w:r>
      <w:r>
        <w:rPr>
          <w:spacing w:val="-5"/>
          <w:sz w:val="22"/>
        </w:rPr>
        <w:t> </w:t>
      </w:r>
      <w:r>
        <w:rPr>
          <w:sz w:val="22"/>
        </w:rPr>
        <w:t>surviving</w:t>
      </w:r>
      <w:r>
        <w:rPr>
          <w:spacing w:val="-3"/>
          <w:sz w:val="22"/>
        </w:rPr>
        <w:t> </w:t>
      </w:r>
      <w:r>
        <w:rPr>
          <w:spacing w:val="-2"/>
          <w:sz w:val="22"/>
        </w:rPr>
        <w:t>spouse;</w:t>
      </w:r>
    </w:p>
    <w:p>
      <w:pPr>
        <w:pStyle w:val="ListParagraph"/>
        <w:numPr>
          <w:ilvl w:val="0"/>
          <w:numId w:val="5"/>
        </w:numPr>
        <w:tabs>
          <w:tab w:pos="840" w:val="left" w:leader="none"/>
          <w:tab w:pos="841" w:val="left" w:leader="none"/>
        </w:tabs>
        <w:spacing w:line="268" w:lineRule="exact" w:before="0" w:after="0"/>
        <w:ind w:left="840" w:right="0" w:hanging="361"/>
        <w:jc w:val="left"/>
        <w:rPr>
          <w:sz w:val="22"/>
        </w:rPr>
      </w:pPr>
      <w:r>
        <w:rPr>
          <w:sz w:val="22"/>
        </w:rPr>
        <w:t>Transfer</w:t>
      </w:r>
      <w:r>
        <w:rPr>
          <w:spacing w:val="-2"/>
          <w:sz w:val="22"/>
        </w:rPr>
        <w:t> </w:t>
      </w:r>
      <w:r>
        <w:rPr>
          <w:sz w:val="22"/>
        </w:rPr>
        <w:t>of</w:t>
      </w:r>
      <w:r>
        <w:rPr>
          <w:spacing w:val="-2"/>
          <w:sz w:val="22"/>
        </w:rPr>
        <w:t> </w:t>
      </w:r>
      <w:r>
        <w:rPr>
          <w:sz w:val="22"/>
        </w:rPr>
        <w:t>property</w:t>
      </w:r>
      <w:r>
        <w:rPr>
          <w:spacing w:val="-5"/>
          <w:sz w:val="22"/>
        </w:rPr>
        <w:t> </w:t>
      </w:r>
      <w:r>
        <w:rPr>
          <w:sz w:val="22"/>
        </w:rPr>
        <w:t>to</w:t>
      </w:r>
      <w:r>
        <w:rPr>
          <w:spacing w:val="-6"/>
          <w:sz w:val="22"/>
        </w:rPr>
        <w:t> </w:t>
      </w:r>
      <w:r>
        <w:rPr>
          <w:sz w:val="22"/>
        </w:rPr>
        <w:t>an</w:t>
      </w:r>
      <w:r>
        <w:rPr>
          <w:spacing w:val="-3"/>
          <w:sz w:val="22"/>
        </w:rPr>
        <w:t> </w:t>
      </w:r>
      <w:r>
        <w:rPr>
          <w:spacing w:val="-2"/>
          <w:sz w:val="22"/>
        </w:rPr>
        <w:t>heir(s);</w:t>
      </w:r>
    </w:p>
    <w:p>
      <w:pPr>
        <w:pStyle w:val="ListParagraph"/>
        <w:numPr>
          <w:ilvl w:val="0"/>
          <w:numId w:val="5"/>
        </w:numPr>
        <w:tabs>
          <w:tab w:pos="841" w:val="left" w:leader="none"/>
          <w:tab w:pos="842" w:val="left" w:leader="none"/>
        </w:tabs>
        <w:spacing w:line="269" w:lineRule="exact" w:before="0" w:after="0"/>
        <w:ind w:left="841" w:right="0" w:hanging="361"/>
        <w:jc w:val="left"/>
        <w:rPr>
          <w:sz w:val="22"/>
        </w:rPr>
      </w:pPr>
      <w:r>
        <w:rPr>
          <w:sz w:val="22"/>
        </w:rPr>
        <w:t>Transfer</w:t>
      </w:r>
      <w:r>
        <w:rPr>
          <w:spacing w:val="-4"/>
          <w:sz w:val="22"/>
        </w:rPr>
        <w:t> </w:t>
      </w:r>
      <w:r>
        <w:rPr>
          <w:sz w:val="22"/>
        </w:rPr>
        <w:t>of</w:t>
      </w:r>
      <w:r>
        <w:rPr>
          <w:spacing w:val="-2"/>
          <w:sz w:val="22"/>
        </w:rPr>
        <w:t> </w:t>
      </w:r>
      <w:r>
        <w:rPr>
          <w:sz w:val="22"/>
        </w:rPr>
        <w:t>property</w:t>
      </w:r>
      <w:r>
        <w:rPr>
          <w:spacing w:val="-6"/>
          <w:sz w:val="22"/>
        </w:rPr>
        <w:t> </w:t>
      </w:r>
      <w:r>
        <w:rPr>
          <w:sz w:val="22"/>
        </w:rPr>
        <w:t>where</w:t>
      </w:r>
      <w:r>
        <w:rPr>
          <w:spacing w:val="-4"/>
          <w:sz w:val="22"/>
        </w:rPr>
        <w:t> </w:t>
      </w:r>
      <w:r>
        <w:rPr>
          <w:sz w:val="22"/>
        </w:rPr>
        <w:t>spouse</w:t>
      </w:r>
      <w:r>
        <w:rPr>
          <w:spacing w:val="-6"/>
          <w:sz w:val="22"/>
        </w:rPr>
        <w:t> </w:t>
      </w:r>
      <w:r>
        <w:rPr>
          <w:sz w:val="22"/>
        </w:rPr>
        <w:t>becomes</w:t>
      </w:r>
      <w:r>
        <w:rPr>
          <w:spacing w:val="-5"/>
          <w:sz w:val="22"/>
        </w:rPr>
        <w:t> </w:t>
      </w:r>
      <w:r>
        <w:rPr>
          <w:sz w:val="22"/>
        </w:rPr>
        <w:t>the</w:t>
      </w:r>
      <w:r>
        <w:rPr>
          <w:spacing w:val="-8"/>
          <w:sz w:val="22"/>
        </w:rPr>
        <w:t> </w:t>
      </w:r>
      <w:r>
        <w:rPr>
          <w:sz w:val="22"/>
        </w:rPr>
        <w:t>sole</w:t>
      </w:r>
      <w:r>
        <w:rPr>
          <w:spacing w:val="-4"/>
          <w:sz w:val="22"/>
        </w:rPr>
        <w:t> </w:t>
      </w:r>
      <w:r>
        <w:rPr>
          <w:sz w:val="22"/>
        </w:rPr>
        <w:t>owner</w:t>
      </w:r>
      <w:r>
        <w:rPr>
          <w:spacing w:val="-2"/>
          <w:sz w:val="22"/>
        </w:rPr>
        <w:t> </w:t>
      </w:r>
      <w:r>
        <w:rPr>
          <w:sz w:val="22"/>
        </w:rPr>
        <w:t>of</w:t>
      </w:r>
      <w:r>
        <w:rPr>
          <w:spacing w:val="-5"/>
          <w:sz w:val="22"/>
        </w:rPr>
        <w:t> </w:t>
      </w:r>
      <w:r>
        <w:rPr>
          <w:sz w:val="22"/>
        </w:rPr>
        <w:t>the</w:t>
      </w:r>
      <w:r>
        <w:rPr>
          <w:spacing w:val="-3"/>
          <w:sz w:val="22"/>
        </w:rPr>
        <w:t> </w:t>
      </w:r>
      <w:r>
        <w:rPr>
          <w:spacing w:val="-2"/>
          <w:sz w:val="22"/>
        </w:rPr>
        <w:t>property;</w:t>
      </w:r>
    </w:p>
    <w:p>
      <w:pPr>
        <w:pStyle w:val="ListParagraph"/>
        <w:numPr>
          <w:ilvl w:val="0"/>
          <w:numId w:val="5"/>
        </w:numPr>
        <w:tabs>
          <w:tab w:pos="841" w:val="left" w:leader="none"/>
          <w:tab w:pos="842" w:val="left" w:leader="none"/>
        </w:tabs>
        <w:spacing w:line="237" w:lineRule="auto" w:before="1" w:after="0"/>
        <w:ind w:left="841" w:right="158" w:hanging="361"/>
        <w:jc w:val="left"/>
        <w:rPr>
          <w:sz w:val="22"/>
        </w:rPr>
      </w:pPr>
      <w:r>
        <w:rPr>
          <w:sz w:val="22"/>
        </w:rPr>
        <w:t>Transfer</w:t>
      </w:r>
      <w:r>
        <w:rPr>
          <w:spacing w:val="-7"/>
          <w:sz w:val="22"/>
        </w:rPr>
        <w:t> </w:t>
      </w:r>
      <w:r>
        <w:rPr>
          <w:sz w:val="22"/>
        </w:rPr>
        <w:t>of</w:t>
      </w:r>
      <w:r>
        <w:rPr>
          <w:spacing w:val="-7"/>
          <w:sz w:val="22"/>
        </w:rPr>
        <w:t> </w:t>
      </w:r>
      <w:r>
        <w:rPr>
          <w:sz w:val="22"/>
        </w:rPr>
        <w:t>property</w:t>
      </w:r>
      <w:r>
        <w:rPr>
          <w:spacing w:val="-10"/>
          <w:sz w:val="22"/>
        </w:rPr>
        <w:t> </w:t>
      </w:r>
      <w:r>
        <w:rPr>
          <w:sz w:val="22"/>
        </w:rPr>
        <w:t>resulting</w:t>
      </w:r>
      <w:r>
        <w:rPr>
          <w:spacing w:val="-8"/>
          <w:sz w:val="22"/>
        </w:rPr>
        <w:t> </w:t>
      </w:r>
      <w:r>
        <w:rPr>
          <w:sz w:val="22"/>
        </w:rPr>
        <w:t>from</w:t>
      </w:r>
      <w:r>
        <w:rPr>
          <w:spacing w:val="-7"/>
          <w:sz w:val="22"/>
        </w:rPr>
        <w:t> </w:t>
      </w:r>
      <w:r>
        <w:rPr>
          <w:sz w:val="22"/>
        </w:rPr>
        <w:t>a</w:t>
      </w:r>
      <w:r>
        <w:rPr>
          <w:spacing w:val="-8"/>
          <w:sz w:val="22"/>
        </w:rPr>
        <w:t> </w:t>
      </w:r>
      <w:r>
        <w:rPr>
          <w:sz w:val="22"/>
        </w:rPr>
        <w:t>decree</w:t>
      </w:r>
      <w:r>
        <w:rPr>
          <w:spacing w:val="-8"/>
          <w:sz w:val="22"/>
        </w:rPr>
        <w:t> </w:t>
      </w:r>
      <w:r>
        <w:rPr>
          <w:sz w:val="22"/>
        </w:rPr>
        <w:t>of</w:t>
      </w:r>
      <w:r>
        <w:rPr>
          <w:spacing w:val="-7"/>
          <w:sz w:val="22"/>
        </w:rPr>
        <w:t> </w:t>
      </w:r>
      <w:r>
        <w:rPr>
          <w:sz w:val="22"/>
        </w:rPr>
        <w:t>dissolution</w:t>
      </w:r>
      <w:r>
        <w:rPr>
          <w:spacing w:val="-8"/>
          <w:sz w:val="22"/>
        </w:rPr>
        <w:t> </w:t>
      </w:r>
      <w:r>
        <w:rPr>
          <w:sz w:val="22"/>
        </w:rPr>
        <w:t>of</w:t>
      </w:r>
      <w:r>
        <w:rPr>
          <w:spacing w:val="-9"/>
          <w:sz w:val="22"/>
        </w:rPr>
        <w:t> </w:t>
      </w:r>
      <w:r>
        <w:rPr>
          <w:sz w:val="22"/>
        </w:rPr>
        <w:t>marriage,</w:t>
      </w:r>
      <w:r>
        <w:rPr>
          <w:spacing w:val="-7"/>
          <w:sz w:val="22"/>
        </w:rPr>
        <w:t> </w:t>
      </w:r>
      <w:r>
        <w:rPr>
          <w:sz w:val="22"/>
        </w:rPr>
        <w:t>legal</w:t>
      </w:r>
      <w:r>
        <w:rPr>
          <w:spacing w:val="-9"/>
          <w:sz w:val="22"/>
        </w:rPr>
        <w:t> </w:t>
      </w:r>
      <w:r>
        <w:rPr>
          <w:sz w:val="22"/>
        </w:rPr>
        <w:t>separation</w:t>
      </w:r>
      <w:r>
        <w:rPr>
          <w:spacing w:val="-8"/>
          <w:sz w:val="22"/>
        </w:rPr>
        <w:t> </w:t>
      </w:r>
      <w:r>
        <w:rPr>
          <w:sz w:val="22"/>
        </w:rPr>
        <w:t>or from incidental property settlement agreement; or</w:t>
      </w:r>
    </w:p>
    <w:p>
      <w:pPr>
        <w:pStyle w:val="ListParagraph"/>
        <w:numPr>
          <w:ilvl w:val="0"/>
          <w:numId w:val="5"/>
        </w:numPr>
        <w:tabs>
          <w:tab w:pos="841" w:val="left" w:leader="none"/>
          <w:tab w:pos="842" w:val="left" w:leader="none"/>
        </w:tabs>
        <w:spacing w:line="237" w:lineRule="auto" w:before="4" w:after="0"/>
        <w:ind w:left="841" w:right="155" w:hanging="361"/>
        <w:jc w:val="left"/>
        <w:rPr>
          <w:sz w:val="22"/>
        </w:rPr>
      </w:pPr>
      <w:r>
        <w:rPr>
          <w:sz w:val="22"/>
        </w:rPr>
        <w:t>Transfer</w:t>
      </w:r>
      <w:r>
        <w:rPr>
          <w:spacing w:val="-3"/>
          <w:sz w:val="22"/>
        </w:rPr>
        <w:t> </w:t>
      </w:r>
      <w:r>
        <w:rPr>
          <w:sz w:val="22"/>
        </w:rPr>
        <w:t>to</w:t>
      </w:r>
      <w:r>
        <w:rPr>
          <w:spacing w:val="-2"/>
          <w:sz w:val="22"/>
        </w:rPr>
        <w:t> </w:t>
      </w:r>
      <w:r>
        <w:rPr>
          <w:sz w:val="22"/>
        </w:rPr>
        <w:t>a</w:t>
      </w:r>
      <w:r>
        <w:rPr>
          <w:spacing w:val="-2"/>
          <w:sz w:val="22"/>
        </w:rPr>
        <w:t> </w:t>
      </w:r>
      <w:r>
        <w:rPr>
          <w:sz w:val="22"/>
        </w:rPr>
        <w:t>Family</w:t>
      </w:r>
      <w:r>
        <w:rPr>
          <w:spacing w:val="-1"/>
          <w:sz w:val="22"/>
        </w:rPr>
        <w:t> </w:t>
      </w:r>
      <w:r>
        <w:rPr>
          <w:sz w:val="22"/>
        </w:rPr>
        <w:t>Trust in</w:t>
      </w:r>
      <w:r>
        <w:rPr>
          <w:spacing w:val="-2"/>
          <w:sz w:val="22"/>
        </w:rPr>
        <w:t> </w:t>
      </w:r>
      <w:r>
        <w:rPr>
          <w:sz w:val="22"/>
        </w:rPr>
        <w:t>which</w:t>
      </w:r>
      <w:r>
        <w:rPr>
          <w:spacing w:val="-2"/>
          <w:sz w:val="22"/>
        </w:rPr>
        <w:t> </w:t>
      </w:r>
      <w:r>
        <w:rPr>
          <w:sz w:val="22"/>
        </w:rPr>
        <w:t>the</w:t>
      </w:r>
      <w:r>
        <w:rPr>
          <w:spacing w:val="-4"/>
          <w:sz w:val="22"/>
        </w:rPr>
        <w:t> </w:t>
      </w:r>
      <w:r>
        <w:rPr>
          <w:sz w:val="22"/>
        </w:rPr>
        <w:t>borrower</w:t>
      </w:r>
      <w:r>
        <w:rPr>
          <w:spacing w:val="-3"/>
          <w:sz w:val="22"/>
        </w:rPr>
        <w:t> </w:t>
      </w:r>
      <w:r>
        <w:rPr>
          <w:sz w:val="22"/>
        </w:rPr>
        <w:t>remains</w:t>
      </w:r>
      <w:r>
        <w:rPr>
          <w:spacing w:val="-4"/>
          <w:sz w:val="22"/>
        </w:rPr>
        <w:t> </w:t>
      </w:r>
      <w:r>
        <w:rPr>
          <w:sz w:val="22"/>
        </w:rPr>
        <w:t>the</w:t>
      </w:r>
      <w:r>
        <w:rPr>
          <w:spacing w:val="-2"/>
          <w:sz w:val="22"/>
        </w:rPr>
        <w:t> </w:t>
      </w:r>
      <w:r>
        <w:rPr>
          <w:sz w:val="22"/>
        </w:rPr>
        <w:t>beneficiary</w:t>
      </w:r>
      <w:r>
        <w:rPr>
          <w:spacing w:val="-4"/>
          <w:sz w:val="22"/>
        </w:rPr>
        <w:t> </w:t>
      </w:r>
      <w:r>
        <w:rPr>
          <w:sz w:val="22"/>
        </w:rPr>
        <w:t>and</w:t>
      </w:r>
      <w:r>
        <w:rPr>
          <w:spacing w:val="-2"/>
          <w:sz w:val="22"/>
        </w:rPr>
        <w:t> </w:t>
      </w:r>
      <w:r>
        <w:rPr>
          <w:sz w:val="22"/>
        </w:rPr>
        <w:t>occupant</w:t>
      </w:r>
      <w:r>
        <w:rPr>
          <w:spacing w:val="-3"/>
          <w:sz w:val="22"/>
        </w:rPr>
        <w:t> </w:t>
      </w:r>
      <w:r>
        <w:rPr>
          <w:sz w:val="22"/>
        </w:rPr>
        <w:t>of </w:t>
      </w:r>
      <w:r>
        <w:rPr>
          <w:spacing w:val="-2"/>
          <w:sz w:val="22"/>
        </w:rPr>
        <w:t>property.</w:t>
      </w:r>
    </w:p>
    <w:p>
      <w:pPr>
        <w:pStyle w:val="BodyText"/>
        <w:spacing w:before="9"/>
        <w:rPr>
          <w:sz w:val="21"/>
        </w:rPr>
      </w:pPr>
    </w:p>
    <w:p>
      <w:pPr>
        <w:pStyle w:val="BodyText"/>
        <w:ind w:left="121" w:right="156"/>
        <w:jc w:val="both"/>
      </w:pPr>
      <w:r>
        <w:rPr/>
        <w:t>All transfers must be approved by the City. Any person that would like to assume the loan must income qualify and utilize the assisted property as their primary residence. If such person does not meet the income requirements of the program, does not utilize the property as their primary residence,</w:t>
      </w:r>
      <w:r>
        <w:rPr>
          <w:spacing w:val="-3"/>
        </w:rPr>
        <w:t> </w:t>
      </w:r>
      <w:r>
        <w:rPr/>
        <w:t>or</w:t>
      </w:r>
      <w:r>
        <w:rPr>
          <w:spacing w:val="-3"/>
        </w:rPr>
        <w:t> </w:t>
      </w:r>
      <w:r>
        <w:rPr/>
        <w:t>does</w:t>
      </w:r>
      <w:r>
        <w:rPr>
          <w:spacing w:val="-4"/>
        </w:rPr>
        <w:t> </w:t>
      </w:r>
      <w:r>
        <w:rPr/>
        <w:t>not</w:t>
      </w:r>
      <w:r>
        <w:rPr>
          <w:spacing w:val="-3"/>
        </w:rPr>
        <w:t> </w:t>
      </w:r>
      <w:r>
        <w:rPr/>
        <w:t>meet any</w:t>
      </w:r>
      <w:r>
        <w:rPr>
          <w:spacing w:val="-1"/>
        </w:rPr>
        <w:t> </w:t>
      </w:r>
      <w:r>
        <w:rPr/>
        <w:t>other</w:t>
      </w:r>
      <w:r>
        <w:rPr>
          <w:spacing w:val="-3"/>
        </w:rPr>
        <w:t> </w:t>
      </w:r>
      <w:r>
        <w:rPr/>
        <w:t>condition</w:t>
      </w:r>
      <w:r>
        <w:rPr>
          <w:spacing w:val="-4"/>
        </w:rPr>
        <w:t> </w:t>
      </w:r>
      <w:r>
        <w:rPr/>
        <w:t>of</w:t>
      </w:r>
      <w:r>
        <w:rPr>
          <w:spacing w:val="-3"/>
        </w:rPr>
        <w:t> </w:t>
      </w:r>
      <w:r>
        <w:rPr/>
        <w:t>the</w:t>
      </w:r>
      <w:r>
        <w:rPr>
          <w:spacing w:val="-4"/>
        </w:rPr>
        <w:t> </w:t>
      </w:r>
      <w:r>
        <w:rPr/>
        <w:t>loan,</w:t>
      </w:r>
      <w:r>
        <w:rPr>
          <w:spacing w:val="-3"/>
        </w:rPr>
        <w:t> </w:t>
      </w:r>
      <w:r>
        <w:rPr/>
        <w:t>then</w:t>
      </w:r>
      <w:r>
        <w:rPr>
          <w:spacing w:val="-4"/>
        </w:rPr>
        <w:t> </w:t>
      </w:r>
      <w:r>
        <w:rPr/>
        <w:t>the</w:t>
      </w:r>
      <w:r>
        <w:rPr>
          <w:spacing w:val="-4"/>
        </w:rPr>
        <w:t> </w:t>
      </w:r>
      <w:r>
        <w:rPr/>
        <w:t>unamortized</w:t>
      </w:r>
      <w:r>
        <w:rPr>
          <w:spacing w:val="-4"/>
        </w:rPr>
        <w:t> </w:t>
      </w:r>
      <w:r>
        <w:rPr/>
        <w:t>balance</w:t>
      </w:r>
      <w:r>
        <w:rPr>
          <w:spacing w:val="-2"/>
        </w:rPr>
        <w:t> </w:t>
      </w:r>
      <w:r>
        <w:rPr/>
        <w:t>of</w:t>
      </w:r>
      <w:r>
        <w:rPr>
          <w:spacing w:val="-2"/>
        </w:rPr>
        <w:t> </w:t>
      </w:r>
      <w:r>
        <w:rPr/>
        <w:t>the loan amount is due immediately and payable to the City.</w:t>
      </w:r>
    </w:p>
    <w:p>
      <w:pPr>
        <w:pStyle w:val="BodyText"/>
        <w:spacing w:before="1"/>
      </w:pPr>
    </w:p>
    <w:p>
      <w:pPr>
        <w:pStyle w:val="Heading5"/>
        <w:ind w:left="121"/>
      </w:pPr>
      <w:r>
        <w:rPr/>
        <w:t>Assistance</w:t>
      </w:r>
      <w:r>
        <w:rPr>
          <w:spacing w:val="-7"/>
        </w:rPr>
        <w:t> </w:t>
      </w:r>
      <w:r>
        <w:rPr>
          <w:spacing w:val="-2"/>
        </w:rPr>
        <w:t>Limits</w:t>
      </w:r>
    </w:p>
    <w:p>
      <w:pPr>
        <w:pStyle w:val="BodyText"/>
        <w:spacing w:before="50"/>
        <w:ind w:left="121" w:right="152"/>
        <w:jc w:val="both"/>
      </w:pPr>
      <w:r>
        <w:rPr/>
        <w:t>Under Major Home Rehabilitation Program, the maximum loan assistance amount is not to exceed</w:t>
      </w:r>
      <w:r>
        <w:rPr>
          <w:spacing w:val="-16"/>
        </w:rPr>
        <w:t> </w:t>
      </w:r>
      <w:r>
        <w:rPr/>
        <w:t>27%</w:t>
      </w:r>
      <w:r>
        <w:rPr>
          <w:spacing w:val="-15"/>
        </w:rPr>
        <w:t> </w:t>
      </w:r>
      <w:r>
        <w:rPr/>
        <w:t>of</w:t>
      </w:r>
      <w:r>
        <w:rPr>
          <w:spacing w:val="-15"/>
        </w:rPr>
        <w:t> </w:t>
      </w:r>
      <w:r>
        <w:rPr/>
        <w:t>HOME</w:t>
      </w:r>
      <w:r>
        <w:rPr>
          <w:spacing w:val="-16"/>
        </w:rPr>
        <w:t> </w:t>
      </w:r>
      <w:r>
        <w:rPr/>
        <w:t>Homeownership</w:t>
      </w:r>
      <w:r>
        <w:rPr>
          <w:spacing w:val="-15"/>
        </w:rPr>
        <w:t> </w:t>
      </w:r>
      <w:r>
        <w:rPr/>
        <w:t>Value</w:t>
      </w:r>
      <w:r>
        <w:rPr>
          <w:spacing w:val="-15"/>
        </w:rPr>
        <w:t> </w:t>
      </w:r>
      <w:r>
        <w:rPr/>
        <w:t>Limits,</w:t>
      </w:r>
      <w:r>
        <w:rPr>
          <w:spacing w:val="-15"/>
        </w:rPr>
        <w:t> </w:t>
      </w:r>
      <w:r>
        <w:rPr/>
        <w:t>as</w:t>
      </w:r>
      <w:r>
        <w:rPr>
          <w:spacing w:val="-15"/>
        </w:rPr>
        <w:t> </w:t>
      </w:r>
      <w:r>
        <w:rPr/>
        <w:t>established</w:t>
      </w:r>
      <w:r>
        <w:rPr>
          <w:spacing w:val="-15"/>
        </w:rPr>
        <w:t> </w:t>
      </w:r>
      <w:r>
        <w:rPr/>
        <w:t>by</w:t>
      </w:r>
      <w:r>
        <w:rPr>
          <w:spacing w:val="-14"/>
        </w:rPr>
        <w:t> </w:t>
      </w:r>
      <w:r>
        <w:rPr/>
        <w:t>HUD.</w:t>
      </w:r>
      <w:r>
        <w:rPr>
          <w:spacing w:val="-11"/>
        </w:rPr>
        <w:t> </w:t>
      </w:r>
      <w:r>
        <w:rPr/>
        <w:t>Rehabilitation</w:t>
      </w:r>
      <w:r>
        <w:rPr>
          <w:spacing w:val="-14"/>
        </w:rPr>
        <w:t> </w:t>
      </w:r>
      <w:r>
        <w:rPr/>
        <w:t>funds may</w:t>
      </w:r>
      <w:r>
        <w:rPr>
          <w:spacing w:val="-1"/>
        </w:rPr>
        <w:t> </w:t>
      </w:r>
      <w:r>
        <w:rPr/>
        <w:t>only</w:t>
      </w:r>
      <w:r>
        <w:rPr>
          <w:spacing w:val="-1"/>
        </w:rPr>
        <w:t> </w:t>
      </w:r>
      <w:r>
        <w:rPr/>
        <w:t>be</w:t>
      </w:r>
      <w:r>
        <w:rPr>
          <w:spacing w:val="-4"/>
        </w:rPr>
        <w:t> </w:t>
      </w:r>
      <w:r>
        <w:rPr/>
        <w:t>used</w:t>
      </w:r>
      <w:r>
        <w:rPr>
          <w:spacing w:val="-4"/>
        </w:rPr>
        <w:t> </w:t>
      </w:r>
      <w:r>
        <w:rPr/>
        <w:t>to</w:t>
      </w:r>
      <w:r>
        <w:rPr>
          <w:spacing w:val="-2"/>
        </w:rPr>
        <w:t> </w:t>
      </w:r>
      <w:r>
        <w:rPr/>
        <w:t>complete</w:t>
      </w:r>
      <w:r>
        <w:rPr>
          <w:spacing w:val="-2"/>
        </w:rPr>
        <w:t> </w:t>
      </w:r>
      <w:r>
        <w:rPr/>
        <w:t>the</w:t>
      </w:r>
      <w:r>
        <w:rPr>
          <w:spacing w:val="-4"/>
        </w:rPr>
        <w:t> </w:t>
      </w:r>
      <w:r>
        <w:rPr/>
        <w:t>project-related</w:t>
      </w:r>
      <w:r>
        <w:rPr>
          <w:spacing w:val="-4"/>
        </w:rPr>
        <w:t> </w:t>
      </w:r>
      <w:r>
        <w:rPr/>
        <w:t>hard</w:t>
      </w:r>
      <w:r>
        <w:rPr>
          <w:spacing w:val="-2"/>
        </w:rPr>
        <w:t> </w:t>
      </w:r>
      <w:r>
        <w:rPr/>
        <w:t>costs</w:t>
      </w:r>
      <w:r>
        <w:rPr>
          <w:spacing w:val="-1"/>
        </w:rPr>
        <w:t> </w:t>
      </w:r>
      <w:r>
        <w:rPr/>
        <w:t>such</w:t>
      </w:r>
      <w:r>
        <w:rPr>
          <w:spacing w:val="-2"/>
        </w:rPr>
        <w:t> </w:t>
      </w:r>
      <w:r>
        <w:rPr/>
        <w:t>as</w:t>
      </w:r>
      <w:r>
        <w:rPr>
          <w:spacing w:val="-4"/>
        </w:rPr>
        <w:t> </w:t>
      </w:r>
      <w:r>
        <w:rPr/>
        <w:t>construction</w:t>
      </w:r>
      <w:r>
        <w:rPr>
          <w:spacing w:val="-2"/>
        </w:rPr>
        <w:t> </w:t>
      </w:r>
      <w:r>
        <w:rPr/>
        <w:t>costs. Project- related soft costs such as hazardous materials testing fees, document recordation fees, inspection/construction</w:t>
      </w:r>
      <w:r>
        <w:rPr>
          <w:spacing w:val="-15"/>
        </w:rPr>
        <w:t> </w:t>
      </w:r>
      <w:r>
        <w:rPr/>
        <w:t>management</w:t>
      </w:r>
      <w:r>
        <w:rPr>
          <w:spacing w:val="-13"/>
        </w:rPr>
        <w:t> </w:t>
      </w:r>
      <w:r>
        <w:rPr/>
        <w:t>fees,</w:t>
      </w:r>
      <w:r>
        <w:rPr>
          <w:spacing w:val="-13"/>
        </w:rPr>
        <w:t> </w:t>
      </w:r>
      <w:r>
        <w:rPr/>
        <w:t>escrow</w:t>
      </w:r>
      <w:r>
        <w:rPr>
          <w:spacing w:val="-13"/>
        </w:rPr>
        <w:t> </w:t>
      </w:r>
      <w:r>
        <w:rPr/>
        <w:t>fees</w:t>
      </w:r>
      <w:r>
        <w:rPr>
          <w:spacing w:val="-14"/>
        </w:rPr>
        <w:t> </w:t>
      </w:r>
      <w:r>
        <w:rPr/>
        <w:t>are</w:t>
      </w:r>
      <w:r>
        <w:rPr>
          <w:spacing w:val="-15"/>
        </w:rPr>
        <w:t> </w:t>
      </w:r>
      <w:r>
        <w:rPr/>
        <w:t>program</w:t>
      </w:r>
      <w:r>
        <w:rPr>
          <w:spacing w:val="-13"/>
        </w:rPr>
        <w:t> </w:t>
      </w:r>
      <w:r>
        <w:rPr/>
        <w:t>delivery</w:t>
      </w:r>
      <w:r>
        <w:rPr>
          <w:spacing w:val="-14"/>
        </w:rPr>
        <w:t> </w:t>
      </w:r>
      <w:r>
        <w:rPr/>
        <w:t>costs</w:t>
      </w:r>
      <w:r>
        <w:rPr>
          <w:spacing w:val="-14"/>
        </w:rPr>
        <w:t> </w:t>
      </w:r>
      <w:r>
        <w:rPr/>
        <w:t>of</w:t>
      </w:r>
      <w:r>
        <w:rPr>
          <w:spacing w:val="-16"/>
        </w:rPr>
        <w:t> </w:t>
      </w:r>
      <w:r>
        <w:rPr/>
        <w:t>the</w:t>
      </w:r>
      <w:r>
        <w:rPr>
          <w:spacing w:val="-14"/>
        </w:rPr>
        <w:t> </w:t>
      </w:r>
      <w:r>
        <w:rPr/>
        <w:t>City</w:t>
      </w:r>
      <w:r>
        <w:rPr>
          <w:spacing w:val="-14"/>
        </w:rPr>
        <w:t> </w:t>
      </w:r>
      <w:r>
        <w:rPr/>
        <w:t>and shall not be included as part of the loan provided to the Applicant.</w:t>
      </w:r>
    </w:p>
    <w:p>
      <w:pPr>
        <w:pStyle w:val="BodyText"/>
      </w:pPr>
    </w:p>
    <w:p>
      <w:pPr>
        <w:pStyle w:val="BodyText"/>
        <w:ind w:left="121" w:right="155"/>
        <w:jc w:val="both"/>
      </w:pPr>
      <w:r>
        <w:rPr/>
        <w:t>The level of assistance</w:t>
      </w:r>
      <w:r>
        <w:rPr>
          <w:spacing w:val="-2"/>
        </w:rPr>
        <w:t> </w:t>
      </w:r>
      <w:r>
        <w:rPr/>
        <w:t>shall be limited to</w:t>
      </w:r>
      <w:r>
        <w:rPr>
          <w:spacing w:val="-2"/>
        </w:rPr>
        <w:t> </w:t>
      </w:r>
      <w:r>
        <w:rPr/>
        <w:t>the amount required</w:t>
      </w:r>
      <w:r>
        <w:rPr>
          <w:spacing w:val="-2"/>
        </w:rPr>
        <w:t> </w:t>
      </w:r>
      <w:r>
        <w:rPr/>
        <w:t>to address</w:t>
      </w:r>
      <w:r>
        <w:rPr>
          <w:spacing w:val="-1"/>
        </w:rPr>
        <w:t> </w:t>
      </w:r>
      <w:r>
        <w:rPr/>
        <w:t>the</w:t>
      </w:r>
      <w:r>
        <w:rPr>
          <w:spacing w:val="-2"/>
        </w:rPr>
        <w:t> </w:t>
      </w:r>
      <w:r>
        <w:rPr/>
        <w:t>rehabilitation work scope as defined by</w:t>
      </w:r>
      <w:r>
        <w:rPr>
          <w:spacing w:val="-1"/>
        </w:rPr>
        <w:t> </w:t>
      </w:r>
      <w:r>
        <w:rPr/>
        <w:t>the</w:t>
      </w:r>
      <w:r>
        <w:rPr>
          <w:spacing w:val="-4"/>
        </w:rPr>
        <w:t> </w:t>
      </w:r>
      <w:r>
        <w:rPr/>
        <w:t>City (except as provided</w:t>
      </w:r>
      <w:r>
        <w:rPr>
          <w:spacing w:val="-2"/>
        </w:rPr>
        <w:t> </w:t>
      </w:r>
      <w:r>
        <w:rPr/>
        <w:t>below). The City</w:t>
      </w:r>
      <w:r>
        <w:rPr>
          <w:spacing w:val="-1"/>
        </w:rPr>
        <w:t> </w:t>
      </w:r>
      <w:r>
        <w:rPr/>
        <w:t>Manager or designee</w:t>
      </w:r>
      <w:r>
        <w:rPr>
          <w:spacing w:val="-2"/>
        </w:rPr>
        <w:t> </w:t>
      </w:r>
      <w:r>
        <w:rPr/>
        <w:t>may on a case by case basis administratively approve (without City Council approval or Council Committee approval) additional assistance not to exceed ten percent above the maximum limit for any owner-occupied rehabilitation project under the following circumstances:</w:t>
      </w:r>
    </w:p>
    <w:p>
      <w:pPr>
        <w:pStyle w:val="ListParagraph"/>
        <w:numPr>
          <w:ilvl w:val="0"/>
          <w:numId w:val="5"/>
        </w:numPr>
        <w:tabs>
          <w:tab w:pos="841" w:val="left" w:leader="none"/>
          <w:tab w:pos="842" w:val="left" w:leader="none"/>
        </w:tabs>
        <w:spacing w:line="268" w:lineRule="exact" w:before="2" w:after="0"/>
        <w:ind w:left="841" w:right="0" w:hanging="361"/>
        <w:jc w:val="left"/>
        <w:rPr>
          <w:sz w:val="22"/>
        </w:rPr>
      </w:pPr>
      <w:r>
        <w:rPr>
          <w:sz w:val="22"/>
        </w:rPr>
        <w:t>To</w:t>
      </w:r>
      <w:r>
        <w:rPr>
          <w:spacing w:val="-6"/>
          <w:sz w:val="22"/>
        </w:rPr>
        <w:t> </w:t>
      </w:r>
      <w:r>
        <w:rPr>
          <w:sz w:val="22"/>
        </w:rPr>
        <w:t>address</w:t>
      </w:r>
      <w:r>
        <w:rPr>
          <w:spacing w:val="-6"/>
          <w:sz w:val="22"/>
        </w:rPr>
        <w:t> </w:t>
      </w:r>
      <w:r>
        <w:rPr>
          <w:sz w:val="22"/>
        </w:rPr>
        <w:t>outstanding</w:t>
      </w:r>
      <w:r>
        <w:rPr>
          <w:spacing w:val="-6"/>
          <w:sz w:val="22"/>
        </w:rPr>
        <w:t> </w:t>
      </w:r>
      <w:r>
        <w:rPr>
          <w:sz w:val="22"/>
        </w:rPr>
        <w:t>repairs</w:t>
      </w:r>
      <w:r>
        <w:rPr>
          <w:spacing w:val="-3"/>
          <w:sz w:val="22"/>
        </w:rPr>
        <w:t> </w:t>
      </w:r>
      <w:r>
        <w:rPr>
          <w:sz w:val="22"/>
        </w:rPr>
        <w:t>or</w:t>
      </w:r>
      <w:r>
        <w:rPr>
          <w:spacing w:val="-5"/>
          <w:sz w:val="22"/>
        </w:rPr>
        <w:t> </w:t>
      </w:r>
      <w:r>
        <w:rPr>
          <w:sz w:val="22"/>
        </w:rPr>
        <w:t>necessary</w:t>
      </w:r>
      <w:r>
        <w:rPr>
          <w:spacing w:val="-6"/>
          <w:sz w:val="22"/>
        </w:rPr>
        <w:t> </w:t>
      </w:r>
      <w:r>
        <w:rPr>
          <w:sz w:val="22"/>
        </w:rPr>
        <w:t>work</w:t>
      </w:r>
      <w:r>
        <w:rPr>
          <w:spacing w:val="-6"/>
          <w:sz w:val="22"/>
        </w:rPr>
        <w:t> </w:t>
      </w:r>
      <w:r>
        <w:rPr>
          <w:sz w:val="22"/>
        </w:rPr>
        <w:t>to</w:t>
      </w:r>
      <w:r>
        <w:rPr>
          <w:spacing w:val="-6"/>
          <w:sz w:val="22"/>
        </w:rPr>
        <w:t> </w:t>
      </w:r>
      <w:r>
        <w:rPr>
          <w:sz w:val="22"/>
        </w:rPr>
        <w:t>close</w:t>
      </w:r>
      <w:r>
        <w:rPr>
          <w:spacing w:val="-4"/>
          <w:sz w:val="22"/>
        </w:rPr>
        <w:t> </w:t>
      </w:r>
      <w:r>
        <w:rPr>
          <w:sz w:val="22"/>
        </w:rPr>
        <w:t>out</w:t>
      </w:r>
      <w:r>
        <w:rPr>
          <w:spacing w:val="-2"/>
          <w:sz w:val="22"/>
        </w:rPr>
        <w:t> </w:t>
      </w:r>
      <w:r>
        <w:rPr>
          <w:sz w:val="22"/>
        </w:rPr>
        <w:t>an</w:t>
      </w:r>
      <w:r>
        <w:rPr>
          <w:spacing w:val="-6"/>
          <w:sz w:val="22"/>
        </w:rPr>
        <w:t> </w:t>
      </w:r>
      <w:r>
        <w:rPr>
          <w:sz w:val="22"/>
        </w:rPr>
        <w:t>existing</w:t>
      </w:r>
      <w:r>
        <w:rPr>
          <w:spacing w:val="-6"/>
          <w:sz w:val="22"/>
        </w:rPr>
        <w:t> </w:t>
      </w:r>
      <w:r>
        <w:rPr>
          <w:spacing w:val="-2"/>
          <w:sz w:val="22"/>
        </w:rPr>
        <w:t>project;</w:t>
      </w:r>
    </w:p>
    <w:p>
      <w:pPr>
        <w:pStyle w:val="ListParagraph"/>
        <w:numPr>
          <w:ilvl w:val="0"/>
          <w:numId w:val="5"/>
        </w:numPr>
        <w:tabs>
          <w:tab w:pos="841" w:val="left" w:leader="none"/>
          <w:tab w:pos="842" w:val="left" w:leader="none"/>
        </w:tabs>
        <w:spacing w:line="237" w:lineRule="auto" w:before="0" w:after="0"/>
        <w:ind w:left="841" w:right="154" w:hanging="361"/>
        <w:jc w:val="left"/>
        <w:rPr>
          <w:sz w:val="22"/>
        </w:rPr>
      </w:pPr>
      <w:r>
        <w:rPr>
          <w:sz w:val="22"/>
        </w:rPr>
        <w:t>The</w:t>
      </w:r>
      <w:r>
        <w:rPr>
          <w:spacing w:val="-2"/>
          <w:sz w:val="22"/>
        </w:rPr>
        <w:t> </w:t>
      </w:r>
      <w:r>
        <w:rPr>
          <w:sz w:val="22"/>
        </w:rPr>
        <w:t>need</w:t>
      </w:r>
      <w:r>
        <w:rPr>
          <w:spacing w:val="-3"/>
          <w:sz w:val="22"/>
        </w:rPr>
        <w:t> </w:t>
      </w:r>
      <w:r>
        <w:rPr>
          <w:sz w:val="22"/>
        </w:rPr>
        <w:t>to</w:t>
      </w:r>
      <w:r>
        <w:rPr>
          <w:spacing w:val="-5"/>
          <w:sz w:val="22"/>
        </w:rPr>
        <w:t> </w:t>
      </w:r>
      <w:r>
        <w:rPr>
          <w:sz w:val="22"/>
        </w:rPr>
        <w:t>provide</w:t>
      </w:r>
      <w:r>
        <w:rPr>
          <w:spacing w:val="-5"/>
          <w:sz w:val="22"/>
        </w:rPr>
        <w:t> </w:t>
      </w:r>
      <w:r>
        <w:rPr>
          <w:sz w:val="22"/>
        </w:rPr>
        <w:t>reasonable</w:t>
      </w:r>
      <w:r>
        <w:rPr>
          <w:spacing w:val="-3"/>
          <w:sz w:val="22"/>
        </w:rPr>
        <w:t> </w:t>
      </w:r>
      <w:r>
        <w:rPr>
          <w:sz w:val="22"/>
        </w:rPr>
        <w:t>accommodations</w:t>
      </w:r>
      <w:r>
        <w:rPr>
          <w:spacing w:val="-5"/>
          <w:sz w:val="22"/>
        </w:rPr>
        <w:t> </w:t>
      </w:r>
      <w:r>
        <w:rPr>
          <w:sz w:val="22"/>
        </w:rPr>
        <w:t>in</w:t>
      </w:r>
      <w:r>
        <w:rPr>
          <w:spacing w:val="-3"/>
          <w:sz w:val="22"/>
        </w:rPr>
        <w:t> </w:t>
      </w:r>
      <w:r>
        <w:rPr>
          <w:sz w:val="22"/>
        </w:rPr>
        <w:t>accordance</w:t>
      </w:r>
      <w:r>
        <w:rPr>
          <w:spacing w:val="-3"/>
          <w:sz w:val="22"/>
        </w:rPr>
        <w:t> </w:t>
      </w:r>
      <w:r>
        <w:rPr>
          <w:sz w:val="22"/>
        </w:rPr>
        <w:t>with</w:t>
      </w:r>
      <w:r>
        <w:rPr>
          <w:spacing w:val="-5"/>
          <w:sz w:val="22"/>
        </w:rPr>
        <w:t> </w:t>
      </w:r>
      <w:r>
        <w:rPr>
          <w:sz w:val="22"/>
        </w:rPr>
        <w:t>the</w:t>
      </w:r>
      <w:r>
        <w:rPr>
          <w:spacing w:val="-3"/>
          <w:sz w:val="22"/>
        </w:rPr>
        <w:t> </w:t>
      </w:r>
      <w:r>
        <w:rPr>
          <w:sz w:val="22"/>
        </w:rPr>
        <w:t>Americans</w:t>
      </w:r>
      <w:r>
        <w:rPr>
          <w:spacing w:val="-2"/>
          <w:sz w:val="22"/>
        </w:rPr>
        <w:t> </w:t>
      </w:r>
      <w:r>
        <w:rPr>
          <w:sz w:val="22"/>
        </w:rPr>
        <w:t>with Disabilities Act or other local, state or federal law;</w:t>
      </w:r>
    </w:p>
    <w:p>
      <w:pPr>
        <w:pStyle w:val="ListParagraph"/>
        <w:numPr>
          <w:ilvl w:val="0"/>
          <w:numId w:val="5"/>
        </w:numPr>
        <w:tabs>
          <w:tab w:pos="841" w:val="left" w:leader="none"/>
          <w:tab w:pos="842" w:val="left" w:leader="none"/>
        </w:tabs>
        <w:spacing w:line="269" w:lineRule="exact" w:before="1" w:after="0"/>
        <w:ind w:left="841" w:right="0" w:hanging="361"/>
        <w:jc w:val="left"/>
        <w:rPr>
          <w:sz w:val="22"/>
        </w:rPr>
      </w:pPr>
      <w:r>
        <w:rPr>
          <w:sz w:val="22"/>
        </w:rPr>
        <w:t>Unforeseen</w:t>
      </w:r>
      <w:r>
        <w:rPr>
          <w:spacing w:val="-11"/>
          <w:sz w:val="22"/>
        </w:rPr>
        <w:t> </w:t>
      </w:r>
      <w:r>
        <w:rPr>
          <w:sz w:val="22"/>
        </w:rPr>
        <w:t>environmental</w:t>
      </w:r>
      <w:r>
        <w:rPr>
          <w:spacing w:val="-9"/>
          <w:sz w:val="22"/>
        </w:rPr>
        <w:t> </w:t>
      </w:r>
      <w:r>
        <w:rPr>
          <w:sz w:val="22"/>
        </w:rPr>
        <w:t>issues;</w:t>
      </w:r>
      <w:r>
        <w:rPr>
          <w:spacing w:val="-7"/>
          <w:sz w:val="22"/>
        </w:rPr>
        <w:t> </w:t>
      </w:r>
      <w:r>
        <w:rPr>
          <w:spacing w:val="-5"/>
          <w:sz w:val="22"/>
        </w:rPr>
        <w:t>and</w:t>
      </w:r>
    </w:p>
    <w:p>
      <w:pPr>
        <w:pStyle w:val="ListParagraph"/>
        <w:numPr>
          <w:ilvl w:val="0"/>
          <w:numId w:val="5"/>
        </w:numPr>
        <w:tabs>
          <w:tab w:pos="841" w:val="left" w:leader="none"/>
          <w:tab w:pos="842" w:val="left" w:leader="none"/>
        </w:tabs>
        <w:spacing w:line="269" w:lineRule="exact" w:before="0" w:after="0"/>
        <w:ind w:left="841" w:right="0" w:hanging="361"/>
        <w:jc w:val="left"/>
        <w:rPr>
          <w:sz w:val="22"/>
        </w:rPr>
      </w:pPr>
      <w:r>
        <w:rPr>
          <w:sz w:val="22"/>
        </w:rPr>
        <w:t>Addressing</w:t>
      </w:r>
      <w:r>
        <w:rPr>
          <w:spacing w:val="-7"/>
          <w:sz w:val="22"/>
        </w:rPr>
        <w:t> </w:t>
      </w:r>
      <w:r>
        <w:rPr>
          <w:sz w:val="22"/>
        </w:rPr>
        <w:t>issues</w:t>
      </w:r>
      <w:r>
        <w:rPr>
          <w:spacing w:val="-6"/>
          <w:sz w:val="22"/>
        </w:rPr>
        <w:t> </w:t>
      </w:r>
      <w:r>
        <w:rPr>
          <w:sz w:val="22"/>
        </w:rPr>
        <w:t>that</w:t>
      </w:r>
      <w:r>
        <w:rPr>
          <w:spacing w:val="-6"/>
          <w:sz w:val="22"/>
        </w:rPr>
        <w:t> </w:t>
      </w:r>
      <w:r>
        <w:rPr>
          <w:sz w:val="22"/>
        </w:rPr>
        <w:t>threaten</w:t>
      </w:r>
      <w:r>
        <w:rPr>
          <w:spacing w:val="-6"/>
          <w:sz w:val="22"/>
        </w:rPr>
        <w:t> </w:t>
      </w:r>
      <w:r>
        <w:rPr>
          <w:sz w:val="22"/>
        </w:rPr>
        <w:t>life,</w:t>
      </w:r>
      <w:r>
        <w:rPr>
          <w:spacing w:val="-3"/>
          <w:sz w:val="22"/>
        </w:rPr>
        <w:t> </w:t>
      </w:r>
      <w:r>
        <w:rPr>
          <w:sz w:val="22"/>
        </w:rPr>
        <w:t>health,</w:t>
      </w:r>
      <w:r>
        <w:rPr>
          <w:spacing w:val="-6"/>
          <w:sz w:val="22"/>
        </w:rPr>
        <w:t> </w:t>
      </w:r>
      <w:r>
        <w:rPr>
          <w:sz w:val="22"/>
        </w:rPr>
        <w:t>safety</w:t>
      </w:r>
      <w:r>
        <w:rPr>
          <w:spacing w:val="-3"/>
          <w:sz w:val="22"/>
        </w:rPr>
        <w:t> </w:t>
      </w:r>
      <w:r>
        <w:rPr>
          <w:sz w:val="22"/>
        </w:rPr>
        <w:t>and</w:t>
      </w:r>
      <w:r>
        <w:rPr>
          <w:spacing w:val="-5"/>
          <w:sz w:val="22"/>
        </w:rPr>
        <w:t> </w:t>
      </w:r>
      <w:r>
        <w:rPr>
          <w:sz w:val="22"/>
        </w:rPr>
        <w:t>welfare</w:t>
      </w:r>
      <w:r>
        <w:rPr>
          <w:spacing w:val="-4"/>
          <w:sz w:val="22"/>
        </w:rPr>
        <w:t> </w:t>
      </w:r>
      <w:r>
        <w:rPr>
          <w:sz w:val="22"/>
        </w:rPr>
        <w:t>of</w:t>
      </w:r>
      <w:r>
        <w:rPr>
          <w:spacing w:val="-6"/>
          <w:sz w:val="22"/>
        </w:rPr>
        <w:t> </w:t>
      </w:r>
      <w:r>
        <w:rPr>
          <w:sz w:val="22"/>
        </w:rPr>
        <w:t>the</w:t>
      </w:r>
      <w:r>
        <w:rPr>
          <w:spacing w:val="-4"/>
          <w:sz w:val="22"/>
        </w:rPr>
        <w:t> </w:t>
      </w:r>
      <w:r>
        <w:rPr>
          <w:spacing w:val="-2"/>
          <w:sz w:val="22"/>
        </w:rPr>
        <w:t>public.</w:t>
      </w:r>
    </w:p>
    <w:p>
      <w:pPr>
        <w:spacing w:after="0" w:line="269" w:lineRule="exact"/>
        <w:jc w:val="left"/>
        <w:rPr>
          <w:sz w:val="22"/>
        </w:rPr>
        <w:sectPr>
          <w:pgSz w:w="12240" w:h="15840"/>
          <w:pgMar w:header="0" w:footer="1738" w:top="1360" w:bottom="1920" w:left="1320" w:right="1280"/>
        </w:sectPr>
      </w:pPr>
    </w:p>
    <w:p>
      <w:pPr>
        <w:pStyle w:val="Heading5"/>
        <w:spacing w:before="72"/>
      </w:pPr>
      <w:r>
        <w:rPr/>
        <w:t>Mortgage</w:t>
      </w:r>
      <w:r>
        <w:rPr>
          <w:spacing w:val="-5"/>
        </w:rPr>
        <w:t> </w:t>
      </w:r>
      <w:r>
        <w:rPr/>
        <w:t>and</w:t>
      </w:r>
      <w:r>
        <w:rPr>
          <w:spacing w:val="-5"/>
        </w:rPr>
        <w:t> </w:t>
      </w:r>
      <w:r>
        <w:rPr>
          <w:spacing w:val="-2"/>
        </w:rPr>
        <w:t>Refinancing</w:t>
      </w:r>
    </w:p>
    <w:p>
      <w:pPr>
        <w:pStyle w:val="BodyText"/>
        <w:spacing w:before="51"/>
        <w:ind w:left="120" w:right="155"/>
        <w:jc w:val="both"/>
      </w:pPr>
      <w:r>
        <w:rPr/>
        <w:t>The following are the credit and underwriting standards for Major Home Rehabilitation Program </w:t>
      </w:r>
      <w:r>
        <w:rPr>
          <w:spacing w:val="-2"/>
        </w:rPr>
        <w:t>loans:</w:t>
      </w:r>
    </w:p>
    <w:p>
      <w:pPr>
        <w:pStyle w:val="ListParagraph"/>
        <w:numPr>
          <w:ilvl w:val="0"/>
          <w:numId w:val="5"/>
        </w:numPr>
        <w:tabs>
          <w:tab w:pos="841" w:val="left" w:leader="none"/>
        </w:tabs>
        <w:spacing w:line="240" w:lineRule="auto" w:before="0" w:after="0"/>
        <w:ind w:left="840" w:right="158" w:hanging="361"/>
        <w:jc w:val="both"/>
        <w:rPr>
          <w:sz w:val="22"/>
        </w:rPr>
      </w:pPr>
      <w:r>
        <w:rPr>
          <w:sz w:val="22"/>
        </w:rPr>
        <w:t>Chapter 7 or Chapter 13 bankruptcy is not allowed if the primary or any mortgage is included as a secured creditor on the subject property for which the City will place a lien securing the loan.</w:t>
      </w:r>
    </w:p>
    <w:p>
      <w:pPr>
        <w:pStyle w:val="ListParagraph"/>
        <w:numPr>
          <w:ilvl w:val="0"/>
          <w:numId w:val="5"/>
        </w:numPr>
        <w:tabs>
          <w:tab w:pos="841" w:val="left" w:leader="none"/>
        </w:tabs>
        <w:spacing w:line="237" w:lineRule="auto" w:before="2" w:after="0"/>
        <w:ind w:left="840" w:right="159" w:hanging="361"/>
        <w:jc w:val="both"/>
        <w:rPr>
          <w:sz w:val="22"/>
        </w:rPr>
      </w:pPr>
      <w:r>
        <w:rPr/>
        <w:pict>
          <v:shape style="position:absolute;margin-left:90.065002pt;margin-top:5.324891pt;width:395.3pt;height:419pt;mso-position-horizontal-relative:page;mso-position-vertical-relative:paragraph;z-index:-17734144" id="docshape26" coordorigin="1801,106" coordsize="7906,8380" path="m4498,7370l4492,7297,4477,7219,4455,7136,4432,7067,4403,6995,4367,6920,4325,6842,4276,6761,4237,6702,4200,6651,4200,7337,4197,7393,4186,7450,4167,7508,4138,7567,4097,7630,4044,7696,3979,7765,3674,8071,2216,6613,2517,6312,2598,6236,2672,6176,2740,6133,2801,6106,2868,6092,2941,6088,3020,6094,3105,6112,3195,6141,3255,6167,3317,6199,3380,6238,3446,6283,3514,6335,3584,6393,3656,6458,3729,6529,3789,6590,3845,6651,3896,6710,3943,6767,3986,6824,4025,6879,4059,6933,4101,7008,4136,7080,4163,7150,4183,7216,4196,7281,4200,7337,4200,6651,4194,6642,4148,6582,4098,6522,4045,6461,3989,6399,3929,6338,3865,6275,3801,6217,3737,6162,3673,6110,3643,6088,3609,6063,3546,6018,3482,5977,3419,5939,3346,5901,3274,5869,3203,5842,3132,5820,3062,5803,2992,5791,2923,5783,2850,5782,2779,5789,2709,5804,2642,5826,2577,5857,2528,5885,2476,5922,2420,5968,2359,6022,2294,6084,1801,6577,3710,8486,4124,8071,4226,7969,4287,7904,4341,7839,4386,7773,4424,7706,4454,7640,4476,7573,4491,7506,4498,7439,4498,7370xm6418,5777l6056,5649,5650,5507,5561,5477,5475,5453,5393,5434,5365,5429,5314,5420,5239,5410,5193,5408,5143,5411,5089,5418,5030,5429,5073,5359,5109,5290,5136,5221,5154,5152,5164,5083,5165,5015,5157,4947,5139,4869,5111,4793,5075,4719,5030,4646,4976,4575,4956,4553,4913,4507,4872,4468,4872,5026,4868,5081,4854,5136,4830,5193,4794,5251,4747,5312,4687,5376,4280,5783,3649,5152,4102,4699,4166,4642,4229,4598,4293,4569,4358,4554,4422,4553,4501,4568,4577,4598,4649,4642,4718,4702,4761,4749,4797,4800,4827,4854,4851,4910,4867,4969,4872,5026,4872,4468,4849,4447,4782,4395,4713,4349,4641,4310,4566,4278,4474,4250,4386,4237,4303,4239,4225,4255,4163,4280,4098,4317,4030,4365,3958,4425,3883,4496,3248,5130,5157,7039,5346,6849,4499,6002,4718,5783,4753,5748,4783,5721,4810,5700,4833,5686,4863,5672,4896,5661,4932,5654,4971,5649,5014,5650,5066,5655,5125,5665,5194,5681,5256,5699,5328,5720,5407,5745,5496,5774,6180,6015,6418,5777xm7780,4415l7415,4220,6555,3766,6555,4073,6070,4558,6030,4486,5989,4415,5748,3984,5708,3912,5668,3841,5629,3775,5590,3711,5550,3647,5509,3584,5467,3521,5424,3460,5380,3399,5436,3435,5498,3473,5564,3513,5635,3555,5792,3645,6555,4073,6555,3766,5862,3399,5286,3092,5082,3296,5277,3647,5316,3717,5701,4415,6207,5334,6441,5755,6642,5553,6565,5420,6298,4952,6221,4818,6481,4558,6820,4220,7173,4415,7565,4631,7780,4415xm8131,4064l7264,3197,7936,2526,7711,2300,7039,2972,6448,2381,7224,1605,6999,1380,6033,2345,7941,4254,8131,4064xm9707,2488l8024,805,8497,332,8272,106,7138,1241,7363,1466,7834,995,9517,2678,9707,2488xe" filled="true" fillcolor="#c0c0c0" stroked="false">
            <v:path arrowok="t"/>
            <v:fill opacity="32896f" type="solid"/>
            <w10:wrap type="none"/>
          </v:shape>
        </w:pict>
      </w:r>
      <w:r>
        <w:rPr>
          <w:sz w:val="22"/>
        </w:rPr>
        <w:t>Properties</w:t>
      </w:r>
      <w:r>
        <w:rPr>
          <w:spacing w:val="-13"/>
          <w:sz w:val="22"/>
        </w:rPr>
        <w:t> </w:t>
      </w:r>
      <w:r>
        <w:rPr>
          <w:sz w:val="22"/>
        </w:rPr>
        <w:t>may</w:t>
      </w:r>
      <w:r>
        <w:rPr>
          <w:spacing w:val="-11"/>
          <w:sz w:val="22"/>
        </w:rPr>
        <w:t> </w:t>
      </w:r>
      <w:r>
        <w:rPr>
          <w:sz w:val="22"/>
        </w:rPr>
        <w:t>not</w:t>
      </w:r>
      <w:r>
        <w:rPr>
          <w:spacing w:val="-10"/>
          <w:sz w:val="22"/>
        </w:rPr>
        <w:t> </w:t>
      </w:r>
      <w:r>
        <w:rPr>
          <w:sz w:val="22"/>
        </w:rPr>
        <w:t>have</w:t>
      </w:r>
      <w:r>
        <w:rPr>
          <w:spacing w:val="-14"/>
          <w:sz w:val="22"/>
        </w:rPr>
        <w:t> </w:t>
      </w:r>
      <w:r>
        <w:rPr>
          <w:sz w:val="22"/>
        </w:rPr>
        <w:t>more</w:t>
      </w:r>
      <w:r>
        <w:rPr>
          <w:spacing w:val="-11"/>
          <w:sz w:val="22"/>
        </w:rPr>
        <w:t> </w:t>
      </w:r>
      <w:r>
        <w:rPr>
          <w:sz w:val="22"/>
        </w:rPr>
        <w:t>than</w:t>
      </w:r>
      <w:r>
        <w:rPr>
          <w:spacing w:val="-11"/>
          <w:sz w:val="22"/>
        </w:rPr>
        <w:t> </w:t>
      </w:r>
      <w:r>
        <w:rPr>
          <w:sz w:val="22"/>
        </w:rPr>
        <w:t>one</w:t>
      </w:r>
      <w:r>
        <w:rPr>
          <w:spacing w:val="-11"/>
          <w:sz w:val="22"/>
        </w:rPr>
        <w:t> </w:t>
      </w:r>
      <w:r>
        <w:rPr>
          <w:sz w:val="22"/>
        </w:rPr>
        <w:t>outstanding</w:t>
      </w:r>
      <w:r>
        <w:rPr>
          <w:spacing w:val="-9"/>
          <w:sz w:val="22"/>
        </w:rPr>
        <w:t> </w:t>
      </w:r>
      <w:r>
        <w:rPr>
          <w:sz w:val="22"/>
        </w:rPr>
        <w:t>loan</w:t>
      </w:r>
      <w:r>
        <w:rPr>
          <w:spacing w:val="-9"/>
          <w:sz w:val="22"/>
        </w:rPr>
        <w:t> </w:t>
      </w:r>
      <w:r>
        <w:rPr>
          <w:sz w:val="22"/>
        </w:rPr>
        <w:t>on</w:t>
      </w:r>
      <w:r>
        <w:rPr>
          <w:spacing w:val="-14"/>
          <w:sz w:val="22"/>
        </w:rPr>
        <w:t> </w:t>
      </w:r>
      <w:r>
        <w:rPr>
          <w:sz w:val="22"/>
        </w:rPr>
        <w:t>the</w:t>
      </w:r>
      <w:r>
        <w:rPr>
          <w:spacing w:val="-9"/>
          <w:sz w:val="22"/>
        </w:rPr>
        <w:t> </w:t>
      </w:r>
      <w:r>
        <w:rPr>
          <w:sz w:val="22"/>
        </w:rPr>
        <w:t>property.</w:t>
      </w:r>
      <w:r>
        <w:rPr>
          <w:spacing w:val="-10"/>
          <w:sz w:val="22"/>
        </w:rPr>
        <w:t> </w:t>
      </w:r>
      <w:r>
        <w:rPr>
          <w:sz w:val="22"/>
        </w:rPr>
        <w:t>The</w:t>
      </w:r>
      <w:r>
        <w:rPr>
          <w:spacing w:val="-9"/>
          <w:sz w:val="22"/>
        </w:rPr>
        <w:t> </w:t>
      </w:r>
      <w:r>
        <w:rPr>
          <w:sz w:val="22"/>
        </w:rPr>
        <w:t>City</w:t>
      </w:r>
      <w:r>
        <w:rPr>
          <w:spacing w:val="-11"/>
          <w:sz w:val="22"/>
        </w:rPr>
        <w:t> </w:t>
      </w:r>
      <w:r>
        <w:rPr>
          <w:sz w:val="22"/>
        </w:rPr>
        <w:t>will</w:t>
      </w:r>
      <w:r>
        <w:rPr>
          <w:spacing w:val="-9"/>
          <w:sz w:val="22"/>
        </w:rPr>
        <w:t> </w:t>
      </w:r>
      <w:r>
        <w:rPr>
          <w:sz w:val="22"/>
        </w:rPr>
        <w:t>not accept a lien position lower than a second lien.</w:t>
      </w:r>
    </w:p>
    <w:p>
      <w:pPr>
        <w:pStyle w:val="ListParagraph"/>
        <w:numPr>
          <w:ilvl w:val="0"/>
          <w:numId w:val="5"/>
        </w:numPr>
        <w:tabs>
          <w:tab w:pos="841" w:val="left" w:leader="none"/>
        </w:tabs>
        <w:spacing w:line="268" w:lineRule="exact" w:before="1" w:after="0"/>
        <w:ind w:left="840" w:right="0" w:hanging="361"/>
        <w:jc w:val="both"/>
        <w:rPr>
          <w:sz w:val="22"/>
        </w:rPr>
      </w:pPr>
      <w:r>
        <w:rPr>
          <w:sz w:val="22"/>
        </w:rPr>
        <w:t>Property</w:t>
      </w:r>
      <w:r>
        <w:rPr>
          <w:spacing w:val="-6"/>
          <w:sz w:val="22"/>
        </w:rPr>
        <w:t> </w:t>
      </w:r>
      <w:r>
        <w:rPr>
          <w:sz w:val="22"/>
        </w:rPr>
        <w:t>taxes</w:t>
      </w:r>
      <w:r>
        <w:rPr>
          <w:spacing w:val="-5"/>
          <w:sz w:val="22"/>
        </w:rPr>
        <w:t> </w:t>
      </w:r>
      <w:r>
        <w:rPr>
          <w:sz w:val="22"/>
        </w:rPr>
        <w:t>must</w:t>
      </w:r>
      <w:r>
        <w:rPr>
          <w:spacing w:val="-1"/>
          <w:sz w:val="22"/>
        </w:rPr>
        <w:t> </w:t>
      </w:r>
      <w:r>
        <w:rPr>
          <w:sz w:val="22"/>
        </w:rPr>
        <w:t>be</w:t>
      </w:r>
      <w:r>
        <w:rPr>
          <w:spacing w:val="-5"/>
          <w:sz w:val="22"/>
        </w:rPr>
        <w:t> </w:t>
      </w:r>
      <w:r>
        <w:rPr>
          <w:spacing w:val="-2"/>
          <w:sz w:val="22"/>
        </w:rPr>
        <w:t>current.</w:t>
      </w:r>
    </w:p>
    <w:p>
      <w:pPr>
        <w:pStyle w:val="ListParagraph"/>
        <w:numPr>
          <w:ilvl w:val="0"/>
          <w:numId w:val="5"/>
        </w:numPr>
        <w:tabs>
          <w:tab w:pos="841" w:val="left" w:leader="none"/>
        </w:tabs>
        <w:spacing w:line="237" w:lineRule="auto" w:before="1" w:after="0"/>
        <w:ind w:left="840" w:right="155" w:hanging="361"/>
        <w:jc w:val="both"/>
        <w:rPr>
          <w:sz w:val="22"/>
        </w:rPr>
      </w:pPr>
      <w:r>
        <w:rPr>
          <w:sz w:val="22"/>
        </w:rPr>
        <w:t>Applicants must be current on mortgage payments and shall not be in default under the mortgage documents associated with the property.</w:t>
      </w:r>
    </w:p>
    <w:p>
      <w:pPr>
        <w:pStyle w:val="ListParagraph"/>
        <w:numPr>
          <w:ilvl w:val="0"/>
          <w:numId w:val="5"/>
        </w:numPr>
        <w:tabs>
          <w:tab w:pos="841" w:val="left" w:leader="none"/>
        </w:tabs>
        <w:spacing w:line="240" w:lineRule="auto" w:before="1" w:after="0"/>
        <w:ind w:left="840" w:right="0" w:hanging="361"/>
        <w:jc w:val="both"/>
        <w:rPr>
          <w:sz w:val="22"/>
        </w:rPr>
      </w:pPr>
      <w:r>
        <w:rPr>
          <w:sz w:val="22"/>
        </w:rPr>
        <w:t>Properties</w:t>
      </w:r>
      <w:r>
        <w:rPr>
          <w:spacing w:val="-8"/>
          <w:sz w:val="22"/>
        </w:rPr>
        <w:t> </w:t>
      </w:r>
      <w:r>
        <w:rPr>
          <w:sz w:val="22"/>
        </w:rPr>
        <w:t>with</w:t>
      </w:r>
      <w:r>
        <w:rPr>
          <w:spacing w:val="-3"/>
          <w:sz w:val="22"/>
        </w:rPr>
        <w:t> </w:t>
      </w:r>
      <w:r>
        <w:rPr>
          <w:sz w:val="22"/>
        </w:rPr>
        <w:t>a</w:t>
      </w:r>
      <w:r>
        <w:rPr>
          <w:spacing w:val="-6"/>
          <w:sz w:val="22"/>
        </w:rPr>
        <w:t> </w:t>
      </w:r>
      <w:r>
        <w:rPr>
          <w:sz w:val="22"/>
        </w:rPr>
        <w:t>reverse</w:t>
      </w:r>
      <w:r>
        <w:rPr>
          <w:spacing w:val="-5"/>
          <w:sz w:val="22"/>
        </w:rPr>
        <w:t> </w:t>
      </w:r>
      <w:r>
        <w:rPr>
          <w:sz w:val="22"/>
        </w:rPr>
        <w:t>mortgage</w:t>
      </w:r>
      <w:r>
        <w:rPr>
          <w:spacing w:val="-5"/>
          <w:sz w:val="22"/>
        </w:rPr>
        <w:t> </w:t>
      </w:r>
      <w:r>
        <w:rPr>
          <w:sz w:val="22"/>
        </w:rPr>
        <w:t>are</w:t>
      </w:r>
      <w:r>
        <w:rPr>
          <w:spacing w:val="-6"/>
          <w:sz w:val="22"/>
        </w:rPr>
        <w:t> </w:t>
      </w:r>
      <w:r>
        <w:rPr>
          <w:sz w:val="22"/>
        </w:rPr>
        <w:t>not</w:t>
      </w:r>
      <w:r>
        <w:rPr>
          <w:spacing w:val="-4"/>
          <w:sz w:val="22"/>
        </w:rPr>
        <w:t> </w:t>
      </w:r>
      <w:r>
        <w:rPr>
          <w:sz w:val="22"/>
        </w:rPr>
        <w:t>eligible</w:t>
      </w:r>
      <w:r>
        <w:rPr>
          <w:spacing w:val="-4"/>
          <w:sz w:val="22"/>
        </w:rPr>
        <w:t> </w:t>
      </w:r>
      <w:r>
        <w:rPr>
          <w:sz w:val="22"/>
        </w:rPr>
        <w:t>for</w:t>
      </w:r>
      <w:r>
        <w:rPr>
          <w:spacing w:val="-4"/>
          <w:sz w:val="22"/>
        </w:rPr>
        <w:t> </w:t>
      </w:r>
      <w:r>
        <w:rPr>
          <w:sz w:val="22"/>
        </w:rPr>
        <w:t>this</w:t>
      </w:r>
      <w:r>
        <w:rPr>
          <w:spacing w:val="-2"/>
          <w:sz w:val="22"/>
        </w:rPr>
        <w:t> program.</w:t>
      </w:r>
    </w:p>
    <w:p>
      <w:pPr>
        <w:pStyle w:val="BodyText"/>
        <w:spacing w:before="10"/>
        <w:rPr>
          <w:sz w:val="21"/>
        </w:rPr>
      </w:pPr>
    </w:p>
    <w:p>
      <w:pPr>
        <w:pStyle w:val="BodyText"/>
        <w:ind w:left="120" w:right="160"/>
        <w:jc w:val="both"/>
      </w:pPr>
      <w:r>
        <w:rPr/>
        <w:t>Applicants can refinance their properties for better terms. However, they shall not be allowed to do a cash out refinance.</w:t>
      </w:r>
    </w:p>
    <w:p>
      <w:pPr>
        <w:pStyle w:val="BodyText"/>
        <w:spacing w:before="11"/>
        <w:rPr>
          <w:sz w:val="21"/>
        </w:rPr>
      </w:pPr>
    </w:p>
    <w:p>
      <w:pPr>
        <w:pStyle w:val="Heading5"/>
        <w:jc w:val="left"/>
      </w:pPr>
      <w:r>
        <w:rPr>
          <w:spacing w:val="-2"/>
        </w:rPr>
        <w:t>Administration</w:t>
      </w:r>
    </w:p>
    <w:p>
      <w:pPr>
        <w:pStyle w:val="BodyText"/>
        <w:spacing w:before="49"/>
        <w:ind w:left="120" w:right="155"/>
        <w:jc w:val="both"/>
      </w:pPr>
      <w:r>
        <w:rPr/>
        <w:t>The City of Dallas Department of Housing and Neighborhood Revitalization staff or their designees and/or consultants, contractors, subrecipients, or other third-party organizations procured</w:t>
      </w:r>
      <w:r>
        <w:rPr>
          <w:spacing w:val="-2"/>
        </w:rPr>
        <w:t> </w:t>
      </w:r>
      <w:r>
        <w:rPr/>
        <w:t>by</w:t>
      </w:r>
      <w:r>
        <w:rPr>
          <w:spacing w:val="-4"/>
        </w:rPr>
        <w:t> </w:t>
      </w:r>
      <w:r>
        <w:rPr/>
        <w:t>the</w:t>
      </w:r>
      <w:r>
        <w:rPr>
          <w:spacing w:val="-2"/>
        </w:rPr>
        <w:t> </w:t>
      </w:r>
      <w:r>
        <w:rPr/>
        <w:t>City, as</w:t>
      </w:r>
      <w:r>
        <w:rPr>
          <w:spacing w:val="-4"/>
        </w:rPr>
        <w:t> </w:t>
      </w:r>
      <w:r>
        <w:rPr/>
        <w:t>permitted</w:t>
      </w:r>
      <w:r>
        <w:rPr>
          <w:spacing w:val="-2"/>
        </w:rPr>
        <w:t> </w:t>
      </w:r>
      <w:r>
        <w:rPr/>
        <w:t>by</w:t>
      </w:r>
      <w:r>
        <w:rPr>
          <w:spacing w:val="-1"/>
        </w:rPr>
        <w:t> </w:t>
      </w:r>
      <w:r>
        <w:rPr/>
        <w:t>applicable laws and</w:t>
      </w:r>
      <w:r>
        <w:rPr>
          <w:spacing w:val="-4"/>
        </w:rPr>
        <w:t> </w:t>
      </w:r>
      <w:r>
        <w:rPr/>
        <w:t>regulations, shall administer</w:t>
      </w:r>
      <w:r>
        <w:rPr>
          <w:spacing w:val="-3"/>
        </w:rPr>
        <w:t> </w:t>
      </w:r>
      <w:r>
        <w:rPr/>
        <w:t>the</w:t>
      </w:r>
      <w:r>
        <w:rPr>
          <w:spacing w:val="-2"/>
        </w:rPr>
        <w:t> </w:t>
      </w:r>
      <w:r>
        <w:rPr/>
        <w:t>Major Home Rehabilitation Program. Consultants, contractors, subrecipients, or other third-party organizations administering the Program shall have experience providing administration of rehabilitation services. The administration of the Major Home Rehabilitation Program includes direct delivery costs, application evaluation procedures, rehabilitation assessments, cost estimation, bid solicitation, contractor selection, construction management, inspection, disbursement of program funds and processing of notices of completion, and other duties as established in the program guidelines, as well as the policies and procedures.</w:t>
      </w:r>
    </w:p>
    <w:p>
      <w:pPr>
        <w:pStyle w:val="BodyText"/>
        <w:spacing w:before="1"/>
      </w:pPr>
    </w:p>
    <w:p>
      <w:pPr>
        <w:pStyle w:val="BodyText"/>
        <w:ind w:left="120" w:right="157"/>
        <w:jc w:val="both"/>
      </w:pPr>
      <w:r>
        <w:rPr/>
        <w:t>The</w:t>
      </w:r>
      <w:r>
        <w:rPr>
          <w:spacing w:val="-5"/>
        </w:rPr>
        <w:t> </w:t>
      </w:r>
      <w:r>
        <w:rPr/>
        <w:t>Director</w:t>
      </w:r>
      <w:r>
        <w:rPr>
          <w:spacing w:val="-5"/>
        </w:rPr>
        <w:t> </w:t>
      </w:r>
      <w:r>
        <w:rPr/>
        <w:t>of</w:t>
      </w:r>
      <w:r>
        <w:rPr>
          <w:spacing w:val="-4"/>
        </w:rPr>
        <w:t> </w:t>
      </w:r>
      <w:r>
        <w:rPr/>
        <w:t>Housing</w:t>
      </w:r>
      <w:r>
        <w:rPr>
          <w:spacing w:val="-7"/>
        </w:rPr>
        <w:t> </w:t>
      </w:r>
      <w:r>
        <w:rPr/>
        <w:t>and</w:t>
      </w:r>
      <w:r>
        <w:rPr>
          <w:spacing w:val="-5"/>
        </w:rPr>
        <w:t> </w:t>
      </w:r>
      <w:r>
        <w:rPr/>
        <w:t>Neighborhood</w:t>
      </w:r>
      <w:r>
        <w:rPr>
          <w:spacing w:val="-5"/>
        </w:rPr>
        <w:t> </w:t>
      </w:r>
      <w:r>
        <w:rPr/>
        <w:t>Revitalization</w:t>
      </w:r>
      <w:r>
        <w:rPr>
          <w:spacing w:val="-5"/>
        </w:rPr>
        <w:t> </w:t>
      </w:r>
      <w:r>
        <w:rPr/>
        <w:t>(the</w:t>
      </w:r>
      <w:r>
        <w:rPr>
          <w:spacing w:val="-7"/>
        </w:rPr>
        <w:t> </w:t>
      </w:r>
      <w:r>
        <w:rPr/>
        <w:t>“Director”)</w:t>
      </w:r>
      <w:r>
        <w:rPr>
          <w:spacing w:val="-5"/>
        </w:rPr>
        <w:t> </w:t>
      </w:r>
      <w:r>
        <w:rPr/>
        <w:t>shall</w:t>
      </w:r>
      <w:r>
        <w:rPr>
          <w:spacing w:val="-6"/>
        </w:rPr>
        <w:t> </w:t>
      </w:r>
      <w:r>
        <w:rPr/>
        <w:t>be</w:t>
      </w:r>
      <w:r>
        <w:rPr>
          <w:spacing w:val="-5"/>
        </w:rPr>
        <w:t> </w:t>
      </w:r>
      <w:r>
        <w:rPr/>
        <w:t>responsible</w:t>
      </w:r>
      <w:r>
        <w:rPr>
          <w:spacing w:val="-5"/>
        </w:rPr>
        <w:t> </w:t>
      </w:r>
      <w:r>
        <w:rPr/>
        <w:t>for ensuring that all programs are implemented in accordance with all applicable policies and </w:t>
      </w:r>
      <w:r>
        <w:rPr>
          <w:spacing w:val="-2"/>
        </w:rPr>
        <w:t>regulations.</w:t>
      </w:r>
    </w:p>
    <w:p>
      <w:pPr>
        <w:pStyle w:val="BodyText"/>
        <w:spacing w:before="2"/>
      </w:pPr>
    </w:p>
    <w:p>
      <w:pPr>
        <w:pStyle w:val="ListParagraph"/>
        <w:numPr>
          <w:ilvl w:val="1"/>
          <w:numId w:val="4"/>
        </w:numPr>
        <w:tabs>
          <w:tab w:pos="840" w:val="left" w:leader="none"/>
        </w:tabs>
        <w:spacing w:line="252" w:lineRule="exact" w:before="0" w:after="0"/>
        <w:ind w:left="839" w:right="0" w:hanging="360"/>
        <w:jc w:val="both"/>
        <w:rPr>
          <w:b/>
          <w:sz w:val="22"/>
        </w:rPr>
      </w:pPr>
      <w:r>
        <w:rPr>
          <w:b/>
          <w:sz w:val="22"/>
          <w:u w:val="single"/>
        </w:rPr>
        <w:t>Home</w:t>
      </w:r>
      <w:r>
        <w:rPr>
          <w:b/>
          <w:spacing w:val="-8"/>
          <w:sz w:val="22"/>
          <w:u w:val="single"/>
        </w:rPr>
        <w:t> </w:t>
      </w:r>
      <w:r>
        <w:rPr>
          <w:b/>
          <w:sz w:val="22"/>
          <w:u w:val="single"/>
        </w:rPr>
        <w:t>Reconstruction</w:t>
      </w:r>
      <w:r>
        <w:rPr>
          <w:b/>
          <w:spacing w:val="-10"/>
          <w:sz w:val="22"/>
          <w:u w:val="single"/>
        </w:rPr>
        <w:t> </w:t>
      </w:r>
      <w:r>
        <w:rPr>
          <w:b/>
          <w:spacing w:val="-2"/>
          <w:sz w:val="22"/>
          <w:u w:val="single"/>
        </w:rPr>
        <w:t>Program</w:t>
      </w:r>
      <w:r>
        <w:rPr>
          <w:b/>
          <w:spacing w:val="-2"/>
          <w:sz w:val="22"/>
        </w:rPr>
        <w:t>.</w:t>
      </w:r>
    </w:p>
    <w:p>
      <w:pPr>
        <w:pStyle w:val="BodyText"/>
        <w:ind w:left="120" w:right="153" w:hanging="1"/>
        <w:jc w:val="both"/>
      </w:pPr>
      <w:r>
        <w:rPr/>
        <w:t>The Home Reconstruction Program provides </w:t>
      </w:r>
      <w:r>
        <w:rPr>
          <w:color w:val="000000"/>
          <w:shd w:fill="E6E6E6" w:color="auto" w:val="clear"/>
        </w:rPr>
        <w:t>loan</w:t>
      </w:r>
      <w:r>
        <w:rPr>
          <w:color w:val="000000"/>
        </w:rPr>
        <w:t> assistance to eligible homeowners of single- family,</w:t>
      </w:r>
      <w:r>
        <w:rPr>
          <w:color w:val="000000"/>
          <w:spacing w:val="-6"/>
        </w:rPr>
        <w:t> </w:t>
      </w:r>
      <w:r>
        <w:rPr>
          <w:color w:val="000000"/>
        </w:rPr>
        <w:t>detached</w:t>
      </w:r>
      <w:r>
        <w:rPr>
          <w:color w:val="000000"/>
          <w:spacing w:val="-5"/>
        </w:rPr>
        <w:t> </w:t>
      </w:r>
      <w:r>
        <w:rPr>
          <w:color w:val="000000"/>
        </w:rPr>
        <w:t>dwellings</w:t>
      </w:r>
      <w:r>
        <w:rPr>
          <w:color w:val="000000"/>
          <w:spacing w:val="-5"/>
        </w:rPr>
        <w:t> </w:t>
      </w:r>
      <w:r>
        <w:rPr>
          <w:color w:val="000000"/>
        </w:rPr>
        <w:t>for</w:t>
      </w:r>
      <w:r>
        <w:rPr>
          <w:color w:val="000000"/>
          <w:spacing w:val="-6"/>
        </w:rPr>
        <w:t> </w:t>
      </w:r>
      <w:r>
        <w:rPr>
          <w:color w:val="000000"/>
        </w:rPr>
        <w:t>the</w:t>
      </w:r>
      <w:r>
        <w:rPr>
          <w:color w:val="000000"/>
          <w:spacing w:val="-7"/>
        </w:rPr>
        <w:t> </w:t>
      </w:r>
      <w:r>
        <w:rPr>
          <w:color w:val="000000"/>
        </w:rPr>
        <w:t>reconstruction</w:t>
      </w:r>
      <w:r>
        <w:rPr>
          <w:color w:val="000000"/>
          <w:spacing w:val="-8"/>
        </w:rPr>
        <w:t> </w:t>
      </w:r>
      <w:r>
        <w:rPr>
          <w:color w:val="000000"/>
        </w:rPr>
        <w:t>of</w:t>
      </w:r>
      <w:r>
        <w:rPr>
          <w:color w:val="000000"/>
          <w:spacing w:val="-4"/>
        </w:rPr>
        <w:t> </w:t>
      </w:r>
      <w:r>
        <w:rPr>
          <w:color w:val="000000"/>
        </w:rPr>
        <w:t>existing</w:t>
      </w:r>
      <w:r>
        <w:rPr>
          <w:color w:val="000000"/>
          <w:spacing w:val="-5"/>
        </w:rPr>
        <w:t> </w:t>
      </w:r>
      <w:r>
        <w:rPr>
          <w:color w:val="000000"/>
        </w:rPr>
        <w:t>housing.</w:t>
      </w:r>
      <w:r>
        <w:rPr>
          <w:color w:val="000000"/>
          <w:spacing w:val="-6"/>
        </w:rPr>
        <w:t> </w:t>
      </w:r>
      <w:r>
        <w:rPr>
          <w:color w:val="000000"/>
        </w:rPr>
        <w:t>Subject</w:t>
      </w:r>
      <w:r>
        <w:rPr>
          <w:color w:val="000000"/>
          <w:spacing w:val="-6"/>
        </w:rPr>
        <w:t> </w:t>
      </w:r>
      <w:r>
        <w:rPr>
          <w:color w:val="000000"/>
        </w:rPr>
        <w:t>to</w:t>
      </w:r>
      <w:r>
        <w:rPr>
          <w:color w:val="000000"/>
          <w:spacing w:val="-7"/>
        </w:rPr>
        <w:t> </w:t>
      </w:r>
      <w:r>
        <w:rPr>
          <w:color w:val="000000"/>
        </w:rPr>
        <w:t>the</w:t>
      </w:r>
      <w:r>
        <w:rPr>
          <w:color w:val="000000"/>
          <w:spacing w:val="-7"/>
        </w:rPr>
        <w:t> </w:t>
      </w:r>
      <w:r>
        <w:rPr>
          <w:color w:val="000000"/>
        </w:rPr>
        <w:t>requirements stated below, dwellings requiring repairs that exceed 80% of the most recent certified improvement value as determined by the applicable appraisal district qualify for this program assistance. Assistance for this program is provided by HUD through the Home Investment Partnerships Program (HOME), CDBG, and/or non-federal funds. If HOME funds are used, the applicable HOME regulations shall apply, even if such regulations conflict with program requirements detailed below. Not to exceed 75% of HOME Homeownership Value Limits, as established by HUD.</w:t>
      </w:r>
    </w:p>
    <w:p>
      <w:pPr>
        <w:pStyle w:val="BodyText"/>
      </w:pPr>
    </w:p>
    <w:p>
      <w:pPr>
        <w:pStyle w:val="Heading5"/>
        <w:jc w:val="left"/>
      </w:pPr>
      <w:r>
        <w:rPr/>
        <w:t>Applicant</w:t>
      </w:r>
      <w:r>
        <w:rPr>
          <w:spacing w:val="-6"/>
        </w:rPr>
        <w:t> </w:t>
      </w:r>
      <w:r>
        <w:rPr>
          <w:spacing w:val="-2"/>
        </w:rPr>
        <w:t>Eligibility</w:t>
      </w:r>
    </w:p>
    <w:p>
      <w:pPr>
        <w:pStyle w:val="ListParagraph"/>
        <w:numPr>
          <w:ilvl w:val="2"/>
          <w:numId w:val="4"/>
        </w:numPr>
        <w:tabs>
          <w:tab w:pos="841" w:val="left" w:leader="none"/>
        </w:tabs>
        <w:spacing w:line="237" w:lineRule="auto" w:before="53" w:after="0"/>
        <w:ind w:left="840" w:right="156" w:hanging="361"/>
        <w:jc w:val="both"/>
        <w:rPr>
          <w:rFonts w:ascii="Symbol" w:hAnsi="Symbol"/>
          <w:sz w:val="22"/>
        </w:rPr>
      </w:pPr>
      <w:r>
        <w:rPr>
          <w:sz w:val="22"/>
        </w:rPr>
        <w:t>Applicants must be referred to the Home Reconstruction Program from the Major Rehab </w:t>
      </w:r>
      <w:r>
        <w:rPr>
          <w:spacing w:val="-2"/>
          <w:sz w:val="22"/>
        </w:rPr>
        <w:t>Program.</w:t>
      </w:r>
    </w:p>
    <w:p>
      <w:pPr>
        <w:spacing w:after="0" w:line="237" w:lineRule="auto"/>
        <w:jc w:val="both"/>
        <w:rPr>
          <w:rFonts w:ascii="Symbol" w:hAnsi="Symbol"/>
          <w:sz w:val="22"/>
        </w:rPr>
        <w:sectPr>
          <w:pgSz w:w="12240" w:h="15840"/>
          <w:pgMar w:header="0" w:footer="1738" w:top="1620" w:bottom="1920" w:left="1320" w:right="1280"/>
        </w:sectPr>
      </w:pPr>
    </w:p>
    <w:p>
      <w:pPr>
        <w:pStyle w:val="ListParagraph"/>
        <w:numPr>
          <w:ilvl w:val="2"/>
          <w:numId w:val="4"/>
        </w:numPr>
        <w:tabs>
          <w:tab w:pos="841" w:val="left" w:leader="none"/>
        </w:tabs>
        <w:spacing w:line="237" w:lineRule="auto" w:before="84" w:after="0"/>
        <w:ind w:left="840" w:right="156" w:hanging="361"/>
        <w:jc w:val="both"/>
        <w:rPr>
          <w:rFonts w:ascii="Symbol" w:hAnsi="Symbol"/>
          <w:sz w:val="22"/>
        </w:rPr>
      </w:pPr>
      <w:r>
        <w:rPr>
          <w:sz w:val="22"/>
        </w:rPr>
        <w:t>Applicants must be the owner of property and must have occupied the home for at least six months prior to</w:t>
      </w:r>
      <w:r>
        <w:rPr>
          <w:spacing w:val="-2"/>
          <w:sz w:val="22"/>
        </w:rPr>
        <w:t> </w:t>
      </w:r>
      <w:r>
        <w:rPr>
          <w:sz w:val="22"/>
        </w:rPr>
        <w:t>the date of application for the</w:t>
      </w:r>
      <w:r>
        <w:rPr>
          <w:spacing w:val="-4"/>
          <w:sz w:val="22"/>
        </w:rPr>
        <w:t> </w:t>
      </w:r>
      <w:r>
        <w:rPr>
          <w:sz w:val="22"/>
        </w:rPr>
        <w:t>Major Rehab Program. Applicants must submit a deed showing the conveyance, or similar documentation acceptable to the City in its sole discretion, that proves ownership in fee simple.</w:t>
      </w:r>
    </w:p>
    <w:p>
      <w:pPr>
        <w:pStyle w:val="ListParagraph"/>
        <w:numPr>
          <w:ilvl w:val="2"/>
          <w:numId w:val="4"/>
        </w:numPr>
        <w:tabs>
          <w:tab w:pos="841" w:val="left" w:leader="none"/>
        </w:tabs>
        <w:spacing w:line="237" w:lineRule="auto" w:before="6" w:after="0"/>
        <w:ind w:left="840" w:right="158" w:hanging="361"/>
        <w:jc w:val="both"/>
        <w:rPr>
          <w:rFonts w:ascii="Symbol" w:hAnsi="Symbol"/>
          <w:sz w:val="22"/>
        </w:rPr>
      </w:pPr>
      <w:r>
        <w:rPr>
          <w:sz w:val="22"/>
        </w:rPr>
        <w:t>Applicants must be a U.S. citizen or lawful permanent resident, and they must hold a current Texas state-issued identification card or driver’s license.</w:t>
      </w:r>
    </w:p>
    <w:p>
      <w:pPr>
        <w:pStyle w:val="ListParagraph"/>
        <w:numPr>
          <w:ilvl w:val="2"/>
          <w:numId w:val="4"/>
        </w:numPr>
        <w:tabs>
          <w:tab w:pos="841" w:val="left" w:leader="none"/>
        </w:tabs>
        <w:spacing w:line="240" w:lineRule="auto" w:before="1" w:after="0"/>
        <w:ind w:left="840" w:right="159" w:hanging="361"/>
        <w:jc w:val="both"/>
        <w:rPr>
          <w:rFonts w:ascii="Symbol" w:hAnsi="Symbol"/>
          <w:sz w:val="22"/>
        </w:rPr>
      </w:pPr>
      <w:r>
        <w:rPr/>
        <w:pict>
          <v:shape style="position:absolute;margin-left:90.065002pt;margin-top:19.902145pt;width:395.3pt;height:419pt;mso-position-horizontal-relative:page;mso-position-vertical-relative:paragraph;z-index:-17733632" id="docshape27" coordorigin="1801,398" coordsize="7906,8380" path="m4498,7662l4492,7588,4477,7510,4455,7427,4432,7358,4403,7286,4367,7211,4325,7133,4276,7053,4237,6994,4200,6943,4200,7628,4197,7685,4186,7742,4167,7799,4138,7859,4097,7921,4044,7987,3979,8057,3674,8362,2216,6905,2517,6604,2598,6528,2672,6468,2740,6424,2801,6398,2868,6383,2941,6379,3020,6386,3105,6404,3195,6433,3255,6459,3317,6491,3380,6530,3446,6575,3514,6626,3584,6684,3656,6749,3729,6820,3789,6882,3845,6942,3896,7001,3943,7059,3986,7116,4025,7171,4059,7225,4101,7299,4136,7372,4163,7441,4183,7508,4196,7572,4200,7628,4200,6943,4194,6934,4148,6874,4098,6813,4045,6752,3989,6691,3929,6629,3865,6567,3801,6508,3737,6454,3673,6402,3643,6379,3609,6354,3546,6310,3482,6268,3419,6230,3346,6193,3274,6160,3203,6133,3132,6111,3062,6094,2992,6082,2923,6075,2850,6073,2779,6080,2709,6095,2642,6118,2577,6148,2528,6177,2476,6214,2420,6259,2359,6313,2294,6376,1801,6869,3710,8777,4124,8362,4226,8261,4287,8195,4341,8130,4386,8064,4424,7998,4454,7931,4476,7865,4491,7798,4498,7730,4498,7662xm6418,6069l6056,5941,5650,5798,5561,5769,5475,5745,5393,5726,5365,5721,5314,5712,5239,5702,5193,5700,5143,5703,5089,5710,5030,5721,5073,5651,5109,5582,5136,5512,5154,5443,5164,5375,5165,5307,5157,5239,5139,5161,5111,5085,5075,5010,5030,4938,4976,4867,4956,4844,4913,4798,4872,4760,4872,5317,4868,5373,4854,5428,4830,5484,4794,5543,4747,5604,4687,5667,4280,6074,3649,5443,4102,4990,4166,4933,4229,4890,4293,4861,4358,4845,4422,4844,4501,4859,4577,4889,4649,4934,4718,4993,4761,5041,4797,5092,4827,5145,4851,5202,4867,5260,4872,5317,4872,4760,4849,4738,4782,4686,4713,4641,4641,4602,4566,4570,4474,4542,4386,4529,4303,4531,4225,4547,4163,4572,4098,4608,4030,4656,3958,4716,3883,4787,3248,5422,5157,7330,5346,7141,4499,6293,4718,6074,4753,6040,4783,6013,4810,5992,4833,5977,4863,5964,4896,5953,4932,5945,4971,5941,5014,5941,5066,5946,5125,5957,5194,5973,5256,5990,5328,6011,5407,6036,5496,6065,6180,6307,6418,6069xm7780,4706l7415,4511,6555,4057,6555,4364,6070,4849,6030,4778,5989,4706,5748,4276,5708,4204,5668,4132,5629,4067,5590,4002,5550,3938,5509,3875,5467,3813,5424,3752,5380,3691,5436,3727,5498,3764,5564,3804,5635,3846,5792,3937,6555,4364,6555,4057,5862,3691,5286,3384,5082,3588,5277,3939,5316,4009,5701,4706,6207,5625,6441,6046,6642,5845,6565,5711,6298,5243,6221,5110,6481,4849,6820,4511,7173,4706,7565,4922,7780,4706xm8131,4356l7264,3489,7936,2817,7711,2592,7039,3264,6448,2673,7224,1897,6999,1671,6033,2637,7941,4545,8131,4356xm9707,2780l8024,1097,8497,623,8272,398,7138,1533,7363,1758,7834,1286,9517,2969,9707,2780xe" filled="true" fillcolor="#c0c0c0" stroked="false">
            <v:path arrowok="t"/>
            <v:fill opacity="32896f" type="solid"/>
            <w10:wrap type="none"/>
          </v:shape>
        </w:pict>
      </w:r>
      <w:r>
        <w:rPr>
          <w:sz w:val="22"/>
        </w:rPr>
        <w:t>Applicants</w:t>
      </w:r>
      <w:r>
        <w:rPr>
          <w:spacing w:val="-9"/>
          <w:sz w:val="22"/>
        </w:rPr>
        <w:t> </w:t>
      </w:r>
      <w:r>
        <w:rPr>
          <w:sz w:val="22"/>
        </w:rPr>
        <w:t>must</w:t>
      </w:r>
      <w:r>
        <w:rPr>
          <w:spacing w:val="-8"/>
          <w:sz w:val="22"/>
        </w:rPr>
        <w:t> </w:t>
      </w:r>
      <w:r>
        <w:rPr>
          <w:sz w:val="22"/>
        </w:rPr>
        <w:t>not</w:t>
      </w:r>
      <w:r>
        <w:rPr>
          <w:spacing w:val="-11"/>
          <w:sz w:val="22"/>
        </w:rPr>
        <w:t> </w:t>
      </w:r>
      <w:r>
        <w:rPr>
          <w:sz w:val="22"/>
        </w:rPr>
        <w:t>have</w:t>
      </w:r>
      <w:r>
        <w:rPr>
          <w:spacing w:val="-12"/>
          <w:sz w:val="22"/>
        </w:rPr>
        <w:t> </w:t>
      </w:r>
      <w:r>
        <w:rPr>
          <w:sz w:val="22"/>
        </w:rPr>
        <w:t>any</w:t>
      </w:r>
      <w:r>
        <w:rPr>
          <w:spacing w:val="-9"/>
          <w:sz w:val="22"/>
        </w:rPr>
        <w:t> </w:t>
      </w:r>
      <w:r>
        <w:rPr>
          <w:sz w:val="22"/>
        </w:rPr>
        <w:t>outstanding</w:t>
      </w:r>
      <w:r>
        <w:rPr>
          <w:spacing w:val="-10"/>
          <w:sz w:val="22"/>
        </w:rPr>
        <w:t> </w:t>
      </w:r>
      <w:r>
        <w:rPr>
          <w:sz w:val="22"/>
        </w:rPr>
        <w:t>loans</w:t>
      </w:r>
      <w:r>
        <w:rPr>
          <w:spacing w:val="-8"/>
          <w:sz w:val="22"/>
        </w:rPr>
        <w:t> </w:t>
      </w:r>
      <w:r>
        <w:rPr>
          <w:sz w:val="22"/>
        </w:rPr>
        <w:t>on</w:t>
      </w:r>
      <w:r>
        <w:rPr>
          <w:spacing w:val="-10"/>
          <w:sz w:val="22"/>
        </w:rPr>
        <w:t> </w:t>
      </w:r>
      <w:r>
        <w:rPr>
          <w:sz w:val="22"/>
        </w:rPr>
        <w:t>the</w:t>
      </w:r>
      <w:r>
        <w:rPr>
          <w:spacing w:val="-10"/>
          <w:sz w:val="22"/>
        </w:rPr>
        <w:t> </w:t>
      </w:r>
      <w:r>
        <w:rPr>
          <w:sz w:val="22"/>
        </w:rPr>
        <w:t>property</w:t>
      </w:r>
      <w:r>
        <w:rPr>
          <w:spacing w:val="-9"/>
          <w:sz w:val="22"/>
        </w:rPr>
        <w:t> </w:t>
      </w:r>
      <w:r>
        <w:rPr>
          <w:sz w:val="22"/>
        </w:rPr>
        <w:t>because</w:t>
      </w:r>
      <w:r>
        <w:rPr>
          <w:spacing w:val="-12"/>
          <w:sz w:val="22"/>
        </w:rPr>
        <w:t> </w:t>
      </w:r>
      <w:r>
        <w:rPr>
          <w:sz w:val="22"/>
        </w:rPr>
        <w:t>the</w:t>
      </w:r>
      <w:r>
        <w:rPr>
          <w:spacing w:val="-9"/>
          <w:sz w:val="22"/>
        </w:rPr>
        <w:t> </w:t>
      </w:r>
      <w:r>
        <w:rPr>
          <w:sz w:val="22"/>
        </w:rPr>
        <w:t>City</w:t>
      </w:r>
      <w:r>
        <w:rPr>
          <w:spacing w:val="-9"/>
          <w:sz w:val="22"/>
        </w:rPr>
        <w:t> </w:t>
      </w:r>
      <w:r>
        <w:rPr>
          <w:sz w:val="22"/>
        </w:rPr>
        <w:t>will</w:t>
      </w:r>
      <w:r>
        <w:rPr>
          <w:spacing w:val="-11"/>
          <w:sz w:val="22"/>
        </w:rPr>
        <w:t> </w:t>
      </w:r>
      <w:r>
        <w:rPr>
          <w:sz w:val="22"/>
        </w:rPr>
        <w:t>only accept</w:t>
      </w:r>
      <w:r>
        <w:rPr>
          <w:spacing w:val="-6"/>
          <w:sz w:val="22"/>
        </w:rPr>
        <w:t> </w:t>
      </w:r>
      <w:r>
        <w:rPr>
          <w:sz w:val="22"/>
        </w:rPr>
        <w:t>a</w:t>
      </w:r>
      <w:r>
        <w:rPr>
          <w:spacing w:val="-12"/>
          <w:sz w:val="22"/>
        </w:rPr>
        <w:t> </w:t>
      </w:r>
      <w:r>
        <w:rPr>
          <w:sz w:val="22"/>
        </w:rPr>
        <w:t>first</w:t>
      </w:r>
      <w:r>
        <w:rPr>
          <w:spacing w:val="-8"/>
          <w:sz w:val="22"/>
        </w:rPr>
        <w:t> </w:t>
      </w:r>
      <w:r>
        <w:rPr>
          <w:sz w:val="22"/>
        </w:rPr>
        <w:t>lien</w:t>
      </w:r>
      <w:r>
        <w:rPr>
          <w:spacing w:val="-7"/>
          <w:sz w:val="22"/>
        </w:rPr>
        <w:t> </w:t>
      </w:r>
      <w:r>
        <w:rPr>
          <w:sz w:val="22"/>
        </w:rPr>
        <w:t>position.</w:t>
      </w:r>
      <w:r>
        <w:rPr>
          <w:spacing w:val="-6"/>
          <w:sz w:val="22"/>
        </w:rPr>
        <w:t> </w:t>
      </w:r>
      <w:r>
        <w:rPr>
          <w:sz w:val="22"/>
        </w:rPr>
        <w:t>Applicants</w:t>
      </w:r>
      <w:r>
        <w:rPr>
          <w:spacing w:val="-9"/>
          <w:sz w:val="22"/>
        </w:rPr>
        <w:t> </w:t>
      </w:r>
      <w:r>
        <w:rPr>
          <w:sz w:val="22"/>
        </w:rPr>
        <w:t>having</w:t>
      </w:r>
      <w:r>
        <w:rPr>
          <w:spacing w:val="-7"/>
          <w:sz w:val="22"/>
        </w:rPr>
        <w:t> </w:t>
      </w:r>
      <w:r>
        <w:rPr>
          <w:sz w:val="22"/>
        </w:rPr>
        <w:t>a</w:t>
      </w:r>
      <w:r>
        <w:rPr>
          <w:spacing w:val="-10"/>
          <w:sz w:val="22"/>
        </w:rPr>
        <w:t> </w:t>
      </w:r>
      <w:r>
        <w:rPr>
          <w:sz w:val="22"/>
        </w:rPr>
        <w:t>reverse</w:t>
      </w:r>
      <w:r>
        <w:rPr>
          <w:spacing w:val="-10"/>
          <w:sz w:val="22"/>
        </w:rPr>
        <w:t> </w:t>
      </w:r>
      <w:r>
        <w:rPr>
          <w:sz w:val="22"/>
        </w:rPr>
        <w:t>mortgage</w:t>
      </w:r>
      <w:r>
        <w:rPr>
          <w:spacing w:val="-7"/>
          <w:sz w:val="22"/>
        </w:rPr>
        <w:t> </w:t>
      </w:r>
      <w:r>
        <w:rPr>
          <w:sz w:val="22"/>
        </w:rPr>
        <w:t>on</w:t>
      </w:r>
      <w:r>
        <w:rPr>
          <w:spacing w:val="-12"/>
          <w:sz w:val="22"/>
        </w:rPr>
        <w:t> </w:t>
      </w:r>
      <w:r>
        <w:rPr>
          <w:sz w:val="22"/>
        </w:rPr>
        <w:t>the</w:t>
      </w:r>
      <w:r>
        <w:rPr>
          <w:spacing w:val="-7"/>
          <w:sz w:val="22"/>
        </w:rPr>
        <w:t> </w:t>
      </w:r>
      <w:r>
        <w:rPr>
          <w:sz w:val="22"/>
        </w:rPr>
        <w:t>property</w:t>
      </w:r>
      <w:r>
        <w:rPr>
          <w:spacing w:val="-9"/>
          <w:sz w:val="22"/>
        </w:rPr>
        <w:t> </w:t>
      </w:r>
      <w:r>
        <w:rPr>
          <w:sz w:val="22"/>
        </w:rPr>
        <w:t>shall</w:t>
      </w:r>
      <w:r>
        <w:rPr>
          <w:spacing w:val="-8"/>
          <w:sz w:val="22"/>
        </w:rPr>
        <w:t> </w:t>
      </w:r>
      <w:r>
        <w:rPr>
          <w:sz w:val="22"/>
        </w:rPr>
        <w:t>not be eligible for a loan.</w:t>
      </w:r>
    </w:p>
    <w:p>
      <w:pPr>
        <w:pStyle w:val="ListParagraph"/>
        <w:numPr>
          <w:ilvl w:val="2"/>
          <w:numId w:val="4"/>
        </w:numPr>
        <w:tabs>
          <w:tab w:pos="841" w:val="left" w:leader="none"/>
        </w:tabs>
        <w:spacing w:line="237" w:lineRule="auto" w:before="2" w:after="0"/>
        <w:ind w:left="840" w:right="158" w:hanging="361"/>
        <w:jc w:val="both"/>
        <w:rPr>
          <w:rFonts w:ascii="Symbol" w:hAnsi="Symbol"/>
          <w:sz w:val="22"/>
        </w:rPr>
      </w:pPr>
      <w:r>
        <w:rPr>
          <w:sz w:val="22"/>
        </w:rPr>
        <w:t>Property taxes must be current and not delinquent for any tax year unless the Applicant has</w:t>
      </w:r>
      <w:r>
        <w:rPr>
          <w:spacing w:val="-7"/>
          <w:sz w:val="22"/>
        </w:rPr>
        <w:t> </w:t>
      </w:r>
      <w:r>
        <w:rPr>
          <w:sz w:val="22"/>
        </w:rPr>
        <w:t>entered</w:t>
      </w:r>
      <w:r>
        <w:rPr>
          <w:spacing w:val="-10"/>
          <w:sz w:val="22"/>
        </w:rPr>
        <w:t> </w:t>
      </w:r>
      <w:r>
        <w:rPr>
          <w:sz w:val="22"/>
        </w:rPr>
        <w:t>into</w:t>
      </w:r>
      <w:r>
        <w:rPr>
          <w:spacing w:val="-10"/>
          <w:sz w:val="22"/>
        </w:rPr>
        <w:t> </w:t>
      </w:r>
      <w:r>
        <w:rPr>
          <w:sz w:val="22"/>
        </w:rPr>
        <w:t>a</w:t>
      </w:r>
      <w:r>
        <w:rPr>
          <w:spacing w:val="-10"/>
          <w:sz w:val="22"/>
        </w:rPr>
        <w:t> </w:t>
      </w:r>
      <w:r>
        <w:rPr>
          <w:sz w:val="22"/>
        </w:rPr>
        <w:t>written</w:t>
      </w:r>
      <w:r>
        <w:rPr>
          <w:spacing w:val="-10"/>
          <w:sz w:val="22"/>
        </w:rPr>
        <w:t> </w:t>
      </w:r>
      <w:r>
        <w:rPr>
          <w:sz w:val="22"/>
        </w:rPr>
        <w:t>agreement</w:t>
      </w:r>
      <w:r>
        <w:rPr>
          <w:spacing w:val="-8"/>
          <w:sz w:val="22"/>
        </w:rPr>
        <w:t> </w:t>
      </w:r>
      <w:r>
        <w:rPr>
          <w:sz w:val="22"/>
        </w:rPr>
        <w:t>with</w:t>
      </w:r>
      <w:r>
        <w:rPr>
          <w:spacing w:val="-10"/>
          <w:sz w:val="22"/>
        </w:rPr>
        <w:t> </w:t>
      </w:r>
      <w:r>
        <w:rPr>
          <w:sz w:val="22"/>
        </w:rPr>
        <w:t>the</w:t>
      </w:r>
      <w:r>
        <w:rPr>
          <w:spacing w:val="-10"/>
          <w:sz w:val="22"/>
        </w:rPr>
        <w:t> </w:t>
      </w:r>
      <w:r>
        <w:rPr>
          <w:sz w:val="22"/>
        </w:rPr>
        <w:t>taxing</w:t>
      </w:r>
      <w:r>
        <w:rPr>
          <w:spacing w:val="-7"/>
          <w:sz w:val="22"/>
        </w:rPr>
        <w:t> </w:t>
      </w:r>
      <w:r>
        <w:rPr>
          <w:sz w:val="22"/>
        </w:rPr>
        <w:t>authority</w:t>
      </w:r>
      <w:r>
        <w:rPr>
          <w:spacing w:val="-9"/>
          <w:sz w:val="22"/>
        </w:rPr>
        <w:t> </w:t>
      </w:r>
      <w:r>
        <w:rPr>
          <w:sz w:val="22"/>
        </w:rPr>
        <w:t>outlining</w:t>
      </w:r>
      <w:r>
        <w:rPr>
          <w:spacing w:val="-7"/>
          <w:sz w:val="22"/>
        </w:rPr>
        <w:t> </w:t>
      </w:r>
      <w:r>
        <w:rPr>
          <w:sz w:val="22"/>
        </w:rPr>
        <w:t>a</w:t>
      </w:r>
      <w:r>
        <w:rPr>
          <w:spacing w:val="-10"/>
          <w:sz w:val="22"/>
        </w:rPr>
        <w:t> </w:t>
      </w:r>
      <w:r>
        <w:rPr>
          <w:sz w:val="22"/>
        </w:rPr>
        <w:t>payment</w:t>
      </w:r>
      <w:r>
        <w:rPr>
          <w:spacing w:val="-8"/>
          <w:sz w:val="22"/>
        </w:rPr>
        <w:t> </w:t>
      </w:r>
      <w:r>
        <w:rPr>
          <w:sz w:val="22"/>
        </w:rPr>
        <w:t>plan</w:t>
      </w:r>
      <w:r>
        <w:rPr>
          <w:spacing w:val="-10"/>
          <w:sz w:val="22"/>
        </w:rPr>
        <w:t> </w:t>
      </w:r>
      <w:r>
        <w:rPr>
          <w:sz w:val="22"/>
        </w:rPr>
        <w:t>for delinquent taxes and is abiding by the written agreement.</w:t>
      </w:r>
    </w:p>
    <w:p>
      <w:pPr>
        <w:pStyle w:val="ListParagraph"/>
        <w:numPr>
          <w:ilvl w:val="2"/>
          <w:numId w:val="4"/>
        </w:numPr>
        <w:tabs>
          <w:tab w:pos="841" w:val="left" w:leader="none"/>
        </w:tabs>
        <w:spacing w:line="240" w:lineRule="auto" w:before="3" w:after="0"/>
        <w:ind w:left="840" w:right="155" w:hanging="361"/>
        <w:jc w:val="both"/>
        <w:rPr>
          <w:rFonts w:ascii="Symbol" w:hAnsi="Symbol"/>
          <w:sz w:val="22"/>
        </w:rPr>
      </w:pPr>
      <w:r>
        <w:rPr>
          <w:sz w:val="22"/>
        </w:rPr>
        <w:t>Where</w:t>
      </w:r>
      <w:r>
        <w:rPr>
          <w:spacing w:val="-12"/>
          <w:sz w:val="22"/>
        </w:rPr>
        <w:t> </w:t>
      </w:r>
      <w:r>
        <w:rPr>
          <w:sz w:val="22"/>
        </w:rPr>
        <w:t>federal</w:t>
      </w:r>
      <w:r>
        <w:rPr>
          <w:spacing w:val="-13"/>
          <w:sz w:val="22"/>
        </w:rPr>
        <w:t> </w:t>
      </w:r>
      <w:r>
        <w:rPr>
          <w:sz w:val="22"/>
        </w:rPr>
        <w:t>funds</w:t>
      </w:r>
      <w:r>
        <w:rPr>
          <w:spacing w:val="-9"/>
          <w:sz w:val="22"/>
        </w:rPr>
        <w:t> </w:t>
      </w:r>
      <w:r>
        <w:rPr>
          <w:sz w:val="22"/>
        </w:rPr>
        <w:t>are</w:t>
      </w:r>
      <w:r>
        <w:rPr>
          <w:spacing w:val="-12"/>
          <w:sz w:val="22"/>
        </w:rPr>
        <w:t> </w:t>
      </w:r>
      <w:r>
        <w:rPr>
          <w:sz w:val="22"/>
        </w:rPr>
        <w:t>provided,</w:t>
      </w:r>
      <w:r>
        <w:rPr>
          <w:spacing w:val="-8"/>
          <w:sz w:val="22"/>
        </w:rPr>
        <w:t> </w:t>
      </w:r>
      <w:r>
        <w:rPr>
          <w:sz w:val="22"/>
        </w:rPr>
        <w:t>Applicant</w:t>
      </w:r>
      <w:r>
        <w:rPr>
          <w:spacing w:val="-11"/>
          <w:sz w:val="22"/>
        </w:rPr>
        <w:t> </w:t>
      </w:r>
      <w:r>
        <w:rPr>
          <w:sz w:val="22"/>
        </w:rPr>
        <w:t>must</w:t>
      </w:r>
      <w:r>
        <w:rPr>
          <w:spacing w:val="-11"/>
          <w:sz w:val="22"/>
        </w:rPr>
        <w:t> </w:t>
      </w:r>
      <w:r>
        <w:rPr>
          <w:sz w:val="22"/>
        </w:rPr>
        <w:t>have</w:t>
      </w:r>
      <w:r>
        <w:rPr>
          <w:spacing w:val="-10"/>
          <w:sz w:val="22"/>
        </w:rPr>
        <w:t> </w:t>
      </w:r>
      <w:r>
        <w:rPr>
          <w:sz w:val="22"/>
        </w:rPr>
        <w:t>a</w:t>
      </w:r>
      <w:r>
        <w:rPr>
          <w:spacing w:val="-10"/>
          <w:sz w:val="22"/>
        </w:rPr>
        <w:t> </w:t>
      </w:r>
      <w:r>
        <w:rPr>
          <w:sz w:val="22"/>
        </w:rPr>
        <w:t>gross</w:t>
      </w:r>
      <w:r>
        <w:rPr>
          <w:spacing w:val="-9"/>
          <w:sz w:val="22"/>
        </w:rPr>
        <w:t> </w:t>
      </w:r>
      <w:r>
        <w:rPr>
          <w:sz w:val="22"/>
        </w:rPr>
        <w:t>annual</w:t>
      </w:r>
      <w:r>
        <w:rPr>
          <w:spacing w:val="-10"/>
          <w:sz w:val="22"/>
        </w:rPr>
        <w:t> </w:t>
      </w:r>
      <w:r>
        <w:rPr>
          <w:sz w:val="22"/>
        </w:rPr>
        <w:t>household</w:t>
      </w:r>
      <w:r>
        <w:rPr>
          <w:spacing w:val="-10"/>
          <w:sz w:val="22"/>
        </w:rPr>
        <w:t> </w:t>
      </w:r>
      <w:r>
        <w:rPr>
          <w:sz w:val="22"/>
        </w:rPr>
        <w:t>income at</w:t>
      </w:r>
      <w:r>
        <w:rPr>
          <w:spacing w:val="-6"/>
          <w:sz w:val="22"/>
        </w:rPr>
        <w:t> </w:t>
      </w:r>
      <w:r>
        <w:rPr>
          <w:sz w:val="22"/>
        </w:rPr>
        <w:t>or</w:t>
      </w:r>
      <w:r>
        <w:rPr>
          <w:spacing w:val="-9"/>
          <w:sz w:val="22"/>
        </w:rPr>
        <w:t> </w:t>
      </w:r>
      <w:r>
        <w:rPr>
          <w:sz w:val="22"/>
        </w:rPr>
        <w:t>below</w:t>
      </w:r>
      <w:r>
        <w:rPr>
          <w:spacing w:val="-10"/>
          <w:sz w:val="22"/>
        </w:rPr>
        <w:t> </w:t>
      </w:r>
      <w:r>
        <w:rPr>
          <w:sz w:val="22"/>
        </w:rPr>
        <w:t>the</w:t>
      </w:r>
      <w:r>
        <w:rPr>
          <w:spacing w:val="-10"/>
          <w:sz w:val="22"/>
        </w:rPr>
        <w:t> </w:t>
      </w:r>
      <w:r>
        <w:rPr>
          <w:sz w:val="22"/>
        </w:rPr>
        <w:t>applicable</w:t>
      </w:r>
      <w:r>
        <w:rPr>
          <w:spacing w:val="-7"/>
          <w:sz w:val="22"/>
        </w:rPr>
        <w:t> </w:t>
      </w:r>
      <w:r>
        <w:rPr>
          <w:sz w:val="22"/>
        </w:rPr>
        <w:t>low-</w:t>
      </w:r>
      <w:r>
        <w:rPr>
          <w:spacing w:val="-9"/>
          <w:sz w:val="22"/>
        </w:rPr>
        <w:t> </w:t>
      </w:r>
      <w:r>
        <w:rPr>
          <w:sz w:val="22"/>
        </w:rPr>
        <w:t>and</w:t>
      </w:r>
      <w:r>
        <w:rPr>
          <w:spacing w:val="-10"/>
          <w:sz w:val="22"/>
        </w:rPr>
        <w:t> </w:t>
      </w:r>
      <w:r>
        <w:rPr>
          <w:sz w:val="22"/>
        </w:rPr>
        <w:t>moderate-income</w:t>
      </w:r>
      <w:r>
        <w:rPr>
          <w:spacing w:val="-10"/>
          <w:sz w:val="22"/>
        </w:rPr>
        <w:t> </w:t>
      </w:r>
      <w:r>
        <w:rPr>
          <w:sz w:val="22"/>
        </w:rPr>
        <w:t>limits</w:t>
      </w:r>
      <w:r>
        <w:rPr>
          <w:spacing w:val="-9"/>
          <w:sz w:val="22"/>
        </w:rPr>
        <w:t> </w:t>
      </w:r>
      <w:r>
        <w:rPr>
          <w:sz w:val="22"/>
        </w:rPr>
        <w:t>(&lt;80%</w:t>
      </w:r>
      <w:r>
        <w:rPr>
          <w:spacing w:val="-9"/>
          <w:sz w:val="22"/>
        </w:rPr>
        <w:t> </w:t>
      </w:r>
      <w:r>
        <w:rPr>
          <w:sz w:val="22"/>
        </w:rPr>
        <w:t>AMI)</w:t>
      </w:r>
      <w:r>
        <w:rPr>
          <w:spacing w:val="-9"/>
          <w:sz w:val="22"/>
        </w:rPr>
        <w:t> </w:t>
      </w:r>
      <w:r>
        <w:rPr>
          <w:sz w:val="22"/>
        </w:rPr>
        <w:t>as</w:t>
      </w:r>
      <w:r>
        <w:rPr>
          <w:spacing w:val="-7"/>
          <w:sz w:val="22"/>
        </w:rPr>
        <w:t> </w:t>
      </w:r>
      <w:r>
        <w:rPr>
          <w:sz w:val="22"/>
        </w:rPr>
        <w:t>established</w:t>
      </w:r>
      <w:r>
        <w:rPr>
          <w:spacing w:val="-7"/>
          <w:sz w:val="22"/>
        </w:rPr>
        <w:t> </w:t>
      </w:r>
      <w:r>
        <w:rPr>
          <w:sz w:val="22"/>
        </w:rPr>
        <w:t>by HUD for the jurisdiction of Dallas, Texas. Income shall be calculated using the Part 5 method as outlined in 24 CFR 5.609. Non-federally funded activities allow applicants to have a gross annual household income at or below 120% of AMI. Income eligibility shall be determined at the time of the application. Applicant household’s income eligibility is only valid for six months from the date of the last application.</w:t>
      </w:r>
    </w:p>
    <w:p>
      <w:pPr>
        <w:pStyle w:val="ListParagraph"/>
        <w:numPr>
          <w:ilvl w:val="2"/>
          <w:numId w:val="4"/>
        </w:numPr>
        <w:tabs>
          <w:tab w:pos="841" w:val="left" w:leader="none"/>
        </w:tabs>
        <w:spacing w:line="240" w:lineRule="auto" w:before="0" w:after="0"/>
        <w:ind w:left="841" w:right="154" w:hanging="361"/>
        <w:jc w:val="both"/>
        <w:rPr>
          <w:rFonts w:ascii="Symbol" w:hAnsi="Symbol"/>
          <w:sz w:val="22"/>
        </w:rPr>
      </w:pPr>
      <w:r>
        <w:rPr>
          <w:sz w:val="22"/>
        </w:rPr>
        <w:t>City</w:t>
      </w:r>
      <w:r>
        <w:rPr>
          <w:spacing w:val="-9"/>
          <w:sz w:val="22"/>
        </w:rPr>
        <w:t> </w:t>
      </w:r>
      <w:r>
        <w:rPr>
          <w:sz w:val="22"/>
        </w:rPr>
        <w:t>Council</w:t>
      </w:r>
      <w:r>
        <w:rPr>
          <w:spacing w:val="-10"/>
          <w:sz w:val="22"/>
        </w:rPr>
        <w:t> </w:t>
      </w:r>
      <w:r>
        <w:rPr>
          <w:sz w:val="22"/>
        </w:rPr>
        <w:t>members,</w:t>
      </w:r>
      <w:r>
        <w:rPr>
          <w:spacing w:val="-8"/>
          <w:sz w:val="22"/>
        </w:rPr>
        <w:t> </w:t>
      </w:r>
      <w:r>
        <w:rPr>
          <w:sz w:val="22"/>
        </w:rPr>
        <w:t>Department</w:t>
      </w:r>
      <w:r>
        <w:rPr>
          <w:spacing w:val="-10"/>
          <w:sz w:val="22"/>
        </w:rPr>
        <w:t> </w:t>
      </w:r>
      <w:r>
        <w:rPr>
          <w:sz w:val="22"/>
        </w:rPr>
        <w:t>of</w:t>
      </w:r>
      <w:r>
        <w:rPr>
          <w:spacing w:val="-10"/>
          <w:sz w:val="22"/>
        </w:rPr>
        <w:t> </w:t>
      </w:r>
      <w:r>
        <w:rPr>
          <w:sz w:val="22"/>
        </w:rPr>
        <w:t>Housing</w:t>
      </w:r>
      <w:r>
        <w:rPr>
          <w:spacing w:val="-9"/>
          <w:sz w:val="22"/>
        </w:rPr>
        <w:t> </w:t>
      </w:r>
      <w:r>
        <w:rPr>
          <w:sz w:val="22"/>
        </w:rPr>
        <w:t>&amp;</w:t>
      </w:r>
      <w:r>
        <w:rPr>
          <w:spacing w:val="-11"/>
          <w:sz w:val="22"/>
        </w:rPr>
        <w:t> </w:t>
      </w:r>
      <w:r>
        <w:rPr>
          <w:sz w:val="22"/>
        </w:rPr>
        <w:t>Neighborhood</w:t>
      </w:r>
      <w:r>
        <w:rPr>
          <w:spacing w:val="-9"/>
          <w:sz w:val="22"/>
        </w:rPr>
        <w:t> </w:t>
      </w:r>
      <w:r>
        <w:rPr>
          <w:sz w:val="22"/>
        </w:rPr>
        <w:t>Revitalization</w:t>
      </w:r>
      <w:r>
        <w:rPr>
          <w:spacing w:val="-9"/>
          <w:sz w:val="22"/>
        </w:rPr>
        <w:t> </w:t>
      </w:r>
      <w:r>
        <w:rPr>
          <w:sz w:val="22"/>
        </w:rPr>
        <w:t>employees and any employee, official or agent of the City who exercises any policy or program decision-making</w:t>
      </w:r>
      <w:r>
        <w:rPr>
          <w:spacing w:val="-6"/>
          <w:sz w:val="22"/>
        </w:rPr>
        <w:t> </w:t>
      </w:r>
      <w:r>
        <w:rPr>
          <w:sz w:val="22"/>
        </w:rPr>
        <w:t>function</w:t>
      </w:r>
      <w:r>
        <w:rPr>
          <w:spacing w:val="-4"/>
          <w:sz w:val="22"/>
        </w:rPr>
        <w:t> </w:t>
      </w:r>
      <w:r>
        <w:rPr>
          <w:sz w:val="22"/>
        </w:rPr>
        <w:t>in</w:t>
      </w:r>
      <w:r>
        <w:rPr>
          <w:spacing w:val="-4"/>
          <w:sz w:val="22"/>
        </w:rPr>
        <w:t> </w:t>
      </w:r>
      <w:r>
        <w:rPr>
          <w:sz w:val="22"/>
        </w:rPr>
        <w:t>connection</w:t>
      </w:r>
      <w:r>
        <w:rPr>
          <w:spacing w:val="-6"/>
          <w:sz w:val="22"/>
        </w:rPr>
        <w:t> </w:t>
      </w:r>
      <w:r>
        <w:rPr>
          <w:sz w:val="22"/>
        </w:rPr>
        <w:t>with</w:t>
      </w:r>
      <w:r>
        <w:rPr>
          <w:spacing w:val="-6"/>
          <w:sz w:val="22"/>
        </w:rPr>
        <w:t> </w:t>
      </w:r>
      <w:r>
        <w:rPr>
          <w:sz w:val="22"/>
        </w:rPr>
        <w:t>the</w:t>
      </w:r>
      <w:r>
        <w:rPr>
          <w:spacing w:val="-6"/>
          <w:sz w:val="22"/>
        </w:rPr>
        <w:t> </w:t>
      </w:r>
      <w:r>
        <w:rPr>
          <w:sz w:val="22"/>
        </w:rPr>
        <w:t>Reconstruction</w:t>
      </w:r>
      <w:r>
        <w:rPr>
          <w:spacing w:val="-5"/>
          <w:sz w:val="22"/>
        </w:rPr>
        <w:t> </w:t>
      </w:r>
      <w:r>
        <w:rPr>
          <w:sz w:val="22"/>
        </w:rPr>
        <w:t>Program</w:t>
      </w:r>
      <w:r>
        <w:rPr>
          <w:spacing w:val="-5"/>
          <w:sz w:val="22"/>
        </w:rPr>
        <w:t> </w:t>
      </w:r>
      <w:r>
        <w:rPr>
          <w:sz w:val="22"/>
        </w:rPr>
        <w:t>are</w:t>
      </w:r>
      <w:r>
        <w:rPr>
          <w:spacing w:val="-4"/>
          <w:sz w:val="22"/>
        </w:rPr>
        <w:t> </w:t>
      </w:r>
      <w:r>
        <w:rPr>
          <w:sz w:val="22"/>
        </w:rPr>
        <w:t>ineligible</w:t>
      </w:r>
      <w:r>
        <w:rPr>
          <w:spacing w:val="-4"/>
          <w:sz w:val="22"/>
        </w:rPr>
        <w:t> </w:t>
      </w:r>
      <w:r>
        <w:rPr>
          <w:sz w:val="22"/>
        </w:rPr>
        <w:t>for assistance under the Reconstruction Program.</w:t>
      </w:r>
    </w:p>
    <w:p>
      <w:pPr>
        <w:pStyle w:val="ListParagraph"/>
        <w:numPr>
          <w:ilvl w:val="2"/>
          <w:numId w:val="4"/>
        </w:numPr>
        <w:tabs>
          <w:tab w:pos="842" w:val="left" w:leader="none"/>
        </w:tabs>
        <w:spacing w:line="237" w:lineRule="auto" w:before="0" w:after="0"/>
        <w:ind w:left="841" w:right="156" w:hanging="361"/>
        <w:jc w:val="both"/>
        <w:rPr>
          <w:rFonts w:ascii="Symbol" w:hAnsi="Symbol"/>
          <w:sz w:val="22"/>
        </w:rPr>
      </w:pPr>
      <w:r>
        <w:rPr>
          <w:sz w:val="22"/>
        </w:rPr>
        <w:t>When</w:t>
      </w:r>
      <w:r>
        <w:rPr>
          <w:spacing w:val="-16"/>
          <w:sz w:val="22"/>
        </w:rPr>
        <w:t> </w:t>
      </w:r>
      <w:r>
        <w:rPr>
          <w:sz w:val="22"/>
        </w:rPr>
        <w:t>HOME</w:t>
      </w:r>
      <w:r>
        <w:rPr>
          <w:spacing w:val="-15"/>
          <w:sz w:val="22"/>
        </w:rPr>
        <w:t> </w:t>
      </w:r>
      <w:r>
        <w:rPr>
          <w:sz w:val="22"/>
        </w:rPr>
        <w:t>funds</w:t>
      </w:r>
      <w:r>
        <w:rPr>
          <w:spacing w:val="-15"/>
          <w:sz w:val="22"/>
        </w:rPr>
        <w:t> </w:t>
      </w:r>
      <w:r>
        <w:rPr>
          <w:sz w:val="22"/>
        </w:rPr>
        <w:t>are</w:t>
      </w:r>
      <w:r>
        <w:rPr>
          <w:spacing w:val="-16"/>
          <w:sz w:val="22"/>
        </w:rPr>
        <w:t> </w:t>
      </w:r>
      <w:r>
        <w:rPr>
          <w:sz w:val="22"/>
        </w:rPr>
        <w:t>provided,</w:t>
      </w:r>
      <w:r>
        <w:rPr>
          <w:spacing w:val="-15"/>
          <w:sz w:val="22"/>
        </w:rPr>
        <w:t> </w:t>
      </w:r>
      <w:r>
        <w:rPr>
          <w:sz w:val="22"/>
        </w:rPr>
        <w:t>the</w:t>
      </w:r>
      <w:r>
        <w:rPr>
          <w:spacing w:val="-15"/>
          <w:sz w:val="22"/>
        </w:rPr>
        <w:t> </w:t>
      </w:r>
      <w:r>
        <w:rPr>
          <w:sz w:val="22"/>
        </w:rPr>
        <w:t>Conflict</w:t>
      </w:r>
      <w:r>
        <w:rPr>
          <w:spacing w:val="-13"/>
          <w:sz w:val="22"/>
        </w:rPr>
        <w:t> </w:t>
      </w:r>
      <w:r>
        <w:rPr>
          <w:sz w:val="22"/>
        </w:rPr>
        <w:t>of</w:t>
      </w:r>
      <w:r>
        <w:rPr>
          <w:spacing w:val="-13"/>
          <w:sz w:val="22"/>
        </w:rPr>
        <w:t> </w:t>
      </w:r>
      <w:r>
        <w:rPr>
          <w:sz w:val="22"/>
        </w:rPr>
        <w:t>Interest</w:t>
      </w:r>
      <w:r>
        <w:rPr>
          <w:spacing w:val="-16"/>
          <w:sz w:val="22"/>
        </w:rPr>
        <w:t> </w:t>
      </w:r>
      <w:r>
        <w:rPr>
          <w:sz w:val="22"/>
        </w:rPr>
        <w:t>provisions</w:t>
      </w:r>
      <w:r>
        <w:rPr>
          <w:spacing w:val="-13"/>
          <w:sz w:val="22"/>
        </w:rPr>
        <w:t> </w:t>
      </w:r>
      <w:r>
        <w:rPr>
          <w:sz w:val="22"/>
        </w:rPr>
        <w:t>at</w:t>
      </w:r>
      <w:r>
        <w:rPr>
          <w:spacing w:val="-13"/>
          <w:sz w:val="22"/>
        </w:rPr>
        <w:t> </w:t>
      </w:r>
      <w:r>
        <w:rPr>
          <w:sz w:val="22"/>
        </w:rPr>
        <w:t>24</w:t>
      </w:r>
      <w:r>
        <w:rPr>
          <w:spacing w:val="-16"/>
          <w:sz w:val="22"/>
        </w:rPr>
        <w:t> </w:t>
      </w:r>
      <w:r>
        <w:rPr>
          <w:sz w:val="22"/>
        </w:rPr>
        <w:t>CFR</w:t>
      </w:r>
      <w:r>
        <w:rPr>
          <w:spacing w:val="-14"/>
          <w:sz w:val="22"/>
        </w:rPr>
        <w:t> </w:t>
      </w:r>
      <w:r>
        <w:rPr>
          <w:sz w:val="22"/>
        </w:rPr>
        <w:t>92.356</w:t>
      </w:r>
      <w:r>
        <w:rPr>
          <w:spacing w:val="-15"/>
          <w:sz w:val="22"/>
        </w:rPr>
        <w:t> </w:t>
      </w:r>
      <w:r>
        <w:rPr>
          <w:sz w:val="22"/>
        </w:rPr>
        <w:t>shall be observed.</w:t>
      </w:r>
    </w:p>
    <w:p>
      <w:pPr>
        <w:pStyle w:val="ListParagraph"/>
        <w:numPr>
          <w:ilvl w:val="2"/>
          <w:numId w:val="4"/>
        </w:numPr>
        <w:tabs>
          <w:tab w:pos="842" w:val="left" w:leader="none"/>
        </w:tabs>
        <w:spacing w:line="237" w:lineRule="auto" w:before="2" w:after="0"/>
        <w:ind w:left="841" w:right="157" w:hanging="361"/>
        <w:jc w:val="both"/>
        <w:rPr>
          <w:rFonts w:ascii="Symbol" w:hAnsi="Symbol"/>
          <w:sz w:val="22"/>
        </w:rPr>
      </w:pPr>
      <w:r>
        <w:rPr>
          <w:sz w:val="22"/>
        </w:rPr>
        <w:t>Applicant must correct all code violations not associated with the reconstruction of the home that currently exist on the property.</w:t>
      </w:r>
    </w:p>
    <w:p>
      <w:pPr>
        <w:pStyle w:val="ListParagraph"/>
        <w:numPr>
          <w:ilvl w:val="2"/>
          <w:numId w:val="4"/>
        </w:numPr>
        <w:tabs>
          <w:tab w:pos="842" w:val="left" w:leader="none"/>
        </w:tabs>
        <w:spacing w:line="237" w:lineRule="auto" w:before="3" w:after="0"/>
        <w:ind w:left="841" w:right="157" w:hanging="361"/>
        <w:jc w:val="both"/>
        <w:rPr>
          <w:rFonts w:ascii="Symbol" w:hAnsi="Symbol"/>
          <w:sz w:val="22"/>
        </w:rPr>
      </w:pPr>
      <w:r>
        <w:rPr>
          <w:sz w:val="22"/>
        </w:rPr>
        <w:t>After</w:t>
      </w:r>
      <w:r>
        <w:rPr>
          <w:spacing w:val="-16"/>
          <w:sz w:val="22"/>
        </w:rPr>
        <w:t> </w:t>
      </w:r>
      <w:r>
        <w:rPr>
          <w:sz w:val="22"/>
        </w:rPr>
        <w:t>the</w:t>
      </w:r>
      <w:r>
        <w:rPr>
          <w:spacing w:val="-15"/>
          <w:sz w:val="22"/>
        </w:rPr>
        <w:t> </w:t>
      </w:r>
      <w:r>
        <w:rPr>
          <w:sz w:val="22"/>
        </w:rPr>
        <w:t>reconstruction</w:t>
      </w:r>
      <w:r>
        <w:rPr>
          <w:spacing w:val="-12"/>
          <w:sz w:val="22"/>
        </w:rPr>
        <w:t> </w:t>
      </w:r>
      <w:r>
        <w:rPr>
          <w:sz w:val="22"/>
        </w:rPr>
        <w:t>and</w:t>
      </w:r>
      <w:r>
        <w:rPr>
          <w:spacing w:val="-15"/>
          <w:sz w:val="22"/>
        </w:rPr>
        <w:t> </w:t>
      </w:r>
      <w:r>
        <w:rPr>
          <w:sz w:val="22"/>
        </w:rPr>
        <w:t>throughout</w:t>
      </w:r>
      <w:r>
        <w:rPr>
          <w:spacing w:val="-13"/>
          <w:sz w:val="22"/>
        </w:rPr>
        <w:t> </w:t>
      </w:r>
      <w:r>
        <w:rPr>
          <w:sz w:val="22"/>
        </w:rPr>
        <w:t>the</w:t>
      </w:r>
      <w:r>
        <w:rPr>
          <w:spacing w:val="-15"/>
          <w:sz w:val="22"/>
        </w:rPr>
        <w:t> </w:t>
      </w:r>
      <w:r>
        <w:rPr>
          <w:sz w:val="22"/>
        </w:rPr>
        <w:t>course</w:t>
      </w:r>
      <w:r>
        <w:rPr>
          <w:spacing w:val="-15"/>
          <w:sz w:val="22"/>
        </w:rPr>
        <w:t> </w:t>
      </w:r>
      <w:r>
        <w:rPr>
          <w:sz w:val="22"/>
        </w:rPr>
        <w:t>of</w:t>
      </w:r>
      <w:r>
        <w:rPr>
          <w:spacing w:val="-13"/>
          <w:sz w:val="22"/>
        </w:rPr>
        <w:t> </w:t>
      </w:r>
      <w:r>
        <w:rPr>
          <w:sz w:val="22"/>
        </w:rPr>
        <w:t>the</w:t>
      </w:r>
      <w:r>
        <w:rPr>
          <w:spacing w:val="-15"/>
          <w:sz w:val="22"/>
        </w:rPr>
        <w:t> </w:t>
      </w:r>
      <w:r>
        <w:rPr>
          <w:sz w:val="22"/>
        </w:rPr>
        <w:t>affordability</w:t>
      </w:r>
      <w:r>
        <w:rPr>
          <w:spacing w:val="-12"/>
          <w:sz w:val="22"/>
        </w:rPr>
        <w:t> </w:t>
      </w:r>
      <w:r>
        <w:rPr>
          <w:sz w:val="22"/>
        </w:rPr>
        <w:t>period,</w:t>
      </w:r>
      <w:r>
        <w:rPr>
          <w:spacing w:val="-13"/>
          <w:sz w:val="22"/>
        </w:rPr>
        <w:t> </w:t>
      </w:r>
      <w:r>
        <w:rPr>
          <w:sz w:val="22"/>
        </w:rPr>
        <w:t>the</w:t>
      </w:r>
      <w:r>
        <w:rPr>
          <w:spacing w:val="-15"/>
          <w:sz w:val="22"/>
        </w:rPr>
        <w:t> </w:t>
      </w:r>
      <w:r>
        <w:rPr>
          <w:sz w:val="22"/>
        </w:rPr>
        <w:t>Applicant must correct any and all code violations received during that duration.</w:t>
      </w:r>
    </w:p>
    <w:p>
      <w:pPr>
        <w:pStyle w:val="ListParagraph"/>
        <w:numPr>
          <w:ilvl w:val="2"/>
          <w:numId w:val="4"/>
        </w:numPr>
        <w:tabs>
          <w:tab w:pos="842" w:val="left" w:leader="none"/>
        </w:tabs>
        <w:spacing w:line="237" w:lineRule="auto" w:before="3" w:after="0"/>
        <w:ind w:left="841" w:right="154" w:hanging="361"/>
        <w:jc w:val="both"/>
        <w:rPr>
          <w:rFonts w:ascii="Symbol" w:hAnsi="Symbol"/>
          <w:sz w:val="22"/>
        </w:rPr>
      </w:pPr>
      <w:r>
        <w:rPr>
          <w:sz w:val="22"/>
        </w:rPr>
        <w:t>Priority shall be given to Applicants who have not participated in any City repair or rehabilitation program previously.</w:t>
      </w:r>
    </w:p>
    <w:p>
      <w:pPr>
        <w:pStyle w:val="ListParagraph"/>
        <w:numPr>
          <w:ilvl w:val="2"/>
          <w:numId w:val="4"/>
        </w:numPr>
        <w:tabs>
          <w:tab w:pos="842" w:val="left" w:leader="none"/>
        </w:tabs>
        <w:spacing w:line="237" w:lineRule="auto" w:before="4" w:after="0"/>
        <w:ind w:left="841" w:right="155" w:hanging="361"/>
        <w:jc w:val="both"/>
        <w:rPr>
          <w:rFonts w:ascii="Symbol" w:hAnsi="Symbol"/>
          <w:sz w:val="22"/>
        </w:rPr>
      </w:pPr>
      <w:r>
        <w:rPr>
          <w:sz w:val="22"/>
        </w:rPr>
        <w:t>Applicant must be willing to voluntarily relocate at the Applicant’s expense during the course of reconstruction.</w:t>
      </w:r>
    </w:p>
    <w:p>
      <w:pPr>
        <w:pStyle w:val="BodyText"/>
      </w:pPr>
    </w:p>
    <w:p>
      <w:pPr>
        <w:pStyle w:val="Heading5"/>
        <w:ind w:left="121"/>
      </w:pPr>
      <w:r>
        <w:rPr/>
        <w:t>Property</w:t>
      </w:r>
      <w:r>
        <w:rPr>
          <w:spacing w:val="-6"/>
        </w:rPr>
        <w:t> </w:t>
      </w:r>
      <w:r>
        <w:rPr>
          <w:spacing w:val="-2"/>
        </w:rPr>
        <w:t>Eligibility</w:t>
      </w:r>
    </w:p>
    <w:p>
      <w:pPr>
        <w:pStyle w:val="ListParagraph"/>
        <w:numPr>
          <w:ilvl w:val="2"/>
          <w:numId w:val="4"/>
        </w:numPr>
        <w:tabs>
          <w:tab w:pos="843" w:val="left" w:leader="none"/>
        </w:tabs>
        <w:spacing w:line="237" w:lineRule="auto" w:before="54" w:after="0"/>
        <w:ind w:left="842" w:right="156" w:hanging="361"/>
        <w:jc w:val="both"/>
        <w:rPr>
          <w:rFonts w:ascii="Symbol" w:hAnsi="Symbol"/>
          <w:sz w:val="22"/>
        </w:rPr>
      </w:pPr>
      <w:r>
        <w:rPr>
          <w:sz w:val="22"/>
        </w:rPr>
        <w:t>Must</w:t>
      </w:r>
      <w:r>
        <w:rPr>
          <w:spacing w:val="-1"/>
          <w:sz w:val="22"/>
        </w:rPr>
        <w:t> </w:t>
      </w:r>
      <w:r>
        <w:rPr>
          <w:sz w:val="22"/>
        </w:rPr>
        <w:t>be a</w:t>
      </w:r>
      <w:r>
        <w:rPr>
          <w:spacing w:val="-3"/>
          <w:sz w:val="22"/>
        </w:rPr>
        <w:t> </w:t>
      </w:r>
      <w:r>
        <w:rPr>
          <w:sz w:val="22"/>
        </w:rPr>
        <w:t>detached</w:t>
      </w:r>
      <w:r>
        <w:rPr>
          <w:spacing w:val="-3"/>
          <w:sz w:val="22"/>
        </w:rPr>
        <w:t> </w:t>
      </w:r>
      <w:r>
        <w:rPr>
          <w:sz w:val="22"/>
        </w:rPr>
        <w:t>single-family dwelling, owner</w:t>
      </w:r>
      <w:r>
        <w:rPr>
          <w:spacing w:val="-1"/>
          <w:sz w:val="22"/>
        </w:rPr>
        <w:t> </w:t>
      </w:r>
      <w:r>
        <w:rPr>
          <w:sz w:val="22"/>
        </w:rPr>
        <w:t>occupied and located within the City</w:t>
      </w:r>
      <w:r>
        <w:rPr>
          <w:spacing w:val="-2"/>
          <w:sz w:val="22"/>
        </w:rPr>
        <w:t> </w:t>
      </w:r>
      <w:r>
        <w:rPr>
          <w:sz w:val="22"/>
        </w:rPr>
        <w:t>of Dallas city limits.</w:t>
      </w:r>
    </w:p>
    <w:p>
      <w:pPr>
        <w:pStyle w:val="ListParagraph"/>
        <w:numPr>
          <w:ilvl w:val="2"/>
          <w:numId w:val="4"/>
        </w:numPr>
        <w:tabs>
          <w:tab w:pos="843" w:val="left" w:leader="none"/>
        </w:tabs>
        <w:spacing w:line="237" w:lineRule="auto" w:before="3" w:after="0"/>
        <w:ind w:left="842" w:right="157" w:hanging="361"/>
        <w:jc w:val="both"/>
        <w:rPr>
          <w:rFonts w:ascii="Symbol" w:hAnsi="Symbol"/>
          <w:sz w:val="22"/>
        </w:rPr>
      </w:pPr>
      <w:r>
        <w:rPr>
          <w:sz w:val="22"/>
        </w:rPr>
        <w:t>Must</w:t>
      </w:r>
      <w:r>
        <w:rPr>
          <w:spacing w:val="-11"/>
          <w:sz w:val="22"/>
        </w:rPr>
        <w:t> </w:t>
      </w:r>
      <w:r>
        <w:rPr>
          <w:sz w:val="22"/>
        </w:rPr>
        <w:t>obtain</w:t>
      </w:r>
      <w:r>
        <w:rPr>
          <w:spacing w:val="-12"/>
          <w:sz w:val="22"/>
        </w:rPr>
        <w:t> </w:t>
      </w:r>
      <w:r>
        <w:rPr>
          <w:sz w:val="22"/>
        </w:rPr>
        <w:t>environmental</w:t>
      </w:r>
      <w:r>
        <w:rPr>
          <w:spacing w:val="-13"/>
          <w:sz w:val="22"/>
        </w:rPr>
        <w:t> </w:t>
      </w:r>
      <w:r>
        <w:rPr>
          <w:sz w:val="22"/>
        </w:rPr>
        <w:t>clearance</w:t>
      </w:r>
      <w:r>
        <w:rPr>
          <w:spacing w:val="-12"/>
          <w:sz w:val="22"/>
        </w:rPr>
        <w:t> </w:t>
      </w:r>
      <w:r>
        <w:rPr>
          <w:sz w:val="22"/>
        </w:rPr>
        <w:t>under</w:t>
      </w:r>
      <w:r>
        <w:rPr>
          <w:spacing w:val="-11"/>
          <w:sz w:val="22"/>
        </w:rPr>
        <w:t> </w:t>
      </w:r>
      <w:r>
        <w:rPr>
          <w:sz w:val="22"/>
        </w:rPr>
        <w:t>24</w:t>
      </w:r>
      <w:r>
        <w:rPr>
          <w:spacing w:val="-12"/>
          <w:sz w:val="22"/>
        </w:rPr>
        <w:t> </w:t>
      </w:r>
      <w:r>
        <w:rPr>
          <w:sz w:val="22"/>
        </w:rPr>
        <w:t>CFR</w:t>
      </w:r>
      <w:r>
        <w:rPr>
          <w:spacing w:val="-13"/>
          <w:sz w:val="22"/>
        </w:rPr>
        <w:t> </w:t>
      </w:r>
      <w:r>
        <w:rPr>
          <w:sz w:val="22"/>
        </w:rPr>
        <w:t>Part</w:t>
      </w:r>
      <w:r>
        <w:rPr>
          <w:spacing w:val="-11"/>
          <w:sz w:val="22"/>
        </w:rPr>
        <w:t> </w:t>
      </w:r>
      <w:r>
        <w:rPr>
          <w:sz w:val="22"/>
        </w:rPr>
        <w:t>58.5</w:t>
      </w:r>
      <w:r>
        <w:rPr>
          <w:spacing w:val="-15"/>
          <w:sz w:val="22"/>
        </w:rPr>
        <w:t> </w:t>
      </w:r>
      <w:r>
        <w:rPr>
          <w:sz w:val="22"/>
        </w:rPr>
        <w:t>prior</w:t>
      </w:r>
      <w:r>
        <w:rPr>
          <w:spacing w:val="-13"/>
          <w:sz w:val="22"/>
        </w:rPr>
        <w:t> </w:t>
      </w:r>
      <w:r>
        <w:rPr>
          <w:sz w:val="22"/>
        </w:rPr>
        <w:t>to</w:t>
      </w:r>
      <w:r>
        <w:rPr>
          <w:spacing w:val="-12"/>
          <w:sz w:val="22"/>
        </w:rPr>
        <w:t> </w:t>
      </w:r>
      <w:r>
        <w:rPr>
          <w:sz w:val="22"/>
        </w:rPr>
        <w:t>committing</w:t>
      </w:r>
      <w:r>
        <w:rPr>
          <w:spacing w:val="-12"/>
          <w:sz w:val="22"/>
        </w:rPr>
        <w:t> </w:t>
      </w:r>
      <w:r>
        <w:rPr>
          <w:sz w:val="22"/>
        </w:rPr>
        <w:t>program </w:t>
      </w:r>
      <w:r>
        <w:rPr>
          <w:spacing w:val="-2"/>
          <w:sz w:val="22"/>
        </w:rPr>
        <w:t>funds.</w:t>
      </w:r>
    </w:p>
    <w:p>
      <w:pPr>
        <w:pStyle w:val="ListParagraph"/>
        <w:numPr>
          <w:ilvl w:val="2"/>
          <w:numId w:val="4"/>
        </w:numPr>
        <w:tabs>
          <w:tab w:pos="843" w:val="left" w:leader="none"/>
        </w:tabs>
        <w:spacing w:line="240" w:lineRule="auto" w:before="2" w:after="0"/>
        <w:ind w:left="842" w:right="153" w:hanging="361"/>
        <w:jc w:val="both"/>
        <w:rPr>
          <w:rFonts w:ascii="Symbol" w:hAnsi="Symbol"/>
          <w:sz w:val="22"/>
        </w:rPr>
      </w:pPr>
      <w:r>
        <w:rPr>
          <w:sz w:val="22"/>
        </w:rPr>
        <w:t>Standard</w:t>
      </w:r>
      <w:r>
        <w:rPr>
          <w:spacing w:val="-4"/>
          <w:sz w:val="22"/>
        </w:rPr>
        <w:t> </w:t>
      </w:r>
      <w:r>
        <w:rPr>
          <w:sz w:val="22"/>
        </w:rPr>
        <w:t>property</w:t>
      </w:r>
      <w:r>
        <w:rPr>
          <w:spacing w:val="-4"/>
          <w:sz w:val="22"/>
        </w:rPr>
        <w:t> </w:t>
      </w:r>
      <w:r>
        <w:rPr>
          <w:sz w:val="22"/>
        </w:rPr>
        <w:t>insurance,</w:t>
      </w:r>
      <w:r>
        <w:rPr>
          <w:spacing w:val="-3"/>
          <w:sz w:val="22"/>
        </w:rPr>
        <w:t> </w:t>
      </w:r>
      <w:r>
        <w:rPr>
          <w:sz w:val="22"/>
        </w:rPr>
        <w:t>satisfactory</w:t>
      </w:r>
      <w:r>
        <w:rPr>
          <w:spacing w:val="-4"/>
          <w:sz w:val="22"/>
        </w:rPr>
        <w:t> </w:t>
      </w:r>
      <w:r>
        <w:rPr>
          <w:sz w:val="22"/>
        </w:rPr>
        <w:t>to</w:t>
      </w:r>
      <w:r>
        <w:rPr>
          <w:spacing w:val="-4"/>
          <w:sz w:val="22"/>
        </w:rPr>
        <w:t> </w:t>
      </w:r>
      <w:r>
        <w:rPr>
          <w:sz w:val="22"/>
        </w:rPr>
        <w:t>the</w:t>
      </w:r>
      <w:r>
        <w:rPr>
          <w:spacing w:val="-4"/>
          <w:sz w:val="22"/>
        </w:rPr>
        <w:t> </w:t>
      </w:r>
      <w:r>
        <w:rPr>
          <w:sz w:val="22"/>
        </w:rPr>
        <w:t>City,</w:t>
      </w:r>
      <w:r>
        <w:rPr>
          <w:spacing w:val="-3"/>
          <w:sz w:val="22"/>
        </w:rPr>
        <w:t> </w:t>
      </w:r>
      <w:r>
        <w:rPr>
          <w:sz w:val="22"/>
        </w:rPr>
        <w:t>must</w:t>
      </w:r>
      <w:r>
        <w:rPr>
          <w:spacing w:val="-3"/>
          <w:sz w:val="22"/>
        </w:rPr>
        <w:t> </w:t>
      </w:r>
      <w:r>
        <w:rPr>
          <w:sz w:val="22"/>
        </w:rPr>
        <w:t>be</w:t>
      </w:r>
      <w:r>
        <w:rPr>
          <w:spacing w:val="-4"/>
          <w:sz w:val="22"/>
        </w:rPr>
        <w:t> </w:t>
      </w:r>
      <w:r>
        <w:rPr>
          <w:sz w:val="22"/>
        </w:rPr>
        <w:t>maintained</w:t>
      </w:r>
      <w:r>
        <w:rPr>
          <w:spacing w:val="-4"/>
          <w:sz w:val="22"/>
        </w:rPr>
        <w:t> </w:t>
      </w:r>
      <w:r>
        <w:rPr>
          <w:sz w:val="22"/>
        </w:rPr>
        <w:t>on</w:t>
      </w:r>
      <w:r>
        <w:rPr>
          <w:spacing w:val="-3"/>
          <w:sz w:val="22"/>
        </w:rPr>
        <w:t> </w:t>
      </w:r>
      <w:r>
        <w:rPr>
          <w:sz w:val="22"/>
        </w:rPr>
        <w:t>the</w:t>
      </w:r>
      <w:r>
        <w:rPr>
          <w:spacing w:val="-4"/>
          <w:sz w:val="22"/>
        </w:rPr>
        <w:t> </w:t>
      </w:r>
      <w:r>
        <w:rPr>
          <w:sz w:val="22"/>
        </w:rPr>
        <w:t>property (with coverage adequate to insure the City’s lien position). If a property is located in a floodplain,</w:t>
      </w:r>
      <w:r>
        <w:rPr>
          <w:spacing w:val="-4"/>
          <w:sz w:val="22"/>
        </w:rPr>
        <w:t> </w:t>
      </w:r>
      <w:r>
        <w:rPr>
          <w:sz w:val="22"/>
        </w:rPr>
        <w:t>as</w:t>
      </w:r>
      <w:r>
        <w:rPr>
          <w:spacing w:val="-5"/>
          <w:sz w:val="22"/>
        </w:rPr>
        <w:t> </w:t>
      </w:r>
      <w:r>
        <w:rPr>
          <w:sz w:val="22"/>
        </w:rPr>
        <w:t>determined</w:t>
      </w:r>
      <w:r>
        <w:rPr>
          <w:spacing w:val="-5"/>
          <w:sz w:val="22"/>
        </w:rPr>
        <w:t> </w:t>
      </w:r>
      <w:r>
        <w:rPr>
          <w:sz w:val="22"/>
        </w:rPr>
        <w:t>by</w:t>
      </w:r>
      <w:r>
        <w:rPr>
          <w:spacing w:val="-7"/>
          <w:sz w:val="22"/>
        </w:rPr>
        <w:t> </w:t>
      </w:r>
      <w:r>
        <w:rPr>
          <w:sz w:val="22"/>
        </w:rPr>
        <w:t>the</w:t>
      </w:r>
      <w:r>
        <w:rPr>
          <w:spacing w:val="-5"/>
          <w:sz w:val="22"/>
        </w:rPr>
        <w:t> </w:t>
      </w:r>
      <w:r>
        <w:rPr>
          <w:sz w:val="22"/>
        </w:rPr>
        <w:t>City</w:t>
      </w:r>
      <w:r>
        <w:rPr>
          <w:spacing w:val="-7"/>
          <w:sz w:val="22"/>
        </w:rPr>
        <w:t> </w:t>
      </w:r>
      <w:r>
        <w:rPr>
          <w:sz w:val="22"/>
        </w:rPr>
        <w:t>of</w:t>
      </w:r>
      <w:r>
        <w:rPr>
          <w:spacing w:val="-6"/>
          <w:sz w:val="22"/>
        </w:rPr>
        <w:t> </w:t>
      </w:r>
      <w:r>
        <w:rPr>
          <w:sz w:val="22"/>
        </w:rPr>
        <w:t>Dallas,</w:t>
      </w:r>
      <w:r>
        <w:rPr>
          <w:spacing w:val="-4"/>
          <w:sz w:val="22"/>
        </w:rPr>
        <w:t> </w:t>
      </w:r>
      <w:r>
        <w:rPr>
          <w:sz w:val="22"/>
        </w:rPr>
        <w:t>in</w:t>
      </w:r>
      <w:r>
        <w:rPr>
          <w:spacing w:val="-5"/>
          <w:sz w:val="22"/>
        </w:rPr>
        <w:t> </w:t>
      </w:r>
      <w:r>
        <w:rPr>
          <w:sz w:val="22"/>
        </w:rPr>
        <w:t>its</w:t>
      </w:r>
      <w:r>
        <w:rPr>
          <w:spacing w:val="-5"/>
          <w:sz w:val="22"/>
        </w:rPr>
        <w:t> </w:t>
      </w:r>
      <w:r>
        <w:rPr>
          <w:sz w:val="22"/>
        </w:rPr>
        <w:t>sole</w:t>
      </w:r>
      <w:r>
        <w:rPr>
          <w:spacing w:val="-5"/>
          <w:sz w:val="22"/>
        </w:rPr>
        <w:t> </w:t>
      </w:r>
      <w:r>
        <w:rPr>
          <w:sz w:val="22"/>
        </w:rPr>
        <w:t>discretion,</w:t>
      </w:r>
      <w:r>
        <w:rPr>
          <w:spacing w:val="-4"/>
          <w:sz w:val="22"/>
        </w:rPr>
        <w:t> </w:t>
      </w:r>
      <w:r>
        <w:rPr>
          <w:sz w:val="22"/>
        </w:rPr>
        <w:t>flood</w:t>
      </w:r>
      <w:r>
        <w:rPr>
          <w:spacing w:val="-7"/>
          <w:sz w:val="22"/>
        </w:rPr>
        <w:t> </w:t>
      </w:r>
      <w:r>
        <w:rPr>
          <w:sz w:val="22"/>
        </w:rPr>
        <w:t>insurance</w:t>
      </w:r>
      <w:r>
        <w:rPr>
          <w:spacing w:val="-8"/>
          <w:sz w:val="22"/>
        </w:rPr>
        <w:t> </w:t>
      </w:r>
      <w:r>
        <w:rPr>
          <w:sz w:val="22"/>
        </w:rPr>
        <w:t>must also be maintained with coverage adequate to insure the City’s lien position. Insurance will</w:t>
      </w:r>
      <w:r>
        <w:rPr>
          <w:spacing w:val="-6"/>
          <w:sz w:val="22"/>
        </w:rPr>
        <w:t> </w:t>
      </w:r>
      <w:r>
        <w:rPr>
          <w:sz w:val="22"/>
        </w:rPr>
        <w:t>be</w:t>
      </w:r>
      <w:r>
        <w:rPr>
          <w:spacing w:val="-5"/>
          <w:sz w:val="22"/>
        </w:rPr>
        <w:t> </w:t>
      </w:r>
      <w:r>
        <w:rPr>
          <w:sz w:val="22"/>
        </w:rPr>
        <w:t>monitored</w:t>
      </w:r>
      <w:r>
        <w:rPr>
          <w:spacing w:val="-7"/>
          <w:sz w:val="22"/>
        </w:rPr>
        <w:t> </w:t>
      </w:r>
      <w:r>
        <w:rPr>
          <w:sz w:val="22"/>
        </w:rPr>
        <w:t>during</w:t>
      </w:r>
      <w:r>
        <w:rPr>
          <w:spacing w:val="-10"/>
          <w:sz w:val="22"/>
        </w:rPr>
        <w:t> </w:t>
      </w:r>
      <w:r>
        <w:rPr>
          <w:sz w:val="22"/>
        </w:rPr>
        <w:t>the</w:t>
      </w:r>
      <w:r>
        <w:rPr>
          <w:spacing w:val="-5"/>
          <w:sz w:val="22"/>
        </w:rPr>
        <w:t> </w:t>
      </w:r>
      <w:r>
        <w:rPr>
          <w:sz w:val="22"/>
        </w:rPr>
        <w:t>length</w:t>
      </w:r>
      <w:r>
        <w:rPr>
          <w:spacing w:val="-7"/>
          <w:sz w:val="22"/>
        </w:rPr>
        <w:t> </w:t>
      </w:r>
      <w:r>
        <w:rPr>
          <w:sz w:val="22"/>
        </w:rPr>
        <w:t>of</w:t>
      </w:r>
      <w:r>
        <w:rPr>
          <w:spacing w:val="-6"/>
          <w:sz w:val="22"/>
        </w:rPr>
        <w:t> </w:t>
      </w:r>
      <w:r>
        <w:rPr>
          <w:sz w:val="22"/>
        </w:rPr>
        <w:t>the</w:t>
      </w:r>
      <w:r>
        <w:rPr>
          <w:spacing w:val="-7"/>
          <w:sz w:val="22"/>
        </w:rPr>
        <w:t> </w:t>
      </w:r>
      <w:r>
        <w:rPr>
          <w:sz w:val="22"/>
        </w:rPr>
        <w:t>compliance</w:t>
      </w:r>
      <w:r>
        <w:rPr>
          <w:spacing w:val="-5"/>
          <w:sz w:val="22"/>
        </w:rPr>
        <w:t> </w:t>
      </w:r>
      <w:r>
        <w:rPr>
          <w:sz w:val="22"/>
        </w:rPr>
        <w:t>period,</w:t>
      </w:r>
      <w:r>
        <w:rPr>
          <w:spacing w:val="-6"/>
          <w:sz w:val="22"/>
        </w:rPr>
        <w:t> </w:t>
      </w:r>
      <w:r>
        <w:rPr>
          <w:sz w:val="22"/>
        </w:rPr>
        <w:t>which</w:t>
      </w:r>
      <w:r>
        <w:rPr>
          <w:spacing w:val="-5"/>
          <w:sz w:val="22"/>
        </w:rPr>
        <w:t> </w:t>
      </w:r>
      <w:r>
        <w:rPr>
          <w:sz w:val="22"/>
        </w:rPr>
        <w:t>will</w:t>
      </w:r>
      <w:r>
        <w:rPr>
          <w:spacing w:val="-6"/>
          <w:sz w:val="22"/>
        </w:rPr>
        <w:t> </w:t>
      </w:r>
      <w:r>
        <w:rPr>
          <w:sz w:val="22"/>
        </w:rPr>
        <w:t>be</w:t>
      </w:r>
      <w:r>
        <w:rPr>
          <w:spacing w:val="-7"/>
          <w:sz w:val="22"/>
        </w:rPr>
        <w:t> </w:t>
      </w:r>
      <w:r>
        <w:rPr>
          <w:sz w:val="22"/>
        </w:rPr>
        <w:t>until</w:t>
      </w:r>
      <w:r>
        <w:rPr>
          <w:spacing w:val="-6"/>
          <w:sz w:val="22"/>
        </w:rPr>
        <w:t> </w:t>
      </w:r>
      <w:r>
        <w:rPr>
          <w:sz w:val="22"/>
        </w:rPr>
        <w:t>the</w:t>
      </w:r>
      <w:r>
        <w:rPr>
          <w:spacing w:val="-7"/>
          <w:sz w:val="22"/>
        </w:rPr>
        <w:t> </w:t>
      </w:r>
      <w:r>
        <w:rPr>
          <w:sz w:val="22"/>
        </w:rPr>
        <w:t>loan</w:t>
      </w:r>
      <w:r>
        <w:rPr>
          <w:spacing w:val="-7"/>
          <w:sz w:val="22"/>
        </w:rPr>
        <w:t> </w:t>
      </w:r>
      <w:r>
        <w:rPr>
          <w:sz w:val="22"/>
        </w:rPr>
        <w:t>is repaid</w:t>
      </w:r>
      <w:r>
        <w:rPr>
          <w:spacing w:val="-4"/>
          <w:sz w:val="22"/>
        </w:rPr>
        <w:t> </w:t>
      </w:r>
      <w:r>
        <w:rPr>
          <w:sz w:val="22"/>
        </w:rPr>
        <w:t>in</w:t>
      </w:r>
      <w:r>
        <w:rPr>
          <w:spacing w:val="-4"/>
          <w:sz w:val="22"/>
        </w:rPr>
        <w:t> </w:t>
      </w:r>
      <w:r>
        <w:rPr>
          <w:sz w:val="22"/>
        </w:rPr>
        <w:t>full.</w:t>
      </w:r>
      <w:r>
        <w:rPr>
          <w:spacing w:val="-5"/>
          <w:sz w:val="22"/>
        </w:rPr>
        <w:t> </w:t>
      </w:r>
      <w:r>
        <w:rPr>
          <w:sz w:val="22"/>
        </w:rPr>
        <w:t>The</w:t>
      </w:r>
      <w:r>
        <w:rPr>
          <w:spacing w:val="-4"/>
          <w:sz w:val="22"/>
        </w:rPr>
        <w:t> </w:t>
      </w:r>
      <w:r>
        <w:rPr>
          <w:sz w:val="22"/>
        </w:rPr>
        <w:t>City</w:t>
      </w:r>
      <w:r>
        <w:rPr>
          <w:spacing w:val="-6"/>
          <w:sz w:val="22"/>
        </w:rPr>
        <w:t> </w:t>
      </w:r>
      <w:r>
        <w:rPr>
          <w:sz w:val="22"/>
        </w:rPr>
        <w:t>has</w:t>
      </w:r>
      <w:r>
        <w:rPr>
          <w:spacing w:val="-4"/>
          <w:sz w:val="22"/>
        </w:rPr>
        <w:t> </w:t>
      </w:r>
      <w:r>
        <w:rPr>
          <w:sz w:val="22"/>
        </w:rPr>
        <w:t>the</w:t>
      </w:r>
      <w:r>
        <w:rPr>
          <w:spacing w:val="-6"/>
          <w:sz w:val="22"/>
        </w:rPr>
        <w:t> </w:t>
      </w:r>
      <w:r>
        <w:rPr>
          <w:sz w:val="22"/>
        </w:rPr>
        <w:t>right</w:t>
      </w:r>
      <w:r>
        <w:rPr>
          <w:spacing w:val="-5"/>
          <w:sz w:val="22"/>
        </w:rPr>
        <w:t> </w:t>
      </w:r>
      <w:r>
        <w:rPr>
          <w:sz w:val="22"/>
        </w:rPr>
        <w:t>to</w:t>
      </w:r>
      <w:r>
        <w:rPr>
          <w:spacing w:val="-6"/>
          <w:sz w:val="22"/>
        </w:rPr>
        <w:t> </w:t>
      </w:r>
      <w:r>
        <w:rPr>
          <w:sz w:val="22"/>
        </w:rPr>
        <w:t>decline</w:t>
      </w:r>
      <w:r>
        <w:rPr>
          <w:spacing w:val="-4"/>
          <w:sz w:val="22"/>
        </w:rPr>
        <w:t> </w:t>
      </w:r>
      <w:r>
        <w:rPr>
          <w:sz w:val="22"/>
        </w:rPr>
        <w:t>a</w:t>
      </w:r>
      <w:r>
        <w:rPr>
          <w:spacing w:val="-6"/>
          <w:sz w:val="22"/>
        </w:rPr>
        <w:t> </w:t>
      </w:r>
      <w:r>
        <w:rPr>
          <w:sz w:val="22"/>
        </w:rPr>
        <w:t>homeowner</w:t>
      </w:r>
      <w:r>
        <w:rPr>
          <w:spacing w:val="-5"/>
          <w:sz w:val="22"/>
        </w:rPr>
        <w:t> </w:t>
      </w:r>
      <w:r>
        <w:rPr>
          <w:sz w:val="22"/>
        </w:rPr>
        <w:t>that</w:t>
      </w:r>
      <w:r>
        <w:rPr>
          <w:spacing w:val="-5"/>
          <w:sz w:val="22"/>
        </w:rPr>
        <w:t> </w:t>
      </w:r>
      <w:r>
        <w:rPr>
          <w:sz w:val="22"/>
        </w:rPr>
        <w:t>may</w:t>
      </w:r>
      <w:r>
        <w:rPr>
          <w:spacing w:val="-4"/>
          <w:sz w:val="22"/>
        </w:rPr>
        <w:t> </w:t>
      </w:r>
      <w:r>
        <w:rPr>
          <w:sz w:val="22"/>
        </w:rPr>
        <w:t>be</w:t>
      </w:r>
      <w:r>
        <w:rPr>
          <w:spacing w:val="-6"/>
          <w:sz w:val="22"/>
        </w:rPr>
        <w:t> </w:t>
      </w:r>
      <w:r>
        <w:rPr>
          <w:sz w:val="22"/>
        </w:rPr>
        <w:t>in</w:t>
      </w:r>
      <w:r>
        <w:rPr>
          <w:spacing w:val="-7"/>
          <w:sz w:val="22"/>
        </w:rPr>
        <w:t> </w:t>
      </w:r>
      <w:r>
        <w:rPr>
          <w:sz w:val="22"/>
        </w:rPr>
        <w:t>a</w:t>
      </w:r>
      <w:r>
        <w:rPr>
          <w:spacing w:val="-4"/>
          <w:sz w:val="22"/>
        </w:rPr>
        <w:t> </w:t>
      </w:r>
      <w:r>
        <w:rPr>
          <w:sz w:val="22"/>
        </w:rPr>
        <w:t>floodplain</w:t>
      </w:r>
      <w:r>
        <w:rPr>
          <w:spacing w:val="-4"/>
          <w:sz w:val="22"/>
        </w:rPr>
        <w:t> </w:t>
      </w:r>
      <w:r>
        <w:rPr>
          <w:sz w:val="22"/>
        </w:rPr>
        <w:t>or </w:t>
      </w:r>
      <w:r>
        <w:rPr>
          <w:spacing w:val="-2"/>
          <w:sz w:val="22"/>
        </w:rPr>
        <w:t>floodway.</w:t>
      </w:r>
    </w:p>
    <w:p>
      <w:pPr>
        <w:pStyle w:val="ListParagraph"/>
        <w:numPr>
          <w:ilvl w:val="2"/>
          <w:numId w:val="4"/>
        </w:numPr>
        <w:tabs>
          <w:tab w:pos="843" w:val="left" w:leader="none"/>
        </w:tabs>
        <w:spacing w:line="267" w:lineRule="exact" w:before="0" w:after="0"/>
        <w:ind w:left="842" w:right="0" w:hanging="361"/>
        <w:jc w:val="both"/>
        <w:rPr>
          <w:rFonts w:ascii="Symbol" w:hAnsi="Symbol"/>
          <w:sz w:val="22"/>
        </w:rPr>
      </w:pPr>
      <w:r>
        <w:rPr>
          <w:sz w:val="22"/>
        </w:rPr>
        <w:t>No</w:t>
      </w:r>
      <w:r>
        <w:rPr>
          <w:spacing w:val="-3"/>
          <w:sz w:val="22"/>
        </w:rPr>
        <w:t> </w:t>
      </w:r>
      <w:r>
        <w:rPr>
          <w:sz w:val="22"/>
        </w:rPr>
        <w:t>liens</w:t>
      </w:r>
      <w:r>
        <w:rPr>
          <w:spacing w:val="-2"/>
          <w:sz w:val="22"/>
        </w:rPr>
        <w:t> </w:t>
      </w:r>
      <w:r>
        <w:rPr>
          <w:sz w:val="22"/>
        </w:rPr>
        <w:t>may</w:t>
      </w:r>
      <w:r>
        <w:rPr>
          <w:spacing w:val="-5"/>
          <w:sz w:val="22"/>
        </w:rPr>
        <w:t> </w:t>
      </w:r>
      <w:r>
        <w:rPr>
          <w:sz w:val="22"/>
        </w:rPr>
        <w:t>exist</w:t>
      </w:r>
      <w:r>
        <w:rPr>
          <w:spacing w:val="-2"/>
          <w:sz w:val="22"/>
        </w:rPr>
        <w:t> </w:t>
      </w:r>
      <w:r>
        <w:rPr>
          <w:sz w:val="22"/>
        </w:rPr>
        <w:t>on</w:t>
      </w:r>
      <w:r>
        <w:rPr>
          <w:spacing w:val="-5"/>
          <w:sz w:val="22"/>
        </w:rPr>
        <w:t> </w:t>
      </w:r>
      <w:r>
        <w:rPr>
          <w:sz w:val="22"/>
        </w:rPr>
        <w:t>the</w:t>
      </w:r>
      <w:r>
        <w:rPr>
          <w:spacing w:val="-2"/>
          <w:sz w:val="22"/>
        </w:rPr>
        <w:t> property.</w:t>
      </w:r>
    </w:p>
    <w:p>
      <w:pPr>
        <w:spacing w:after="0" w:line="267" w:lineRule="exact"/>
        <w:jc w:val="both"/>
        <w:rPr>
          <w:rFonts w:ascii="Symbol" w:hAnsi="Symbol"/>
          <w:sz w:val="22"/>
        </w:rPr>
        <w:sectPr>
          <w:pgSz w:w="12240" w:h="15840"/>
          <w:pgMar w:header="0" w:footer="1738" w:top="1360" w:bottom="1920" w:left="1320" w:right="1280"/>
        </w:sectPr>
      </w:pPr>
    </w:p>
    <w:p>
      <w:pPr>
        <w:pStyle w:val="ListParagraph"/>
        <w:numPr>
          <w:ilvl w:val="2"/>
          <w:numId w:val="4"/>
        </w:numPr>
        <w:tabs>
          <w:tab w:pos="841" w:val="left" w:leader="none"/>
        </w:tabs>
        <w:spacing w:line="237" w:lineRule="auto" w:before="84" w:after="0"/>
        <w:ind w:left="840" w:right="156" w:hanging="361"/>
        <w:jc w:val="both"/>
        <w:rPr>
          <w:rFonts w:ascii="Symbol" w:hAnsi="Symbol"/>
          <w:sz w:val="22"/>
        </w:rPr>
      </w:pPr>
      <w:r>
        <w:rPr>
          <w:sz w:val="22"/>
        </w:rPr>
        <w:t>Applicant must certify that the home is not for sale and is the primary residence of </w:t>
      </w:r>
      <w:r>
        <w:rPr>
          <w:spacing w:val="-2"/>
          <w:sz w:val="22"/>
        </w:rPr>
        <w:t>Applicant.</w:t>
      </w:r>
    </w:p>
    <w:p>
      <w:pPr>
        <w:pStyle w:val="ListParagraph"/>
        <w:numPr>
          <w:ilvl w:val="2"/>
          <w:numId w:val="4"/>
        </w:numPr>
        <w:tabs>
          <w:tab w:pos="841" w:val="left" w:leader="none"/>
        </w:tabs>
        <w:spacing w:line="237" w:lineRule="auto" w:before="3" w:after="0"/>
        <w:ind w:left="840" w:right="157" w:hanging="361"/>
        <w:jc w:val="both"/>
        <w:rPr>
          <w:rFonts w:ascii="Symbol" w:hAnsi="Symbol"/>
          <w:sz w:val="22"/>
        </w:rPr>
      </w:pPr>
      <w:r>
        <w:rPr>
          <w:sz w:val="22"/>
        </w:rPr>
        <w:t>The property must require repairs that exceed 80% of the most recent certified improvement value as determined by the applicable appraisal district for this program assistance.</w:t>
      </w:r>
      <w:r>
        <w:rPr>
          <w:spacing w:val="-10"/>
          <w:sz w:val="22"/>
        </w:rPr>
        <w:t> </w:t>
      </w:r>
      <w:r>
        <w:rPr>
          <w:sz w:val="22"/>
        </w:rPr>
        <w:t>The</w:t>
      </w:r>
      <w:r>
        <w:rPr>
          <w:spacing w:val="-12"/>
          <w:sz w:val="22"/>
        </w:rPr>
        <w:t> </w:t>
      </w:r>
      <w:r>
        <w:rPr>
          <w:sz w:val="22"/>
        </w:rPr>
        <w:t>City</w:t>
      </w:r>
      <w:r>
        <w:rPr>
          <w:spacing w:val="-9"/>
          <w:sz w:val="22"/>
        </w:rPr>
        <w:t> </w:t>
      </w:r>
      <w:r>
        <w:rPr>
          <w:sz w:val="22"/>
        </w:rPr>
        <w:t>has</w:t>
      </w:r>
      <w:r>
        <w:rPr>
          <w:spacing w:val="-12"/>
          <w:sz w:val="22"/>
        </w:rPr>
        <w:t> </w:t>
      </w:r>
      <w:r>
        <w:rPr>
          <w:sz w:val="22"/>
        </w:rPr>
        <w:t>the</w:t>
      </w:r>
      <w:r>
        <w:rPr>
          <w:spacing w:val="-10"/>
          <w:sz w:val="22"/>
        </w:rPr>
        <w:t> </w:t>
      </w:r>
      <w:r>
        <w:rPr>
          <w:sz w:val="22"/>
        </w:rPr>
        <w:t>authority</w:t>
      </w:r>
      <w:r>
        <w:rPr>
          <w:spacing w:val="-12"/>
          <w:sz w:val="22"/>
        </w:rPr>
        <w:t> </w:t>
      </w:r>
      <w:r>
        <w:rPr>
          <w:sz w:val="22"/>
        </w:rPr>
        <w:t>to</w:t>
      </w:r>
      <w:r>
        <w:rPr>
          <w:spacing w:val="-10"/>
          <w:sz w:val="22"/>
        </w:rPr>
        <w:t> </w:t>
      </w:r>
      <w:r>
        <w:rPr>
          <w:sz w:val="22"/>
        </w:rPr>
        <w:t>determine</w:t>
      </w:r>
      <w:r>
        <w:rPr>
          <w:spacing w:val="-10"/>
          <w:sz w:val="22"/>
        </w:rPr>
        <w:t> </w:t>
      </w:r>
      <w:r>
        <w:rPr>
          <w:sz w:val="22"/>
        </w:rPr>
        <w:t>what</w:t>
      </w:r>
      <w:r>
        <w:rPr>
          <w:spacing w:val="-11"/>
          <w:sz w:val="22"/>
        </w:rPr>
        <w:t> </w:t>
      </w:r>
      <w:r>
        <w:rPr>
          <w:sz w:val="22"/>
        </w:rPr>
        <w:t>the</w:t>
      </w:r>
      <w:r>
        <w:rPr>
          <w:spacing w:val="-12"/>
          <w:sz w:val="22"/>
        </w:rPr>
        <w:t> </w:t>
      </w:r>
      <w:r>
        <w:rPr>
          <w:sz w:val="22"/>
        </w:rPr>
        <w:t>necessary</w:t>
      </w:r>
      <w:r>
        <w:rPr>
          <w:spacing w:val="-12"/>
          <w:sz w:val="22"/>
        </w:rPr>
        <w:t> </w:t>
      </w:r>
      <w:r>
        <w:rPr>
          <w:sz w:val="22"/>
        </w:rPr>
        <w:t>repairs</w:t>
      </w:r>
      <w:r>
        <w:rPr>
          <w:spacing w:val="-9"/>
          <w:sz w:val="22"/>
        </w:rPr>
        <w:t> </w:t>
      </w:r>
      <w:r>
        <w:rPr>
          <w:sz w:val="22"/>
        </w:rPr>
        <w:t>will</w:t>
      </w:r>
      <w:r>
        <w:rPr>
          <w:spacing w:val="-10"/>
          <w:sz w:val="22"/>
        </w:rPr>
        <w:t> </w:t>
      </w:r>
      <w:r>
        <w:rPr>
          <w:sz w:val="22"/>
        </w:rPr>
        <w:t>be</w:t>
      </w:r>
      <w:r>
        <w:rPr>
          <w:spacing w:val="-10"/>
          <w:sz w:val="22"/>
        </w:rPr>
        <w:t> </w:t>
      </w:r>
      <w:r>
        <w:rPr>
          <w:sz w:val="22"/>
        </w:rPr>
        <w:t>and when the amount exceeds the limits of Major Rehab Program.</w:t>
      </w:r>
    </w:p>
    <w:p>
      <w:pPr>
        <w:pStyle w:val="ListParagraph"/>
        <w:numPr>
          <w:ilvl w:val="2"/>
          <w:numId w:val="4"/>
        </w:numPr>
        <w:tabs>
          <w:tab w:pos="841" w:val="left" w:leader="none"/>
        </w:tabs>
        <w:spacing w:line="240" w:lineRule="auto" w:before="4" w:after="0"/>
        <w:ind w:left="840" w:right="157" w:hanging="361"/>
        <w:jc w:val="both"/>
        <w:rPr>
          <w:rFonts w:ascii="Symbol" w:hAnsi="Symbol"/>
          <w:sz w:val="22"/>
        </w:rPr>
      </w:pPr>
      <w:r>
        <w:rPr/>
        <w:pict>
          <v:shape style="position:absolute;margin-left:90.065002pt;margin-top:20.052145pt;width:395.3pt;height:419pt;mso-position-horizontal-relative:page;mso-position-vertical-relative:paragraph;z-index:-17733120" id="docshape28" coordorigin="1801,401" coordsize="7906,8380" path="m4498,7665l4492,7591,4477,7513,4455,7430,4432,7361,4403,7289,4367,7214,4325,7136,4276,7056,4237,6997,4200,6946,4200,7631,4197,7688,4186,7745,4167,7802,4138,7862,4097,7924,4044,7990,3979,8060,3674,8365,2216,6908,2517,6607,2598,6531,2672,6471,2740,6427,2801,6401,2868,6386,2941,6382,3020,6389,3105,6407,3195,6436,3255,6462,3317,6494,3380,6533,3446,6578,3514,6629,3584,6687,3656,6752,3729,6823,3789,6885,3845,6945,3896,7004,3943,7062,3986,7119,4025,7174,4059,7228,4101,7302,4136,7375,4163,7444,4183,7511,4196,7575,4200,7631,4200,6946,4194,6937,4148,6877,4098,6816,4045,6755,3989,6694,3929,6632,3865,6570,3801,6511,3737,6457,3673,6405,3643,6382,3609,6357,3546,6313,3482,6271,3419,6233,3346,6196,3274,6163,3203,6136,3132,6114,3062,6097,2992,6085,2923,6078,2850,6076,2779,6083,2709,6098,2642,6121,2577,6151,2528,6180,2476,6217,2420,6262,2359,6316,2294,6379,1801,6872,3710,8780,4124,8365,4226,8264,4287,8198,4341,8133,4386,8067,4424,8001,4454,7934,4476,7868,4491,7801,4498,7733,4498,7665xm6418,6072l6056,5944,5650,5801,5561,5772,5475,5748,5393,5729,5365,5724,5314,5715,5239,5705,5193,5703,5143,5706,5089,5713,5030,5724,5073,5654,5109,5585,5136,5515,5154,5446,5164,5378,5165,5310,5157,5242,5139,5164,5111,5088,5075,5013,5030,4941,4976,4870,4956,4847,4913,4801,4872,4763,4872,5320,4868,5376,4854,5431,4830,5487,4794,5546,4747,5607,4687,5670,4280,6077,3649,5446,4102,4993,4166,4936,4229,4893,4293,4864,4358,4848,4422,4847,4501,4862,4577,4892,4649,4937,4718,4996,4761,5044,4797,5095,4827,5148,4851,5205,4867,5263,4872,5320,4872,4763,4849,4741,4782,4689,4713,4644,4641,4605,4566,4573,4474,4545,4386,4532,4303,4534,4225,4550,4163,4575,4098,4611,4030,4659,3958,4719,3883,4790,3248,5425,5157,7333,5346,7144,4499,6296,4718,6077,4753,6043,4783,6016,4810,5995,4833,5980,4863,5967,4896,5956,4932,5948,4971,5944,5014,5944,5066,5949,5125,5960,5194,5976,5256,5993,5328,6014,5407,6039,5496,6068,6180,6310,6418,6072xm7780,4709l7415,4514,6555,4060,6555,4367,6070,4852,6030,4781,5989,4709,5748,4279,5708,4207,5668,4135,5629,4070,5590,4005,5550,3941,5509,3878,5467,3816,5424,3755,5380,3694,5436,3730,5498,3767,5564,3807,5635,3849,5792,3940,6555,4367,6555,4060,5862,3694,5286,3387,5082,3591,5277,3942,5316,4012,5701,4709,6207,5628,6441,6049,6642,5848,6565,5714,6298,5246,6221,5113,6481,4852,6820,4514,7173,4709,7565,4925,7780,4709xm8131,4359l7264,3492,7936,2820,7711,2595,7039,3267,6448,2676,7224,1900,6999,1674,6033,2640,7941,4548,8131,4359xm9707,2783l8024,1100,8497,626,8272,401,7138,1536,7363,1761,7834,1289,9517,2972,9707,2783xe" filled="true" fillcolor="#c0c0c0" stroked="false">
            <v:path arrowok="t"/>
            <v:fill opacity="32896f" type="solid"/>
            <w10:wrap type="none"/>
          </v:shape>
        </w:pict>
      </w:r>
      <w:r>
        <w:rPr>
          <w:sz w:val="22"/>
        </w:rPr>
        <w:t>If the property was previously assisted with City funds and the property is still within the period</w:t>
      </w:r>
      <w:r>
        <w:rPr>
          <w:spacing w:val="-7"/>
          <w:sz w:val="22"/>
        </w:rPr>
        <w:t> </w:t>
      </w:r>
      <w:r>
        <w:rPr>
          <w:sz w:val="22"/>
        </w:rPr>
        <w:t>of</w:t>
      </w:r>
      <w:r>
        <w:rPr>
          <w:spacing w:val="-6"/>
          <w:sz w:val="22"/>
        </w:rPr>
        <w:t> </w:t>
      </w:r>
      <w:r>
        <w:rPr>
          <w:sz w:val="22"/>
        </w:rPr>
        <w:t>affordability,</w:t>
      </w:r>
      <w:r>
        <w:rPr>
          <w:spacing w:val="-6"/>
          <w:sz w:val="22"/>
        </w:rPr>
        <w:t> </w:t>
      </w:r>
      <w:r>
        <w:rPr>
          <w:sz w:val="22"/>
        </w:rPr>
        <w:t>per</w:t>
      </w:r>
      <w:r>
        <w:rPr>
          <w:spacing w:val="-6"/>
          <w:sz w:val="22"/>
        </w:rPr>
        <w:t> </w:t>
      </w:r>
      <w:r>
        <w:rPr>
          <w:sz w:val="22"/>
        </w:rPr>
        <w:t>the</w:t>
      </w:r>
      <w:r>
        <w:rPr>
          <w:spacing w:val="-10"/>
          <w:sz w:val="22"/>
        </w:rPr>
        <w:t> </w:t>
      </w:r>
      <w:r>
        <w:rPr>
          <w:sz w:val="22"/>
        </w:rPr>
        <w:t>written</w:t>
      </w:r>
      <w:r>
        <w:rPr>
          <w:spacing w:val="-7"/>
          <w:sz w:val="22"/>
        </w:rPr>
        <w:t> </w:t>
      </w:r>
      <w:r>
        <w:rPr>
          <w:sz w:val="22"/>
        </w:rPr>
        <w:t>agreement</w:t>
      </w:r>
      <w:r>
        <w:rPr>
          <w:spacing w:val="-8"/>
          <w:sz w:val="22"/>
        </w:rPr>
        <w:t> </w:t>
      </w:r>
      <w:r>
        <w:rPr>
          <w:sz w:val="22"/>
        </w:rPr>
        <w:t>with</w:t>
      </w:r>
      <w:r>
        <w:rPr>
          <w:spacing w:val="-7"/>
          <w:sz w:val="22"/>
        </w:rPr>
        <w:t> </w:t>
      </w:r>
      <w:r>
        <w:rPr>
          <w:sz w:val="22"/>
        </w:rPr>
        <w:t>the</w:t>
      </w:r>
      <w:r>
        <w:rPr>
          <w:spacing w:val="-7"/>
          <w:sz w:val="22"/>
        </w:rPr>
        <w:t> </w:t>
      </w:r>
      <w:r>
        <w:rPr>
          <w:sz w:val="22"/>
        </w:rPr>
        <w:t>Applicant</w:t>
      </w:r>
      <w:r>
        <w:rPr>
          <w:spacing w:val="-6"/>
          <w:sz w:val="22"/>
        </w:rPr>
        <w:t> </w:t>
      </w:r>
      <w:r>
        <w:rPr>
          <w:sz w:val="22"/>
        </w:rPr>
        <w:t>or</w:t>
      </w:r>
      <w:r>
        <w:rPr>
          <w:spacing w:val="-9"/>
          <w:sz w:val="22"/>
        </w:rPr>
        <w:t> </w:t>
      </w:r>
      <w:r>
        <w:rPr>
          <w:sz w:val="22"/>
        </w:rPr>
        <w:t>the</w:t>
      </w:r>
      <w:r>
        <w:rPr>
          <w:spacing w:val="-10"/>
          <w:sz w:val="22"/>
        </w:rPr>
        <w:t> </w:t>
      </w:r>
      <w:r>
        <w:rPr>
          <w:sz w:val="22"/>
        </w:rPr>
        <w:t>previous</w:t>
      </w:r>
      <w:r>
        <w:rPr>
          <w:spacing w:val="-7"/>
          <w:sz w:val="22"/>
        </w:rPr>
        <w:t> </w:t>
      </w:r>
      <w:r>
        <w:rPr>
          <w:sz w:val="22"/>
        </w:rPr>
        <w:t>owner, Applicant will not be eligible to receive funding for the same property.</w:t>
      </w:r>
    </w:p>
    <w:p>
      <w:pPr>
        <w:pStyle w:val="ListParagraph"/>
        <w:numPr>
          <w:ilvl w:val="2"/>
          <w:numId w:val="4"/>
        </w:numPr>
        <w:tabs>
          <w:tab w:pos="841" w:val="left" w:leader="none"/>
        </w:tabs>
        <w:spacing w:line="237" w:lineRule="auto" w:before="2" w:after="0"/>
        <w:ind w:left="840" w:right="157" w:hanging="361"/>
        <w:jc w:val="both"/>
        <w:rPr>
          <w:rFonts w:ascii="Symbol" w:hAnsi="Symbol"/>
          <w:sz w:val="22"/>
        </w:rPr>
      </w:pPr>
      <w:r>
        <w:rPr>
          <w:sz w:val="22"/>
        </w:rPr>
        <w:t>If the property has been reconstructed pursuant to any City program, the property is not eligible for reconstruction under this Home Reconstruction Program.</w:t>
      </w:r>
    </w:p>
    <w:p>
      <w:pPr>
        <w:pStyle w:val="BodyText"/>
        <w:spacing w:before="1"/>
      </w:pPr>
    </w:p>
    <w:p>
      <w:pPr>
        <w:pStyle w:val="Heading5"/>
      </w:pPr>
      <w:r>
        <w:rPr/>
        <w:t>Eligible</w:t>
      </w:r>
      <w:r>
        <w:rPr>
          <w:spacing w:val="-5"/>
        </w:rPr>
        <w:t> </w:t>
      </w:r>
      <w:r>
        <w:rPr/>
        <w:t>Repair</w:t>
      </w:r>
      <w:r>
        <w:rPr>
          <w:spacing w:val="-4"/>
        </w:rPr>
        <w:t> </w:t>
      </w:r>
      <w:r>
        <w:rPr>
          <w:spacing w:val="-2"/>
        </w:rPr>
        <w:t>Improvements</w:t>
      </w:r>
    </w:p>
    <w:p>
      <w:pPr>
        <w:pStyle w:val="BodyText"/>
        <w:spacing w:before="49"/>
        <w:ind w:left="119" w:right="154"/>
        <w:jc w:val="both"/>
      </w:pPr>
      <w:r>
        <w:rPr/>
        <w:t>Eligible improvements under the Home Reconstruction Program include the demolition of the existing</w:t>
      </w:r>
      <w:r>
        <w:rPr>
          <w:spacing w:val="-10"/>
        </w:rPr>
        <w:t> </w:t>
      </w:r>
      <w:r>
        <w:rPr/>
        <w:t>single-family</w:t>
      </w:r>
      <w:r>
        <w:rPr>
          <w:spacing w:val="-9"/>
        </w:rPr>
        <w:t> </w:t>
      </w:r>
      <w:r>
        <w:rPr/>
        <w:t>home</w:t>
      </w:r>
      <w:r>
        <w:rPr>
          <w:spacing w:val="-10"/>
        </w:rPr>
        <w:t> </w:t>
      </w:r>
      <w:r>
        <w:rPr/>
        <w:t>and</w:t>
      </w:r>
      <w:r>
        <w:rPr>
          <w:spacing w:val="-12"/>
        </w:rPr>
        <w:t> </w:t>
      </w:r>
      <w:r>
        <w:rPr/>
        <w:t>reconstruction</w:t>
      </w:r>
      <w:r>
        <w:rPr>
          <w:spacing w:val="-9"/>
        </w:rPr>
        <w:t> </w:t>
      </w:r>
      <w:r>
        <w:rPr/>
        <w:t>in</w:t>
      </w:r>
      <w:r>
        <w:rPr>
          <w:spacing w:val="-12"/>
        </w:rPr>
        <w:t> </w:t>
      </w:r>
      <w:r>
        <w:rPr/>
        <w:t>substantially</w:t>
      </w:r>
      <w:r>
        <w:rPr>
          <w:spacing w:val="-9"/>
        </w:rPr>
        <w:t> </w:t>
      </w:r>
      <w:r>
        <w:rPr/>
        <w:t>the</w:t>
      </w:r>
      <w:r>
        <w:rPr>
          <w:spacing w:val="-12"/>
        </w:rPr>
        <w:t> </w:t>
      </w:r>
      <w:r>
        <w:rPr/>
        <w:t>same</w:t>
      </w:r>
      <w:r>
        <w:rPr>
          <w:spacing w:val="-10"/>
        </w:rPr>
        <w:t> </w:t>
      </w:r>
      <w:r>
        <w:rPr/>
        <w:t>manner</w:t>
      </w:r>
      <w:r>
        <w:rPr>
          <w:spacing w:val="-9"/>
        </w:rPr>
        <w:t> </w:t>
      </w:r>
      <w:r>
        <w:rPr/>
        <w:t>of</w:t>
      </w:r>
      <w:r>
        <w:rPr>
          <w:spacing w:val="-11"/>
        </w:rPr>
        <w:t> </w:t>
      </w:r>
      <w:r>
        <w:rPr/>
        <w:t>similar</w:t>
      </w:r>
      <w:r>
        <w:rPr>
          <w:spacing w:val="-9"/>
        </w:rPr>
        <w:t> </w:t>
      </w:r>
      <w:r>
        <w:rPr/>
        <w:t>design a replacement detached single-family home on the same lot. The number of dwelling units on a site may not be increased.</w:t>
      </w:r>
    </w:p>
    <w:p>
      <w:pPr>
        <w:pStyle w:val="BodyText"/>
      </w:pPr>
    </w:p>
    <w:p>
      <w:pPr>
        <w:pStyle w:val="BodyText"/>
        <w:ind w:left="119" w:right="156"/>
        <w:jc w:val="both"/>
      </w:pPr>
      <w:r>
        <w:rPr/>
        <w:t>Demolition of an accessory structure deemed hazardous, such as a detached garage or work shed, will be made on a case by case basis depending on the available budget, grant requirements, planning requirements, current building codes, and health and safety concerns. The structure will not be rebuilt.</w:t>
      </w:r>
    </w:p>
    <w:p>
      <w:pPr>
        <w:pStyle w:val="BodyText"/>
        <w:spacing w:before="7"/>
      </w:pPr>
    </w:p>
    <w:p>
      <w:pPr>
        <w:pStyle w:val="Heading5"/>
        <w:ind w:left="119"/>
      </w:pPr>
      <w:r>
        <w:rPr/>
        <w:t>Terms</w:t>
      </w:r>
      <w:r>
        <w:rPr>
          <w:spacing w:val="-3"/>
        </w:rPr>
        <w:t> </w:t>
      </w:r>
      <w:r>
        <w:rPr/>
        <w:t>of</w:t>
      </w:r>
      <w:r>
        <w:rPr>
          <w:spacing w:val="-3"/>
        </w:rPr>
        <w:t> </w:t>
      </w:r>
      <w:r>
        <w:rPr>
          <w:spacing w:val="-2"/>
        </w:rPr>
        <w:t>Assistance</w:t>
      </w:r>
    </w:p>
    <w:p>
      <w:pPr>
        <w:pStyle w:val="BodyText"/>
        <w:spacing w:before="49"/>
        <w:ind w:left="119" w:right="158"/>
        <w:jc w:val="both"/>
      </w:pPr>
      <w:r>
        <w:rPr/>
        <w:t>Home Reconstruction Program assistance is provided in the form of a loan. The City loan shall be secured by a first lien on the property, signed by Applicant as the owner of the property. Applicant must certify annually that the home is not for sale and is the primary residence of the Applicant until the loan is repaid</w:t>
      </w:r>
      <w:r>
        <w:rPr>
          <w:spacing w:val="-2"/>
        </w:rPr>
        <w:t> </w:t>
      </w:r>
      <w:r>
        <w:rPr/>
        <w:t>to the City in full. Applicant must also correct all code violations that exist on</w:t>
      </w:r>
      <w:r>
        <w:rPr>
          <w:spacing w:val="-3"/>
        </w:rPr>
        <w:t> </w:t>
      </w:r>
      <w:r>
        <w:rPr/>
        <w:t>the property. The</w:t>
      </w:r>
      <w:r>
        <w:rPr>
          <w:spacing w:val="-3"/>
        </w:rPr>
        <w:t> </w:t>
      </w:r>
      <w:r>
        <w:rPr/>
        <w:t>maximum loan amount is subject to City established underwriting </w:t>
      </w:r>
      <w:r>
        <w:rPr>
          <w:spacing w:val="-2"/>
        </w:rPr>
        <w:t>criteria/requirements.</w:t>
      </w:r>
    </w:p>
    <w:p>
      <w:pPr>
        <w:pStyle w:val="BodyText"/>
      </w:pPr>
    </w:p>
    <w:p>
      <w:pPr>
        <w:pStyle w:val="BodyText"/>
        <w:ind w:left="120" w:right="156" w:hanging="1"/>
        <w:jc w:val="both"/>
      </w:pPr>
      <w:r>
        <w:rPr/>
        <w:t>The affordability period for the Home Reconstruction Program shall be 15 years. In addition to execution</w:t>
      </w:r>
      <w:r>
        <w:rPr>
          <w:spacing w:val="-7"/>
        </w:rPr>
        <w:t> </w:t>
      </w:r>
      <w:r>
        <w:rPr/>
        <w:t>of</w:t>
      </w:r>
      <w:r>
        <w:rPr>
          <w:spacing w:val="-8"/>
        </w:rPr>
        <w:t> </w:t>
      </w:r>
      <w:r>
        <w:rPr/>
        <w:t>a</w:t>
      </w:r>
      <w:r>
        <w:rPr>
          <w:spacing w:val="-10"/>
        </w:rPr>
        <w:t> </w:t>
      </w:r>
      <w:r>
        <w:rPr/>
        <w:t>loan</w:t>
      </w:r>
      <w:r>
        <w:rPr>
          <w:spacing w:val="-7"/>
        </w:rPr>
        <w:t> </w:t>
      </w:r>
      <w:r>
        <w:rPr/>
        <w:t>agreement,</w:t>
      </w:r>
      <w:r>
        <w:rPr>
          <w:spacing w:val="-8"/>
        </w:rPr>
        <w:t> </w:t>
      </w:r>
      <w:r>
        <w:rPr/>
        <w:t>execution</w:t>
      </w:r>
      <w:r>
        <w:rPr>
          <w:spacing w:val="-10"/>
        </w:rPr>
        <w:t> </w:t>
      </w:r>
      <w:r>
        <w:rPr/>
        <w:t>and</w:t>
      </w:r>
      <w:r>
        <w:rPr>
          <w:spacing w:val="-10"/>
        </w:rPr>
        <w:t> </w:t>
      </w:r>
      <w:r>
        <w:rPr/>
        <w:t>recordation</w:t>
      </w:r>
      <w:r>
        <w:rPr>
          <w:spacing w:val="-10"/>
        </w:rPr>
        <w:t> </w:t>
      </w:r>
      <w:r>
        <w:rPr/>
        <w:t>of</w:t>
      </w:r>
      <w:r>
        <w:rPr>
          <w:spacing w:val="-8"/>
        </w:rPr>
        <w:t> </w:t>
      </w:r>
      <w:r>
        <w:rPr/>
        <w:t>a</w:t>
      </w:r>
      <w:r>
        <w:rPr>
          <w:spacing w:val="-10"/>
        </w:rPr>
        <w:t> </w:t>
      </w:r>
      <w:r>
        <w:rPr/>
        <w:t>deed</w:t>
      </w:r>
      <w:r>
        <w:rPr>
          <w:spacing w:val="-10"/>
        </w:rPr>
        <w:t> </w:t>
      </w:r>
      <w:r>
        <w:rPr/>
        <w:t>of</w:t>
      </w:r>
      <w:r>
        <w:rPr>
          <w:spacing w:val="-8"/>
        </w:rPr>
        <w:t> </w:t>
      </w:r>
      <w:r>
        <w:rPr/>
        <w:t>trust,</w:t>
      </w:r>
      <w:r>
        <w:rPr>
          <w:spacing w:val="-8"/>
        </w:rPr>
        <w:t> </w:t>
      </w:r>
      <w:r>
        <w:rPr/>
        <w:t>deed</w:t>
      </w:r>
      <w:r>
        <w:rPr>
          <w:spacing w:val="-10"/>
        </w:rPr>
        <w:t> </w:t>
      </w:r>
      <w:r>
        <w:rPr/>
        <w:t>restriction,</w:t>
      </w:r>
      <w:r>
        <w:rPr>
          <w:spacing w:val="-8"/>
        </w:rPr>
        <w:t> </w:t>
      </w:r>
      <w:r>
        <w:rPr/>
        <w:t>and a note will be required.</w:t>
      </w:r>
    </w:p>
    <w:p>
      <w:pPr>
        <w:pStyle w:val="BodyText"/>
        <w:spacing w:before="1"/>
      </w:pPr>
    </w:p>
    <w:p>
      <w:pPr>
        <w:pStyle w:val="BodyText"/>
        <w:ind w:left="120"/>
      </w:pPr>
      <w:r>
        <w:rPr/>
        <w:t>Applicant</w:t>
      </w:r>
      <w:r>
        <w:rPr>
          <w:spacing w:val="-16"/>
        </w:rPr>
        <w:t> </w:t>
      </w:r>
      <w:r>
        <w:rPr/>
        <w:t>may</w:t>
      </w:r>
      <w:r>
        <w:rPr>
          <w:spacing w:val="-15"/>
        </w:rPr>
        <w:t> </w:t>
      </w:r>
      <w:r>
        <w:rPr/>
        <w:t>repay</w:t>
      </w:r>
      <w:r>
        <w:rPr>
          <w:spacing w:val="-15"/>
        </w:rPr>
        <w:t> </w:t>
      </w:r>
      <w:r>
        <w:rPr/>
        <w:t>the</w:t>
      </w:r>
      <w:r>
        <w:rPr>
          <w:spacing w:val="-16"/>
        </w:rPr>
        <w:t> </w:t>
      </w:r>
      <w:r>
        <w:rPr/>
        <w:t>Home</w:t>
      </w:r>
      <w:r>
        <w:rPr>
          <w:spacing w:val="-16"/>
        </w:rPr>
        <w:t> </w:t>
      </w:r>
      <w:r>
        <w:rPr/>
        <w:t>Reconstruction</w:t>
      </w:r>
      <w:r>
        <w:rPr>
          <w:spacing w:val="-15"/>
        </w:rPr>
        <w:t> </w:t>
      </w:r>
      <w:r>
        <w:rPr/>
        <w:t>Program</w:t>
      </w:r>
      <w:r>
        <w:rPr>
          <w:spacing w:val="-15"/>
        </w:rPr>
        <w:t> </w:t>
      </w:r>
      <w:r>
        <w:rPr/>
        <w:t>loan</w:t>
      </w:r>
      <w:r>
        <w:rPr>
          <w:spacing w:val="-15"/>
        </w:rPr>
        <w:t> </w:t>
      </w:r>
      <w:r>
        <w:rPr/>
        <w:t>at</w:t>
      </w:r>
      <w:r>
        <w:rPr>
          <w:spacing w:val="-16"/>
        </w:rPr>
        <w:t> </w:t>
      </w:r>
      <w:r>
        <w:rPr/>
        <w:t>any</w:t>
      </w:r>
      <w:r>
        <w:rPr>
          <w:spacing w:val="-15"/>
        </w:rPr>
        <w:t> </w:t>
      </w:r>
      <w:r>
        <w:rPr/>
        <w:t>time</w:t>
      </w:r>
      <w:r>
        <w:rPr>
          <w:spacing w:val="-15"/>
        </w:rPr>
        <w:t> </w:t>
      </w:r>
      <w:r>
        <w:rPr/>
        <w:t>without</w:t>
      </w:r>
      <w:r>
        <w:rPr>
          <w:spacing w:val="-16"/>
        </w:rPr>
        <w:t> </w:t>
      </w:r>
      <w:r>
        <w:rPr/>
        <w:t>penalty.</w:t>
      </w:r>
      <w:r>
        <w:rPr>
          <w:spacing w:val="-15"/>
        </w:rPr>
        <w:t> </w:t>
      </w:r>
      <w:r>
        <w:rPr/>
        <w:t>All</w:t>
      </w:r>
      <w:r>
        <w:rPr>
          <w:spacing w:val="-15"/>
        </w:rPr>
        <w:t> </w:t>
      </w:r>
      <w:r>
        <w:rPr/>
        <w:t>loans are immediately payable upon the earlier of:</w:t>
      </w:r>
    </w:p>
    <w:p>
      <w:pPr>
        <w:pStyle w:val="ListParagraph"/>
        <w:numPr>
          <w:ilvl w:val="2"/>
          <w:numId w:val="4"/>
        </w:numPr>
        <w:tabs>
          <w:tab w:pos="840" w:val="left" w:leader="none"/>
          <w:tab w:pos="841" w:val="left" w:leader="none"/>
        </w:tabs>
        <w:spacing w:line="269" w:lineRule="exact" w:before="0" w:after="0"/>
        <w:ind w:left="840" w:right="0" w:hanging="361"/>
        <w:jc w:val="left"/>
        <w:rPr>
          <w:rFonts w:ascii="Symbol" w:hAnsi="Symbol"/>
          <w:sz w:val="22"/>
        </w:rPr>
      </w:pPr>
      <w:r>
        <w:rPr>
          <w:sz w:val="22"/>
        </w:rPr>
        <w:t>The</w:t>
      </w:r>
      <w:r>
        <w:rPr>
          <w:spacing w:val="-7"/>
          <w:sz w:val="22"/>
        </w:rPr>
        <w:t> </w:t>
      </w:r>
      <w:r>
        <w:rPr>
          <w:sz w:val="22"/>
        </w:rPr>
        <w:t>sale,</w:t>
      </w:r>
      <w:r>
        <w:rPr>
          <w:spacing w:val="-7"/>
          <w:sz w:val="22"/>
        </w:rPr>
        <w:t> </w:t>
      </w:r>
      <w:r>
        <w:rPr>
          <w:sz w:val="22"/>
        </w:rPr>
        <w:t>conveyance,</w:t>
      </w:r>
      <w:r>
        <w:rPr>
          <w:spacing w:val="-6"/>
          <w:sz w:val="22"/>
        </w:rPr>
        <w:t> </w:t>
      </w:r>
      <w:r>
        <w:rPr>
          <w:sz w:val="22"/>
        </w:rPr>
        <w:t>transfer,</w:t>
      </w:r>
      <w:r>
        <w:rPr>
          <w:spacing w:val="-7"/>
          <w:sz w:val="22"/>
        </w:rPr>
        <w:t> </w:t>
      </w:r>
      <w:r>
        <w:rPr>
          <w:sz w:val="22"/>
        </w:rPr>
        <w:t>rental,</w:t>
      </w:r>
      <w:r>
        <w:rPr>
          <w:spacing w:val="-6"/>
          <w:sz w:val="22"/>
        </w:rPr>
        <w:t> </w:t>
      </w:r>
      <w:r>
        <w:rPr>
          <w:sz w:val="22"/>
        </w:rPr>
        <w:t>hypothecation</w:t>
      </w:r>
      <w:r>
        <w:rPr>
          <w:spacing w:val="-5"/>
          <w:sz w:val="22"/>
        </w:rPr>
        <w:t> </w:t>
      </w:r>
      <w:r>
        <w:rPr>
          <w:sz w:val="22"/>
        </w:rPr>
        <w:t>of</w:t>
      </w:r>
      <w:r>
        <w:rPr>
          <w:spacing w:val="-7"/>
          <w:sz w:val="22"/>
        </w:rPr>
        <w:t> </w:t>
      </w:r>
      <w:r>
        <w:rPr>
          <w:sz w:val="22"/>
        </w:rPr>
        <w:t>the</w:t>
      </w:r>
      <w:r>
        <w:rPr>
          <w:spacing w:val="-8"/>
          <w:sz w:val="22"/>
        </w:rPr>
        <w:t> </w:t>
      </w:r>
      <w:r>
        <w:rPr>
          <w:sz w:val="22"/>
        </w:rPr>
        <w:t>security;</w:t>
      </w:r>
      <w:r>
        <w:rPr>
          <w:spacing w:val="-3"/>
          <w:sz w:val="22"/>
        </w:rPr>
        <w:t> </w:t>
      </w:r>
      <w:r>
        <w:rPr>
          <w:spacing w:val="-5"/>
          <w:sz w:val="22"/>
        </w:rPr>
        <w:t>or</w:t>
      </w:r>
    </w:p>
    <w:p>
      <w:pPr>
        <w:pStyle w:val="ListParagraph"/>
        <w:numPr>
          <w:ilvl w:val="2"/>
          <w:numId w:val="4"/>
        </w:numPr>
        <w:tabs>
          <w:tab w:pos="840" w:val="left" w:leader="none"/>
          <w:tab w:pos="841" w:val="left" w:leader="none"/>
        </w:tabs>
        <w:spacing w:line="268" w:lineRule="exact" w:before="0" w:after="0"/>
        <w:ind w:left="840" w:right="0" w:hanging="361"/>
        <w:jc w:val="left"/>
        <w:rPr>
          <w:rFonts w:ascii="Symbol" w:hAnsi="Symbol"/>
          <w:sz w:val="22"/>
        </w:rPr>
      </w:pPr>
      <w:r>
        <w:rPr>
          <w:sz w:val="22"/>
        </w:rPr>
        <w:t>If</w:t>
      </w:r>
      <w:r>
        <w:rPr>
          <w:spacing w:val="-5"/>
          <w:sz w:val="22"/>
        </w:rPr>
        <w:t> </w:t>
      </w:r>
      <w:r>
        <w:rPr>
          <w:sz w:val="22"/>
        </w:rPr>
        <w:t>the</w:t>
      </w:r>
      <w:r>
        <w:rPr>
          <w:spacing w:val="-4"/>
          <w:sz w:val="22"/>
        </w:rPr>
        <w:t> </w:t>
      </w:r>
      <w:r>
        <w:rPr>
          <w:sz w:val="22"/>
        </w:rPr>
        <w:t>home</w:t>
      </w:r>
      <w:r>
        <w:rPr>
          <w:spacing w:val="-4"/>
          <w:sz w:val="22"/>
        </w:rPr>
        <w:t> </w:t>
      </w:r>
      <w:r>
        <w:rPr>
          <w:sz w:val="22"/>
        </w:rPr>
        <w:t>is</w:t>
      </w:r>
      <w:r>
        <w:rPr>
          <w:spacing w:val="-2"/>
          <w:sz w:val="22"/>
        </w:rPr>
        <w:t> </w:t>
      </w:r>
      <w:r>
        <w:rPr>
          <w:sz w:val="22"/>
        </w:rPr>
        <w:t>vacated</w:t>
      </w:r>
      <w:r>
        <w:rPr>
          <w:spacing w:val="-4"/>
          <w:sz w:val="22"/>
        </w:rPr>
        <w:t> </w:t>
      </w:r>
      <w:r>
        <w:rPr>
          <w:sz w:val="22"/>
        </w:rPr>
        <w:t>during</w:t>
      </w:r>
      <w:r>
        <w:rPr>
          <w:spacing w:val="-2"/>
          <w:sz w:val="22"/>
        </w:rPr>
        <w:t> </w:t>
      </w:r>
      <w:r>
        <w:rPr>
          <w:sz w:val="22"/>
        </w:rPr>
        <w:t>the</w:t>
      </w:r>
      <w:r>
        <w:rPr>
          <w:spacing w:val="-4"/>
          <w:sz w:val="22"/>
        </w:rPr>
        <w:t> </w:t>
      </w:r>
      <w:r>
        <w:rPr>
          <w:sz w:val="22"/>
        </w:rPr>
        <w:t>term</w:t>
      </w:r>
      <w:r>
        <w:rPr>
          <w:spacing w:val="-4"/>
          <w:sz w:val="22"/>
        </w:rPr>
        <w:t> </w:t>
      </w:r>
      <w:r>
        <w:rPr>
          <w:sz w:val="22"/>
        </w:rPr>
        <w:t>of</w:t>
      </w:r>
      <w:r>
        <w:rPr>
          <w:spacing w:val="-5"/>
          <w:sz w:val="22"/>
        </w:rPr>
        <w:t> </w:t>
      </w:r>
      <w:r>
        <w:rPr>
          <w:sz w:val="22"/>
        </w:rPr>
        <w:t>the</w:t>
      </w:r>
      <w:r>
        <w:rPr>
          <w:spacing w:val="-2"/>
          <w:sz w:val="22"/>
        </w:rPr>
        <w:t> </w:t>
      </w:r>
      <w:r>
        <w:rPr>
          <w:sz w:val="22"/>
        </w:rPr>
        <w:t>loan; </w:t>
      </w:r>
      <w:r>
        <w:rPr>
          <w:spacing w:val="-5"/>
          <w:sz w:val="22"/>
        </w:rPr>
        <w:t>or</w:t>
      </w:r>
    </w:p>
    <w:p>
      <w:pPr>
        <w:pStyle w:val="ListParagraph"/>
        <w:numPr>
          <w:ilvl w:val="2"/>
          <w:numId w:val="4"/>
        </w:numPr>
        <w:tabs>
          <w:tab w:pos="840" w:val="left" w:leader="none"/>
          <w:tab w:pos="841" w:val="left" w:leader="none"/>
        </w:tabs>
        <w:spacing w:line="268" w:lineRule="exact" w:before="0" w:after="0"/>
        <w:ind w:left="840" w:right="0" w:hanging="361"/>
        <w:jc w:val="left"/>
        <w:rPr>
          <w:rFonts w:ascii="Symbol" w:hAnsi="Symbol"/>
          <w:sz w:val="22"/>
        </w:rPr>
      </w:pPr>
      <w:r>
        <w:rPr>
          <w:sz w:val="22"/>
        </w:rPr>
        <w:t>Failure</w:t>
      </w:r>
      <w:r>
        <w:rPr>
          <w:spacing w:val="-4"/>
          <w:sz w:val="22"/>
        </w:rPr>
        <w:t> </w:t>
      </w:r>
      <w:r>
        <w:rPr>
          <w:sz w:val="22"/>
        </w:rPr>
        <w:t>to</w:t>
      </w:r>
      <w:r>
        <w:rPr>
          <w:spacing w:val="-3"/>
          <w:sz w:val="22"/>
        </w:rPr>
        <w:t> </w:t>
      </w:r>
      <w:r>
        <w:rPr>
          <w:sz w:val="22"/>
        </w:rPr>
        <w:t>adhere</w:t>
      </w:r>
      <w:r>
        <w:rPr>
          <w:spacing w:val="-5"/>
          <w:sz w:val="22"/>
        </w:rPr>
        <w:t> </w:t>
      </w:r>
      <w:r>
        <w:rPr>
          <w:sz w:val="22"/>
        </w:rPr>
        <w:t>to</w:t>
      </w:r>
      <w:r>
        <w:rPr>
          <w:spacing w:val="-6"/>
          <w:sz w:val="22"/>
        </w:rPr>
        <w:t> </w:t>
      </w:r>
      <w:r>
        <w:rPr>
          <w:sz w:val="22"/>
        </w:rPr>
        <w:t>the</w:t>
      </w:r>
      <w:r>
        <w:rPr>
          <w:spacing w:val="-7"/>
          <w:sz w:val="22"/>
        </w:rPr>
        <w:t> </w:t>
      </w:r>
      <w:r>
        <w:rPr>
          <w:sz w:val="22"/>
        </w:rPr>
        <w:t>provisions</w:t>
      </w:r>
      <w:r>
        <w:rPr>
          <w:spacing w:val="-2"/>
          <w:sz w:val="22"/>
        </w:rPr>
        <w:t> </w:t>
      </w:r>
      <w:r>
        <w:rPr>
          <w:sz w:val="22"/>
        </w:rPr>
        <w:t>of</w:t>
      </w:r>
      <w:r>
        <w:rPr>
          <w:spacing w:val="-5"/>
          <w:sz w:val="22"/>
        </w:rPr>
        <w:t> </w:t>
      </w:r>
      <w:r>
        <w:rPr>
          <w:sz w:val="22"/>
        </w:rPr>
        <w:t>the</w:t>
      </w:r>
      <w:r>
        <w:rPr>
          <w:spacing w:val="-5"/>
          <w:sz w:val="22"/>
        </w:rPr>
        <w:t> </w:t>
      </w:r>
      <w:r>
        <w:rPr>
          <w:sz w:val="22"/>
        </w:rPr>
        <w:t>loan</w:t>
      </w:r>
      <w:r>
        <w:rPr>
          <w:spacing w:val="-3"/>
          <w:sz w:val="22"/>
        </w:rPr>
        <w:t> </w:t>
      </w:r>
      <w:r>
        <w:rPr>
          <w:sz w:val="22"/>
        </w:rPr>
        <w:t>agreements;</w:t>
      </w:r>
      <w:r>
        <w:rPr>
          <w:spacing w:val="-3"/>
          <w:sz w:val="22"/>
        </w:rPr>
        <w:t> </w:t>
      </w:r>
      <w:r>
        <w:rPr>
          <w:spacing w:val="-5"/>
          <w:sz w:val="22"/>
        </w:rPr>
        <w:t>or</w:t>
      </w:r>
    </w:p>
    <w:p>
      <w:pPr>
        <w:pStyle w:val="ListParagraph"/>
        <w:numPr>
          <w:ilvl w:val="2"/>
          <w:numId w:val="4"/>
        </w:numPr>
        <w:tabs>
          <w:tab w:pos="840" w:val="left" w:leader="none"/>
          <w:tab w:pos="841" w:val="left" w:leader="none"/>
        </w:tabs>
        <w:spacing w:line="237" w:lineRule="auto" w:before="2" w:after="0"/>
        <w:ind w:left="840" w:right="155" w:hanging="361"/>
        <w:jc w:val="left"/>
        <w:rPr>
          <w:rFonts w:ascii="Symbol" w:hAnsi="Symbol"/>
          <w:sz w:val="22"/>
        </w:rPr>
      </w:pPr>
      <w:r>
        <w:rPr>
          <w:sz w:val="22"/>
        </w:rPr>
        <w:t>If standard</w:t>
      </w:r>
      <w:r>
        <w:rPr>
          <w:spacing w:val="-2"/>
          <w:sz w:val="22"/>
        </w:rPr>
        <w:t> </w:t>
      </w:r>
      <w:r>
        <w:rPr>
          <w:sz w:val="22"/>
        </w:rPr>
        <w:t>property insurance, satisfactory</w:t>
      </w:r>
      <w:r>
        <w:rPr>
          <w:spacing w:val="-1"/>
          <w:sz w:val="22"/>
        </w:rPr>
        <w:t> </w:t>
      </w:r>
      <w:r>
        <w:rPr>
          <w:sz w:val="22"/>
        </w:rPr>
        <w:t>to</w:t>
      </w:r>
      <w:r>
        <w:rPr>
          <w:spacing w:val="-2"/>
          <w:sz w:val="22"/>
        </w:rPr>
        <w:t> </w:t>
      </w:r>
      <w:r>
        <w:rPr>
          <w:sz w:val="22"/>
        </w:rPr>
        <w:t>the</w:t>
      </w:r>
      <w:r>
        <w:rPr>
          <w:spacing w:val="-2"/>
          <w:sz w:val="22"/>
        </w:rPr>
        <w:t> </w:t>
      </w:r>
      <w:r>
        <w:rPr>
          <w:sz w:val="22"/>
        </w:rPr>
        <w:t>City, is not maintained on the property; </w:t>
      </w:r>
      <w:r>
        <w:rPr>
          <w:spacing w:val="-6"/>
          <w:sz w:val="22"/>
        </w:rPr>
        <w:t>or</w:t>
      </w:r>
    </w:p>
    <w:p>
      <w:pPr>
        <w:pStyle w:val="ListParagraph"/>
        <w:numPr>
          <w:ilvl w:val="2"/>
          <w:numId w:val="4"/>
        </w:numPr>
        <w:tabs>
          <w:tab w:pos="840" w:val="left" w:leader="none"/>
          <w:tab w:pos="841" w:val="left" w:leader="none"/>
        </w:tabs>
        <w:spacing w:line="237" w:lineRule="auto" w:before="3" w:after="0"/>
        <w:ind w:left="840" w:right="157" w:hanging="360"/>
        <w:jc w:val="left"/>
        <w:rPr>
          <w:rFonts w:ascii="Symbol" w:hAnsi="Symbol"/>
          <w:sz w:val="22"/>
        </w:rPr>
      </w:pPr>
      <w:r>
        <w:rPr>
          <w:sz w:val="22"/>
        </w:rPr>
        <w:t>Failure to adhere to the provisions under the City’s contract, deed restrictions, deed of</w:t>
      </w:r>
      <w:r>
        <w:rPr>
          <w:spacing w:val="40"/>
          <w:sz w:val="22"/>
        </w:rPr>
        <w:t> </w:t>
      </w:r>
      <w:r>
        <w:rPr>
          <w:sz w:val="22"/>
        </w:rPr>
        <w:t>trust and/or the note.</w:t>
      </w:r>
    </w:p>
    <w:p>
      <w:pPr>
        <w:pStyle w:val="BodyText"/>
        <w:spacing w:before="1"/>
      </w:pPr>
    </w:p>
    <w:p>
      <w:pPr>
        <w:pStyle w:val="BodyText"/>
        <w:ind w:left="120" w:hanging="1"/>
      </w:pPr>
      <w:r>
        <w:rPr/>
        <w:t>Home</w:t>
      </w:r>
      <w:r>
        <w:rPr>
          <w:spacing w:val="40"/>
        </w:rPr>
        <w:t> </w:t>
      </w:r>
      <w:r>
        <w:rPr/>
        <w:t>Reconstruction</w:t>
      </w:r>
      <w:r>
        <w:rPr>
          <w:spacing w:val="40"/>
        </w:rPr>
        <w:t> </w:t>
      </w:r>
      <w:r>
        <w:rPr/>
        <w:t>Program</w:t>
      </w:r>
      <w:r>
        <w:rPr>
          <w:spacing w:val="40"/>
        </w:rPr>
        <w:t> </w:t>
      </w:r>
      <w:r>
        <w:rPr/>
        <w:t>loans</w:t>
      </w:r>
      <w:r>
        <w:rPr>
          <w:spacing w:val="40"/>
        </w:rPr>
        <w:t> </w:t>
      </w:r>
      <w:r>
        <w:rPr/>
        <w:t>are</w:t>
      </w:r>
      <w:r>
        <w:rPr>
          <w:spacing w:val="40"/>
        </w:rPr>
        <w:t> </w:t>
      </w:r>
      <w:r>
        <w:rPr/>
        <w:t>not</w:t>
      </w:r>
      <w:r>
        <w:rPr>
          <w:spacing w:val="40"/>
        </w:rPr>
        <w:t> </w:t>
      </w:r>
      <w:r>
        <w:rPr/>
        <w:t>assumable</w:t>
      </w:r>
      <w:r>
        <w:rPr>
          <w:spacing w:val="40"/>
        </w:rPr>
        <w:t> </w:t>
      </w:r>
      <w:r>
        <w:rPr/>
        <w:t>except</w:t>
      </w:r>
      <w:r>
        <w:rPr>
          <w:spacing w:val="40"/>
        </w:rPr>
        <w:t> </w:t>
      </w:r>
      <w:r>
        <w:rPr/>
        <w:t>under</w:t>
      </w:r>
      <w:r>
        <w:rPr>
          <w:spacing w:val="40"/>
        </w:rPr>
        <w:t> </w:t>
      </w:r>
      <w:r>
        <w:rPr/>
        <w:t>the</w:t>
      </w:r>
      <w:r>
        <w:rPr>
          <w:spacing w:val="40"/>
        </w:rPr>
        <w:t> </w:t>
      </w:r>
      <w:r>
        <w:rPr/>
        <w:t>following</w:t>
      </w:r>
      <w:r>
        <w:rPr>
          <w:spacing w:val="40"/>
        </w:rPr>
        <w:t> </w:t>
      </w:r>
      <w:r>
        <w:rPr/>
        <w:t>limited </w:t>
      </w:r>
      <w:r>
        <w:rPr>
          <w:spacing w:val="-2"/>
        </w:rPr>
        <w:t>circumstances:</w:t>
      </w:r>
    </w:p>
    <w:p>
      <w:pPr>
        <w:spacing w:after="0"/>
        <w:sectPr>
          <w:pgSz w:w="12240" w:h="15840"/>
          <w:pgMar w:header="0" w:footer="1738" w:top="1360" w:bottom="1920" w:left="1320" w:right="1280"/>
        </w:sectPr>
      </w:pPr>
    </w:p>
    <w:p>
      <w:pPr>
        <w:pStyle w:val="ListParagraph"/>
        <w:numPr>
          <w:ilvl w:val="2"/>
          <w:numId w:val="4"/>
        </w:numPr>
        <w:tabs>
          <w:tab w:pos="840" w:val="left" w:leader="none"/>
          <w:tab w:pos="841" w:val="left" w:leader="none"/>
        </w:tabs>
        <w:spacing w:line="268" w:lineRule="exact" w:before="82" w:after="0"/>
        <w:ind w:left="840" w:right="0" w:hanging="361"/>
        <w:jc w:val="left"/>
        <w:rPr>
          <w:rFonts w:ascii="Symbol" w:hAnsi="Symbol"/>
          <w:sz w:val="22"/>
        </w:rPr>
      </w:pPr>
      <w:r>
        <w:rPr>
          <w:sz w:val="22"/>
        </w:rPr>
        <w:t>Transfer</w:t>
      </w:r>
      <w:r>
        <w:rPr>
          <w:spacing w:val="-2"/>
          <w:sz w:val="22"/>
        </w:rPr>
        <w:t> </w:t>
      </w:r>
      <w:r>
        <w:rPr>
          <w:sz w:val="22"/>
        </w:rPr>
        <w:t>of</w:t>
      </w:r>
      <w:r>
        <w:rPr>
          <w:spacing w:val="-2"/>
          <w:sz w:val="22"/>
        </w:rPr>
        <w:t> </w:t>
      </w:r>
      <w:r>
        <w:rPr>
          <w:sz w:val="22"/>
        </w:rPr>
        <w:t>property</w:t>
      </w:r>
      <w:r>
        <w:rPr>
          <w:spacing w:val="-5"/>
          <w:sz w:val="22"/>
        </w:rPr>
        <w:t> </w:t>
      </w:r>
      <w:r>
        <w:rPr>
          <w:sz w:val="22"/>
        </w:rPr>
        <w:t>to</w:t>
      </w:r>
      <w:r>
        <w:rPr>
          <w:spacing w:val="-6"/>
          <w:sz w:val="22"/>
        </w:rPr>
        <w:t> </w:t>
      </w:r>
      <w:r>
        <w:rPr>
          <w:sz w:val="22"/>
        </w:rPr>
        <w:t>a</w:t>
      </w:r>
      <w:r>
        <w:rPr>
          <w:spacing w:val="-5"/>
          <w:sz w:val="22"/>
        </w:rPr>
        <w:t> </w:t>
      </w:r>
      <w:r>
        <w:rPr>
          <w:sz w:val="22"/>
        </w:rPr>
        <w:t>surviving</w:t>
      </w:r>
      <w:r>
        <w:rPr>
          <w:spacing w:val="-3"/>
          <w:sz w:val="22"/>
        </w:rPr>
        <w:t> </w:t>
      </w:r>
      <w:r>
        <w:rPr>
          <w:spacing w:val="-2"/>
          <w:sz w:val="22"/>
        </w:rPr>
        <w:t>spouse;</w:t>
      </w:r>
    </w:p>
    <w:p>
      <w:pPr>
        <w:pStyle w:val="ListParagraph"/>
        <w:numPr>
          <w:ilvl w:val="2"/>
          <w:numId w:val="4"/>
        </w:numPr>
        <w:tabs>
          <w:tab w:pos="840" w:val="left" w:leader="none"/>
          <w:tab w:pos="841" w:val="left" w:leader="none"/>
        </w:tabs>
        <w:spacing w:line="268" w:lineRule="exact" w:before="0" w:after="0"/>
        <w:ind w:left="840" w:right="0" w:hanging="361"/>
        <w:jc w:val="left"/>
        <w:rPr>
          <w:rFonts w:ascii="Symbol" w:hAnsi="Symbol"/>
          <w:sz w:val="22"/>
        </w:rPr>
      </w:pPr>
      <w:r>
        <w:rPr>
          <w:sz w:val="22"/>
        </w:rPr>
        <w:t>Transfer</w:t>
      </w:r>
      <w:r>
        <w:rPr>
          <w:spacing w:val="-2"/>
          <w:sz w:val="22"/>
        </w:rPr>
        <w:t> </w:t>
      </w:r>
      <w:r>
        <w:rPr>
          <w:sz w:val="22"/>
        </w:rPr>
        <w:t>of</w:t>
      </w:r>
      <w:r>
        <w:rPr>
          <w:spacing w:val="-2"/>
          <w:sz w:val="22"/>
        </w:rPr>
        <w:t> </w:t>
      </w:r>
      <w:r>
        <w:rPr>
          <w:sz w:val="22"/>
        </w:rPr>
        <w:t>property</w:t>
      </w:r>
      <w:r>
        <w:rPr>
          <w:spacing w:val="-5"/>
          <w:sz w:val="22"/>
        </w:rPr>
        <w:t> </w:t>
      </w:r>
      <w:r>
        <w:rPr>
          <w:sz w:val="22"/>
        </w:rPr>
        <w:t>to</w:t>
      </w:r>
      <w:r>
        <w:rPr>
          <w:spacing w:val="-6"/>
          <w:sz w:val="22"/>
        </w:rPr>
        <w:t> </w:t>
      </w:r>
      <w:r>
        <w:rPr>
          <w:sz w:val="22"/>
        </w:rPr>
        <w:t>an</w:t>
      </w:r>
      <w:r>
        <w:rPr>
          <w:spacing w:val="-3"/>
          <w:sz w:val="22"/>
        </w:rPr>
        <w:t> </w:t>
      </w:r>
      <w:r>
        <w:rPr>
          <w:spacing w:val="-2"/>
          <w:sz w:val="22"/>
        </w:rPr>
        <w:t>heir(s);</w:t>
      </w:r>
    </w:p>
    <w:p>
      <w:pPr>
        <w:pStyle w:val="ListParagraph"/>
        <w:numPr>
          <w:ilvl w:val="2"/>
          <w:numId w:val="4"/>
        </w:numPr>
        <w:tabs>
          <w:tab w:pos="840" w:val="left" w:leader="none"/>
          <w:tab w:pos="841" w:val="left" w:leader="none"/>
        </w:tabs>
        <w:spacing w:line="268" w:lineRule="exact" w:before="0" w:after="0"/>
        <w:ind w:left="840" w:right="0" w:hanging="361"/>
        <w:jc w:val="left"/>
        <w:rPr>
          <w:rFonts w:ascii="Symbol" w:hAnsi="Symbol"/>
          <w:sz w:val="22"/>
        </w:rPr>
      </w:pPr>
      <w:r>
        <w:rPr>
          <w:sz w:val="22"/>
        </w:rPr>
        <w:t>Transfer</w:t>
      </w:r>
      <w:r>
        <w:rPr>
          <w:spacing w:val="-4"/>
          <w:sz w:val="22"/>
        </w:rPr>
        <w:t> </w:t>
      </w:r>
      <w:r>
        <w:rPr>
          <w:sz w:val="22"/>
        </w:rPr>
        <w:t>of</w:t>
      </w:r>
      <w:r>
        <w:rPr>
          <w:spacing w:val="-2"/>
          <w:sz w:val="22"/>
        </w:rPr>
        <w:t> </w:t>
      </w:r>
      <w:r>
        <w:rPr>
          <w:sz w:val="22"/>
        </w:rPr>
        <w:t>property</w:t>
      </w:r>
      <w:r>
        <w:rPr>
          <w:spacing w:val="-6"/>
          <w:sz w:val="22"/>
        </w:rPr>
        <w:t> </w:t>
      </w:r>
      <w:r>
        <w:rPr>
          <w:sz w:val="22"/>
        </w:rPr>
        <w:t>where</w:t>
      </w:r>
      <w:r>
        <w:rPr>
          <w:spacing w:val="-3"/>
          <w:sz w:val="22"/>
        </w:rPr>
        <w:t> </w:t>
      </w:r>
      <w:r>
        <w:rPr>
          <w:sz w:val="22"/>
        </w:rPr>
        <w:t>a</w:t>
      </w:r>
      <w:r>
        <w:rPr>
          <w:spacing w:val="-6"/>
          <w:sz w:val="22"/>
        </w:rPr>
        <w:t> </w:t>
      </w:r>
      <w:r>
        <w:rPr>
          <w:sz w:val="22"/>
        </w:rPr>
        <w:t>spouse</w:t>
      </w:r>
      <w:r>
        <w:rPr>
          <w:spacing w:val="-4"/>
          <w:sz w:val="22"/>
        </w:rPr>
        <w:t> </w:t>
      </w:r>
      <w:r>
        <w:rPr>
          <w:sz w:val="22"/>
        </w:rPr>
        <w:t>becomes</w:t>
      </w:r>
      <w:r>
        <w:rPr>
          <w:spacing w:val="-5"/>
          <w:sz w:val="22"/>
        </w:rPr>
        <w:t> </w:t>
      </w:r>
      <w:r>
        <w:rPr>
          <w:sz w:val="22"/>
        </w:rPr>
        <w:t>the</w:t>
      </w:r>
      <w:r>
        <w:rPr>
          <w:spacing w:val="-4"/>
          <w:sz w:val="22"/>
        </w:rPr>
        <w:t> </w:t>
      </w:r>
      <w:r>
        <w:rPr>
          <w:sz w:val="22"/>
        </w:rPr>
        <w:t>sole</w:t>
      </w:r>
      <w:r>
        <w:rPr>
          <w:spacing w:val="-4"/>
          <w:sz w:val="22"/>
        </w:rPr>
        <w:t> </w:t>
      </w:r>
      <w:r>
        <w:rPr>
          <w:sz w:val="22"/>
        </w:rPr>
        <w:t>owner</w:t>
      </w:r>
      <w:r>
        <w:rPr>
          <w:spacing w:val="-4"/>
          <w:sz w:val="22"/>
        </w:rPr>
        <w:t> </w:t>
      </w:r>
      <w:r>
        <w:rPr>
          <w:sz w:val="22"/>
        </w:rPr>
        <w:t>of</w:t>
      </w:r>
      <w:r>
        <w:rPr>
          <w:spacing w:val="-5"/>
          <w:sz w:val="22"/>
        </w:rPr>
        <w:t> </w:t>
      </w:r>
      <w:r>
        <w:rPr>
          <w:sz w:val="22"/>
        </w:rPr>
        <w:t>the</w:t>
      </w:r>
      <w:r>
        <w:rPr>
          <w:spacing w:val="-5"/>
          <w:sz w:val="22"/>
        </w:rPr>
        <w:t> </w:t>
      </w:r>
      <w:r>
        <w:rPr>
          <w:spacing w:val="-2"/>
          <w:sz w:val="22"/>
        </w:rPr>
        <w:t>property;</w:t>
      </w:r>
    </w:p>
    <w:p>
      <w:pPr>
        <w:pStyle w:val="ListParagraph"/>
        <w:numPr>
          <w:ilvl w:val="2"/>
          <w:numId w:val="4"/>
        </w:numPr>
        <w:tabs>
          <w:tab w:pos="840" w:val="left" w:leader="none"/>
          <w:tab w:pos="841" w:val="left" w:leader="none"/>
        </w:tabs>
        <w:spacing w:line="237" w:lineRule="auto" w:before="0" w:after="0"/>
        <w:ind w:left="840" w:right="158" w:hanging="361"/>
        <w:jc w:val="left"/>
        <w:rPr>
          <w:rFonts w:ascii="Symbol" w:hAnsi="Symbol"/>
          <w:sz w:val="22"/>
        </w:rPr>
      </w:pPr>
      <w:r>
        <w:rPr>
          <w:sz w:val="22"/>
        </w:rPr>
        <w:t>Transfer</w:t>
      </w:r>
      <w:r>
        <w:rPr>
          <w:spacing w:val="-7"/>
          <w:sz w:val="22"/>
        </w:rPr>
        <w:t> </w:t>
      </w:r>
      <w:r>
        <w:rPr>
          <w:sz w:val="22"/>
        </w:rPr>
        <w:t>of</w:t>
      </w:r>
      <w:r>
        <w:rPr>
          <w:spacing w:val="-7"/>
          <w:sz w:val="22"/>
        </w:rPr>
        <w:t> </w:t>
      </w:r>
      <w:r>
        <w:rPr>
          <w:sz w:val="22"/>
        </w:rPr>
        <w:t>property</w:t>
      </w:r>
      <w:r>
        <w:rPr>
          <w:spacing w:val="-10"/>
          <w:sz w:val="22"/>
        </w:rPr>
        <w:t> </w:t>
      </w:r>
      <w:r>
        <w:rPr>
          <w:sz w:val="22"/>
        </w:rPr>
        <w:t>resulting</w:t>
      </w:r>
      <w:r>
        <w:rPr>
          <w:spacing w:val="-8"/>
          <w:sz w:val="22"/>
        </w:rPr>
        <w:t> </w:t>
      </w:r>
      <w:r>
        <w:rPr>
          <w:sz w:val="22"/>
        </w:rPr>
        <w:t>from</w:t>
      </w:r>
      <w:r>
        <w:rPr>
          <w:spacing w:val="-7"/>
          <w:sz w:val="22"/>
        </w:rPr>
        <w:t> </w:t>
      </w:r>
      <w:r>
        <w:rPr>
          <w:sz w:val="22"/>
        </w:rPr>
        <w:t>a</w:t>
      </w:r>
      <w:r>
        <w:rPr>
          <w:spacing w:val="-8"/>
          <w:sz w:val="22"/>
        </w:rPr>
        <w:t> </w:t>
      </w:r>
      <w:r>
        <w:rPr>
          <w:sz w:val="22"/>
        </w:rPr>
        <w:t>decree</w:t>
      </w:r>
      <w:r>
        <w:rPr>
          <w:spacing w:val="-8"/>
          <w:sz w:val="22"/>
        </w:rPr>
        <w:t> </w:t>
      </w:r>
      <w:r>
        <w:rPr>
          <w:sz w:val="22"/>
        </w:rPr>
        <w:t>of</w:t>
      </w:r>
      <w:r>
        <w:rPr>
          <w:spacing w:val="-7"/>
          <w:sz w:val="22"/>
        </w:rPr>
        <w:t> </w:t>
      </w:r>
      <w:r>
        <w:rPr>
          <w:sz w:val="22"/>
        </w:rPr>
        <w:t>dissolution</w:t>
      </w:r>
      <w:r>
        <w:rPr>
          <w:spacing w:val="-8"/>
          <w:sz w:val="22"/>
        </w:rPr>
        <w:t> </w:t>
      </w:r>
      <w:r>
        <w:rPr>
          <w:sz w:val="22"/>
        </w:rPr>
        <w:t>of</w:t>
      </w:r>
      <w:r>
        <w:rPr>
          <w:spacing w:val="-9"/>
          <w:sz w:val="22"/>
        </w:rPr>
        <w:t> </w:t>
      </w:r>
      <w:r>
        <w:rPr>
          <w:sz w:val="22"/>
        </w:rPr>
        <w:t>marriage,</w:t>
      </w:r>
      <w:r>
        <w:rPr>
          <w:spacing w:val="-7"/>
          <w:sz w:val="22"/>
        </w:rPr>
        <w:t> </w:t>
      </w:r>
      <w:r>
        <w:rPr>
          <w:sz w:val="22"/>
        </w:rPr>
        <w:t>legal</w:t>
      </w:r>
      <w:r>
        <w:rPr>
          <w:spacing w:val="-9"/>
          <w:sz w:val="22"/>
        </w:rPr>
        <w:t> </w:t>
      </w:r>
      <w:r>
        <w:rPr>
          <w:sz w:val="22"/>
        </w:rPr>
        <w:t>separation</w:t>
      </w:r>
      <w:r>
        <w:rPr>
          <w:spacing w:val="-8"/>
          <w:sz w:val="22"/>
        </w:rPr>
        <w:t> </w:t>
      </w:r>
      <w:r>
        <w:rPr>
          <w:sz w:val="22"/>
        </w:rPr>
        <w:t>or from incidental property settlement agreement;</w:t>
      </w:r>
    </w:p>
    <w:p>
      <w:pPr>
        <w:pStyle w:val="ListParagraph"/>
        <w:numPr>
          <w:ilvl w:val="2"/>
          <w:numId w:val="4"/>
        </w:numPr>
        <w:tabs>
          <w:tab w:pos="840" w:val="left" w:leader="none"/>
          <w:tab w:pos="841" w:val="left" w:leader="none"/>
        </w:tabs>
        <w:spacing w:line="237" w:lineRule="auto" w:before="4" w:after="0"/>
        <w:ind w:left="840" w:right="155" w:hanging="361"/>
        <w:jc w:val="left"/>
        <w:rPr>
          <w:rFonts w:ascii="Symbol" w:hAnsi="Symbol"/>
          <w:sz w:val="22"/>
        </w:rPr>
      </w:pPr>
      <w:r>
        <w:rPr/>
        <w:pict>
          <v:shape style="position:absolute;margin-left:90.065002pt;margin-top:31.080896pt;width:395.3pt;height:419pt;mso-position-horizontal-relative:page;mso-position-vertical-relative:paragraph;z-index:-17732608" id="docshape29" coordorigin="1801,622" coordsize="7906,8380" path="m4498,7885l4492,7812,4477,7734,4455,7651,4432,7582,4403,7510,4367,7435,4325,7357,4276,7276,4237,7217,4200,7166,4200,7852,4197,7908,4186,7965,4167,8023,4138,8082,4097,8145,4044,8211,3979,8280,3674,8586,2216,7128,2517,6827,2598,6751,2672,6691,2740,6648,2801,6621,2868,6607,2941,6603,3020,6610,3105,6627,3195,6657,3255,6682,3317,6715,3380,6753,3446,6798,3514,6850,3584,6908,3656,6973,3729,7044,3789,7105,3845,7166,3896,7225,3943,7282,3986,7339,4025,7394,4059,7448,4101,7523,4136,7595,4163,7665,4183,7732,4196,7796,4200,7852,4200,7166,4194,7158,4148,7097,4098,7037,4045,6976,3989,6914,3929,6853,3865,6791,3801,6732,3737,6677,3673,6626,3643,6603,3609,6578,3546,6533,3482,6492,3419,6454,3346,6416,3274,6384,3203,6357,3132,6335,3062,6318,2992,6306,2923,6299,2850,6297,2779,6304,2709,6319,2642,6341,2577,6372,2528,6400,2476,6437,2420,6483,2359,6537,2294,6599,1801,7093,3710,9001,4124,8586,4226,8484,4287,8419,4341,8354,4386,8288,4424,8221,4454,8155,4476,8088,4491,8022,4498,7954,4498,7885xm6418,6292l6056,6165,5650,6022,5561,5993,5475,5969,5393,5950,5365,5944,5314,5935,5239,5925,5193,5923,5143,5926,5089,5934,5030,5944,5073,5875,5109,5805,5136,5736,5154,5667,5164,5598,5165,5530,5157,5463,5139,5385,5111,5308,5075,5234,5030,5161,4976,5090,4956,5068,4913,5022,4872,4984,4872,5541,4868,5597,4854,5651,4830,5708,4794,5766,4747,5827,4687,5891,4280,6298,3649,5667,4102,5214,4166,5157,4229,5113,4293,5084,4358,5069,4422,5068,4501,5083,4577,5113,4649,5157,4718,5217,4761,5264,4797,5315,4827,5369,4851,5426,4867,5484,4872,5541,4872,4984,4849,4962,4782,4910,4713,4864,4641,4826,4566,4794,4474,4765,4386,4753,4303,4754,4225,4770,4163,4795,4098,4832,4030,4880,3958,4940,3883,5011,3248,5645,5157,7554,5346,7364,4499,6517,4718,6298,4753,6264,4783,6236,4810,6215,4833,6201,4863,6187,4896,6176,4932,6169,4971,6165,5014,6165,5066,6170,5125,6180,5194,6197,5256,6214,5328,6235,5407,6260,5496,6289,6180,6530,6418,6292xm7780,4930l7415,4735,6555,4281,6555,4588,6070,5073,6030,5001,5989,4930,5748,4499,5708,4428,5668,4356,5629,4290,5590,4226,5550,4162,5509,4099,5467,4037,5424,3975,5380,3914,5436,3950,5498,3988,5564,4028,5635,4070,5792,4160,6555,4588,6555,4281,5862,3914,5286,3608,5082,3812,5277,4162,5316,4232,5701,4930,6207,5849,6441,6270,6642,6068,6565,5935,6298,5467,6221,5333,6481,5073,6820,4735,7173,4930,7565,5146,7780,4930xm8131,4579l7264,3713,7936,3041,7711,2815,7039,3487,6448,2896,7224,2120,6999,1895,6033,2861,7941,4769,8131,4579xm9707,3003l8024,1320,8497,847,8272,622,7138,1756,7363,1981,7834,1510,9517,3193,9707,3003xe" filled="true" fillcolor="#c0c0c0" stroked="false">
            <v:path arrowok="t"/>
            <v:fill opacity="32896f" type="solid"/>
            <w10:wrap type="none"/>
          </v:shape>
        </w:pict>
      </w:r>
      <w:r>
        <w:rPr>
          <w:sz w:val="22"/>
        </w:rPr>
        <w:t>Transfer</w:t>
      </w:r>
      <w:r>
        <w:rPr>
          <w:spacing w:val="-3"/>
          <w:sz w:val="22"/>
        </w:rPr>
        <w:t> </w:t>
      </w:r>
      <w:r>
        <w:rPr>
          <w:sz w:val="22"/>
        </w:rPr>
        <w:t>to</w:t>
      </w:r>
      <w:r>
        <w:rPr>
          <w:spacing w:val="-2"/>
          <w:sz w:val="22"/>
        </w:rPr>
        <w:t> </w:t>
      </w:r>
      <w:r>
        <w:rPr>
          <w:sz w:val="22"/>
        </w:rPr>
        <w:t>a</w:t>
      </w:r>
      <w:r>
        <w:rPr>
          <w:spacing w:val="-2"/>
          <w:sz w:val="22"/>
        </w:rPr>
        <w:t> </w:t>
      </w:r>
      <w:r>
        <w:rPr>
          <w:sz w:val="22"/>
        </w:rPr>
        <w:t>Family</w:t>
      </w:r>
      <w:r>
        <w:rPr>
          <w:spacing w:val="-1"/>
          <w:sz w:val="22"/>
        </w:rPr>
        <w:t> </w:t>
      </w:r>
      <w:r>
        <w:rPr>
          <w:sz w:val="22"/>
        </w:rPr>
        <w:t>Trust in</w:t>
      </w:r>
      <w:r>
        <w:rPr>
          <w:spacing w:val="-2"/>
          <w:sz w:val="22"/>
        </w:rPr>
        <w:t> </w:t>
      </w:r>
      <w:r>
        <w:rPr>
          <w:sz w:val="22"/>
        </w:rPr>
        <w:t>which</w:t>
      </w:r>
      <w:r>
        <w:rPr>
          <w:spacing w:val="-2"/>
          <w:sz w:val="22"/>
        </w:rPr>
        <w:t> </w:t>
      </w:r>
      <w:r>
        <w:rPr>
          <w:sz w:val="22"/>
        </w:rPr>
        <w:t>the</w:t>
      </w:r>
      <w:r>
        <w:rPr>
          <w:spacing w:val="-4"/>
          <w:sz w:val="22"/>
        </w:rPr>
        <w:t> </w:t>
      </w:r>
      <w:r>
        <w:rPr>
          <w:sz w:val="22"/>
        </w:rPr>
        <w:t>borrower</w:t>
      </w:r>
      <w:r>
        <w:rPr>
          <w:spacing w:val="-3"/>
          <w:sz w:val="22"/>
        </w:rPr>
        <w:t> </w:t>
      </w:r>
      <w:r>
        <w:rPr>
          <w:sz w:val="22"/>
        </w:rPr>
        <w:t>remains</w:t>
      </w:r>
      <w:r>
        <w:rPr>
          <w:spacing w:val="-4"/>
          <w:sz w:val="22"/>
        </w:rPr>
        <w:t> </w:t>
      </w:r>
      <w:r>
        <w:rPr>
          <w:sz w:val="22"/>
        </w:rPr>
        <w:t>the</w:t>
      </w:r>
      <w:r>
        <w:rPr>
          <w:spacing w:val="-2"/>
          <w:sz w:val="22"/>
        </w:rPr>
        <w:t> </w:t>
      </w:r>
      <w:r>
        <w:rPr>
          <w:sz w:val="22"/>
        </w:rPr>
        <w:t>beneficiary</w:t>
      </w:r>
      <w:r>
        <w:rPr>
          <w:spacing w:val="-4"/>
          <w:sz w:val="22"/>
        </w:rPr>
        <w:t> </w:t>
      </w:r>
      <w:r>
        <w:rPr>
          <w:sz w:val="22"/>
        </w:rPr>
        <w:t>and</w:t>
      </w:r>
      <w:r>
        <w:rPr>
          <w:spacing w:val="-2"/>
          <w:sz w:val="22"/>
        </w:rPr>
        <w:t> </w:t>
      </w:r>
      <w:r>
        <w:rPr>
          <w:sz w:val="22"/>
        </w:rPr>
        <w:t>occupant</w:t>
      </w:r>
      <w:r>
        <w:rPr>
          <w:spacing w:val="-3"/>
          <w:sz w:val="22"/>
        </w:rPr>
        <w:t> </w:t>
      </w:r>
      <w:r>
        <w:rPr>
          <w:sz w:val="22"/>
        </w:rPr>
        <w:t>of </w:t>
      </w:r>
      <w:r>
        <w:rPr>
          <w:spacing w:val="-2"/>
          <w:sz w:val="22"/>
        </w:rPr>
        <w:t>property.</w:t>
      </w:r>
    </w:p>
    <w:p>
      <w:pPr>
        <w:pStyle w:val="BodyText"/>
      </w:pPr>
    </w:p>
    <w:p>
      <w:pPr>
        <w:pStyle w:val="BodyText"/>
        <w:ind w:left="120" w:right="156"/>
        <w:jc w:val="both"/>
      </w:pPr>
      <w:r>
        <w:rPr/>
        <w:t>All transfers must be approved by the City. Any person that would like to assume the loan must income qualify and utilize the assisted property as their primary residence. If such person does not meet the income requirements of the program, does not utilize the property as their primary residence, or does not meet any other condition of the loan, then the full loan amount is due immediately and payable, in full, to the City.</w:t>
      </w:r>
    </w:p>
    <w:p>
      <w:pPr>
        <w:pStyle w:val="BodyText"/>
        <w:spacing w:before="1"/>
      </w:pPr>
    </w:p>
    <w:p>
      <w:pPr>
        <w:pStyle w:val="Heading5"/>
      </w:pPr>
      <w:r>
        <w:rPr/>
        <w:t>Assistance</w:t>
      </w:r>
      <w:r>
        <w:rPr>
          <w:spacing w:val="-7"/>
        </w:rPr>
        <w:t> </w:t>
      </w:r>
      <w:r>
        <w:rPr>
          <w:spacing w:val="-2"/>
        </w:rPr>
        <w:t>Limits</w:t>
      </w:r>
    </w:p>
    <w:p>
      <w:pPr>
        <w:pStyle w:val="BodyText"/>
        <w:spacing w:before="50"/>
        <w:ind w:left="120" w:right="156"/>
        <w:jc w:val="both"/>
      </w:pPr>
      <w:r>
        <w:rPr/>
        <w:t>The maximum amount of assistance provided shall not exceed 75% of HOME Homeownership Value Limits for new construction. The City Manager or designee may on a case by case basis administratively approve (without additional approval of City Council committee or City Council) additional assistance not to exceed 10% above the maximum limit for any owner-occupied reconstruction project under the following circumstances:</w:t>
      </w:r>
    </w:p>
    <w:p>
      <w:pPr>
        <w:pStyle w:val="ListParagraph"/>
        <w:numPr>
          <w:ilvl w:val="2"/>
          <w:numId w:val="4"/>
        </w:numPr>
        <w:tabs>
          <w:tab w:pos="840" w:val="left" w:leader="none"/>
          <w:tab w:pos="841" w:val="left" w:leader="none"/>
        </w:tabs>
        <w:spacing w:line="237" w:lineRule="auto" w:before="4" w:after="0"/>
        <w:ind w:left="841" w:right="154" w:hanging="361"/>
        <w:jc w:val="left"/>
        <w:rPr>
          <w:rFonts w:ascii="Symbol" w:hAnsi="Symbol"/>
          <w:sz w:val="22"/>
        </w:rPr>
      </w:pPr>
      <w:r>
        <w:rPr>
          <w:sz w:val="22"/>
        </w:rPr>
        <w:t>The</w:t>
      </w:r>
      <w:r>
        <w:rPr>
          <w:spacing w:val="-2"/>
          <w:sz w:val="22"/>
        </w:rPr>
        <w:t> </w:t>
      </w:r>
      <w:r>
        <w:rPr>
          <w:sz w:val="22"/>
        </w:rPr>
        <w:t>need</w:t>
      </w:r>
      <w:r>
        <w:rPr>
          <w:spacing w:val="-2"/>
          <w:sz w:val="22"/>
        </w:rPr>
        <w:t> </w:t>
      </w:r>
      <w:r>
        <w:rPr>
          <w:sz w:val="22"/>
        </w:rPr>
        <w:t>to</w:t>
      </w:r>
      <w:r>
        <w:rPr>
          <w:spacing w:val="-4"/>
          <w:sz w:val="22"/>
        </w:rPr>
        <w:t> </w:t>
      </w:r>
      <w:r>
        <w:rPr>
          <w:sz w:val="22"/>
        </w:rPr>
        <w:t>provide</w:t>
      </w:r>
      <w:r>
        <w:rPr>
          <w:spacing w:val="-4"/>
          <w:sz w:val="22"/>
        </w:rPr>
        <w:t> </w:t>
      </w:r>
      <w:r>
        <w:rPr>
          <w:sz w:val="22"/>
        </w:rPr>
        <w:t>reasonable</w:t>
      </w:r>
      <w:r>
        <w:rPr>
          <w:spacing w:val="-2"/>
          <w:sz w:val="22"/>
        </w:rPr>
        <w:t> </w:t>
      </w:r>
      <w:r>
        <w:rPr>
          <w:sz w:val="22"/>
        </w:rPr>
        <w:t>accommodations</w:t>
      </w:r>
      <w:r>
        <w:rPr>
          <w:spacing w:val="-4"/>
          <w:sz w:val="22"/>
        </w:rPr>
        <w:t> </w:t>
      </w:r>
      <w:r>
        <w:rPr>
          <w:sz w:val="22"/>
        </w:rPr>
        <w:t>in</w:t>
      </w:r>
      <w:r>
        <w:rPr>
          <w:spacing w:val="-2"/>
          <w:sz w:val="22"/>
        </w:rPr>
        <w:t> </w:t>
      </w:r>
      <w:r>
        <w:rPr>
          <w:sz w:val="22"/>
        </w:rPr>
        <w:t>accordance</w:t>
      </w:r>
      <w:r>
        <w:rPr>
          <w:spacing w:val="-2"/>
          <w:sz w:val="22"/>
        </w:rPr>
        <w:t> </w:t>
      </w:r>
      <w:r>
        <w:rPr>
          <w:sz w:val="22"/>
        </w:rPr>
        <w:t>with</w:t>
      </w:r>
      <w:r>
        <w:rPr>
          <w:spacing w:val="-4"/>
          <w:sz w:val="22"/>
        </w:rPr>
        <w:t> </w:t>
      </w:r>
      <w:r>
        <w:rPr>
          <w:sz w:val="22"/>
        </w:rPr>
        <w:t>the</w:t>
      </w:r>
      <w:r>
        <w:rPr>
          <w:spacing w:val="-2"/>
          <w:sz w:val="22"/>
        </w:rPr>
        <w:t> </w:t>
      </w:r>
      <w:r>
        <w:rPr>
          <w:sz w:val="22"/>
        </w:rPr>
        <w:t>Americans</w:t>
      </w:r>
      <w:r>
        <w:rPr>
          <w:spacing w:val="-2"/>
          <w:sz w:val="22"/>
        </w:rPr>
        <w:t> </w:t>
      </w:r>
      <w:r>
        <w:rPr>
          <w:sz w:val="22"/>
        </w:rPr>
        <w:t>with Disabilities Act or other local, state or federal law;</w:t>
      </w:r>
    </w:p>
    <w:p>
      <w:pPr>
        <w:pStyle w:val="ListParagraph"/>
        <w:numPr>
          <w:ilvl w:val="2"/>
          <w:numId w:val="4"/>
        </w:numPr>
        <w:tabs>
          <w:tab w:pos="841" w:val="left" w:leader="none"/>
          <w:tab w:pos="842" w:val="left" w:leader="none"/>
        </w:tabs>
        <w:spacing w:line="268" w:lineRule="exact" w:before="1" w:after="0"/>
        <w:ind w:left="841" w:right="0" w:hanging="361"/>
        <w:jc w:val="left"/>
        <w:rPr>
          <w:rFonts w:ascii="Symbol" w:hAnsi="Symbol"/>
          <w:sz w:val="22"/>
        </w:rPr>
      </w:pPr>
      <w:r>
        <w:rPr>
          <w:sz w:val="22"/>
        </w:rPr>
        <w:t>Unanticipated</w:t>
      </w:r>
      <w:r>
        <w:rPr>
          <w:spacing w:val="-8"/>
          <w:sz w:val="22"/>
        </w:rPr>
        <w:t> </w:t>
      </w:r>
      <w:r>
        <w:rPr>
          <w:sz w:val="22"/>
        </w:rPr>
        <w:t>costs</w:t>
      </w:r>
      <w:r>
        <w:rPr>
          <w:spacing w:val="-7"/>
          <w:sz w:val="22"/>
        </w:rPr>
        <w:t> </w:t>
      </w:r>
      <w:r>
        <w:rPr>
          <w:sz w:val="22"/>
        </w:rPr>
        <w:t>deemed</w:t>
      </w:r>
      <w:r>
        <w:rPr>
          <w:spacing w:val="-6"/>
          <w:sz w:val="22"/>
        </w:rPr>
        <w:t> </w:t>
      </w:r>
      <w:r>
        <w:rPr>
          <w:sz w:val="22"/>
        </w:rPr>
        <w:t>necessary</w:t>
      </w:r>
      <w:r>
        <w:rPr>
          <w:spacing w:val="-7"/>
          <w:sz w:val="22"/>
        </w:rPr>
        <w:t> </w:t>
      </w:r>
      <w:r>
        <w:rPr>
          <w:sz w:val="22"/>
        </w:rPr>
        <w:t>to</w:t>
      </w:r>
      <w:r>
        <w:rPr>
          <w:spacing w:val="-9"/>
          <w:sz w:val="22"/>
        </w:rPr>
        <w:t> </w:t>
      </w:r>
      <w:r>
        <w:rPr>
          <w:sz w:val="22"/>
        </w:rPr>
        <w:t>meet</w:t>
      </w:r>
      <w:r>
        <w:rPr>
          <w:spacing w:val="-8"/>
          <w:sz w:val="22"/>
        </w:rPr>
        <w:t> </w:t>
      </w:r>
      <w:r>
        <w:rPr>
          <w:sz w:val="22"/>
        </w:rPr>
        <w:t>applicable</w:t>
      </w:r>
      <w:r>
        <w:rPr>
          <w:spacing w:val="-6"/>
          <w:sz w:val="22"/>
        </w:rPr>
        <w:t> </w:t>
      </w:r>
      <w:r>
        <w:rPr>
          <w:sz w:val="22"/>
        </w:rPr>
        <w:t>City</w:t>
      </w:r>
      <w:r>
        <w:rPr>
          <w:spacing w:val="-4"/>
          <w:sz w:val="22"/>
        </w:rPr>
        <w:t> </w:t>
      </w:r>
      <w:r>
        <w:rPr>
          <w:spacing w:val="-2"/>
          <w:sz w:val="22"/>
        </w:rPr>
        <w:t>codes;</w:t>
      </w:r>
    </w:p>
    <w:p>
      <w:pPr>
        <w:pStyle w:val="ListParagraph"/>
        <w:numPr>
          <w:ilvl w:val="2"/>
          <w:numId w:val="4"/>
        </w:numPr>
        <w:tabs>
          <w:tab w:pos="841" w:val="left" w:leader="none"/>
          <w:tab w:pos="842" w:val="left" w:leader="none"/>
        </w:tabs>
        <w:spacing w:line="268" w:lineRule="exact" w:before="0" w:after="0"/>
        <w:ind w:left="841" w:right="0" w:hanging="361"/>
        <w:jc w:val="left"/>
        <w:rPr>
          <w:rFonts w:ascii="Symbol" w:hAnsi="Symbol"/>
          <w:sz w:val="22"/>
        </w:rPr>
      </w:pPr>
      <w:r>
        <w:rPr>
          <w:sz w:val="22"/>
        </w:rPr>
        <w:t>Unforeseen</w:t>
      </w:r>
      <w:r>
        <w:rPr>
          <w:spacing w:val="-11"/>
          <w:sz w:val="22"/>
        </w:rPr>
        <w:t> </w:t>
      </w:r>
      <w:r>
        <w:rPr>
          <w:sz w:val="22"/>
        </w:rPr>
        <w:t>environmental</w:t>
      </w:r>
      <w:r>
        <w:rPr>
          <w:spacing w:val="-9"/>
          <w:sz w:val="22"/>
        </w:rPr>
        <w:t> </w:t>
      </w:r>
      <w:r>
        <w:rPr>
          <w:sz w:val="22"/>
        </w:rPr>
        <w:t>issues;</w:t>
      </w:r>
      <w:r>
        <w:rPr>
          <w:spacing w:val="-7"/>
          <w:sz w:val="22"/>
        </w:rPr>
        <w:t> </w:t>
      </w:r>
      <w:r>
        <w:rPr>
          <w:spacing w:val="-5"/>
          <w:sz w:val="22"/>
        </w:rPr>
        <w:t>and</w:t>
      </w:r>
    </w:p>
    <w:p>
      <w:pPr>
        <w:pStyle w:val="ListParagraph"/>
        <w:numPr>
          <w:ilvl w:val="2"/>
          <w:numId w:val="4"/>
        </w:numPr>
        <w:tabs>
          <w:tab w:pos="841" w:val="left" w:leader="none"/>
          <w:tab w:pos="842" w:val="left" w:leader="none"/>
        </w:tabs>
        <w:spacing w:line="269" w:lineRule="exact" w:before="0" w:after="0"/>
        <w:ind w:left="841" w:right="0" w:hanging="361"/>
        <w:jc w:val="left"/>
        <w:rPr>
          <w:rFonts w:ascii="Symbol" w:hAnsi="Symbol"/>
          <w:sz w:val="22"/>
        </w:rPr>
      </w:pPr>
      <w:r>
        <w:rPr>
          <w:sz w:val="22"/>
        </w:rPr>
        <w:t>Addressing</w:t>
      </w:r>
      <w:r>
        <w:rPr>
          <w:spacing w:val="-6"/>
          <w:sz w:val="22"/>
        </w:rPr>
        <w:t> </w:t>
      </w:r>
      <w:r>
        <w:rPr>
          <w:sz w:val="22"/>
        </w:rPr>
        <w:t>issue</w:t>
      </w:r>
      <w:r>
        <w:rPr>
          <w:spacing w:val="-6"/>
          <w:sz w:val="22"/>
        </w:rPr>
        <w:t> </w:t>
      </w:r>
      <w:r>
        <w:rPr>
          <w:sz w:val="22"/>
        </w:rPr>
        <w:t>that</w:t>
      </w:r>
      <w:r>
        <w:rPr>
          <w:spacing w:val="-5"/>
          <w:sz w:val="22"/>
        </w:rPr>
        <w:t> </w:t>
      </w:r>
      <w:r>
        <w:rPr>
          <w:sz w:val="22"/>
        </w:rPr>
        <w:t>threaten</w:t>
      </w:r>
      <w:r>
        <w:rPr>
          <w:spacing w:val="-4"/>
          <w:sz w:val="22"/>
        </w:rPr>
        <w:t> </w:t>
      </w:r>
      <w:r>
        <w:rPr>
          <w:sz w:val="22"/>
        </w:rPr>
        <w:t>life,</w:t>
      </w:r>
      <w:r>
        <w:rPr>
          <w:spacing w:val="-5"/>
          <w:sz w:val="22"/>
        </w:rPr>
        <w:t> </w:t>
      </w:r>
      <w:r>
        <w:rPr>
          <w:sz w:val="22"/>
        </w:rPr>
        <w:t>health,</w:t>
      </w:r>
      <w:r>
        <w:rPr>
          <w:spacing w:val="-2"/>
          <w:sz w:val="22"/>
        </w:rPr>
        <w:t> </w:t>
      </w:r>
      <w:r>
        <w:rPr>
          <w:sz w:val="22"/>
        </w:rPr>
        <w:t>safety</w:t>
      </w:r>
      <w:r>
        <w:rPr>
          <w:spacing w:val="-5"/>
          <w:sz w:val="22"/>
        </w:rPr>
        <w:t> </w:t>
      </w:r>
      <w:r>
        <w:rPr>
          <w:sz w:val="22"/>
        </w:rPr>
        <w:t>and</w:t>
      </w:r>
      <w:r>
        <w:rPr>
          <w:spacing w:val="-4"/>
          <w:sz w:val="22"/>
        </w:rPr>
        <w:t> </w:t>
      </w:r>
      <w:r>
        <w:rPr>
          <w:sz w:val="22"/>
        </w:rPr>
        <w:t>welfare</w:t>
      </w:r>
      <w:r>
        <w:rPr>
          <w:spacing w:val="-6"/>
          <w:sz w:val="22"/>
        </w:rPr>
        <w:t> </w:t>
      </w:r>
      <w:r>
        <w:rPr>
          <w:sz w:val="22"/>
        </w:rPr>
        <w:t>of</w:t>
      </w:r>
      <w:r>
        <w:rPr>
          <w:spacing w:val="-5"/>
          <w:sz w:val="22"/>
        </w:rPr>
        <w:t> </w:t>
      </w:r>
      <w:r>
        <w:rPr>
          <w:sz w:val="22"/>
        </w:rPr>
        <w:t>the</w:t>
      </w:r>
      <w:r>
        <w:rPr>
          <w:spacing w:val="-5"/>
          <w:sz w:val="22"/>
        </w:rPr>
        <w:t> </w:t>
      </w:r>
      <w:r>
        <w:rPr>
          <w:spacing w:val="-2"/>
          <w:sz w:val="22"/>
        </w:rPr>
        <w:t>public.</w:t>
      </w:r>
    </w:p>
    <w:p>
      <w:pPr>
        <w:pStyle w:val="BodyText"/>
        <w:spacing w:before="7"/>
        <w:rPr>
          <w:sz w:val="21"/>
        </w:rPr>
      </w:pPr>
    </w:p>
    <w:p>
      <w:pPr>
        <w:pStyle w:val="BodyText"/>
        <w:spacing w:before="1"/>
        <w:ind w:left="121" w:right="154"/>
        <w:jc w:val="both"/>
      </w:pPr>
      <w:r>
        <w:rPr/>
        <w:t>Home Reconstruction Program loan funds may be used to complete project-related hard costs such as demolition and construction costs and designated soft costs of architectural and engineering fees. All other project-related soft costs shall not be included as part of the loan provided to the applicant. These costs may be provided by the City as part of its delivery costs.</w:t>
      </w:r>
    </w:p>
    <w:p>
      <w:pPr>
        <w:pStyle w:val="BodyText"/>
        <w:spacing w:before="10"/>
        <w:rPr>
          <w:sz w:val="21"/>
        </w:rPr>
      </w:pPr>
    </w:p>
    <w:p>
      <w:pPr>
        <w:pStyle w:val="Heading5"/>
        <w:spacing w:before="1"/>
        <w:ind w:left="121"/>
      </w:pPr>
      <w:r>
        <w:rPr/>
        <w:t>Credit</w:t>
      </w:r>
      <w:r>
        <w:rPr>
          <w:spacing w:val="-7"/>
        </w:rPr>
        <w:t> </w:t>
      </w:r>
      <w:r>
        <w:rPr/>
        <w:t>and</w:t>
      </w:r>
      <w:r>
        <w:rPr>
          <w:spacing w:val="-6"/>
        </w:rPr>
        <w:t> </w:t>
      </w:r>
      <w:r>
        <w:rPr/>
        <w:t>Underwriting</w:t>
      </w:r>
      <w:r>
        <w:rPr>
          <w:spacing w:val="-4"/>
        </w:rPr>
        <w:t> </w:t>
      </w:r>
      <w:r>
        <w:rPr>
          <w:spacing w:val="-2"/>
        </w:rPr>
        <w:t>Standards</w:t>
      </w:r>
    </w:p>
    <w:p>
      <w:pPr>
        <w:pStyle w:val="BodyText"/>
        <w:spacing w:before="51"/>
        <w:ind w:left="121"/>
        <w:jc w:val="both"/>
      </w:pPr>
      <w:r>
        <w:rPr/>
        <w:t>The</w:t>
      </w:r>
      <w:r>
        <w:rPr>
          <w:spacing w:val="-16"/>
        </w:rPr>
        <w:t> </w:t>
      </w:r>
      <w:r>
        <w:rPr/>
        <w:t>following</w:t>
      </w:r>
      <w:r>
        <w:rPr>
          <w:spacing w:val="-15"/>
        </w:rPr>
        <w:t> </w:t>
      </w:r>
      <w:r>
        <w:rPr/>
        <w:t>are</w:t>
      </w:r>
      <w:r>
        <w:rPr>
          <w:spacing w:val="-15"/>
        </w:rPr>
        <w:t> </w:t>
      </w:r>
      <w:r>
        <w:rPr/>
        <w:t>the</w:t>
      </w:r>
      <w:r>
        <w:rPr>
          <w:spacing w:val="-16"/>
        </w:rPr>
        <w:t> </w:t>
      </w:r>
      <w:r>
        <w:rPr/>
        <w:t>credit</w:t>
      </w:r>
      <w:r>
        <w:rPr>
          <w:spacing w:val="-15"/>
        </w:rPr>
        <w:t> </w:t>
      </w:r>
      <w:r>
        <w:rPr/>
        <w:t>and</w:t>
      </w:r>
      <w:r>
        <w:rPr>
          <w:spacing w:val="-15"/>
        </w:rPr>
        <w:t> </w:t>
      </w:r>
      <w:r>
        <w:rPr/>
        <w:t>underwriting</w:t>
      </w:r>
      <w:r>
        <w:rPr>
          <w:spacing w:val="-15"/>
        </w:rPr>
        <w:t> </w:t>
      </w:r>
      <w:r>
        <w:rPr/>
        <w:t>standards</w:t>
      </w:r>
      <w:r>
        <w:rPr>
          <w:spacing w:val="-16"/>
        </w:rPr>
        <w:t> </w:t>
      </w:r>
      <w:r>
        <w:rPr/>
        <w:t>for</w:t>
      </w:r>
      <w:r>
        <w:rPr>
          <w:spacing w:val="-15"/>
        </w:rPr>
        <w:t> </w:t>
      </w:r>
      <w:r>
        <w:rPr/>
        <w:t>Home</w:t>
      </w:r>
      <w:r>
        <w:rPr>
          <w:spacing w:val="-15"/>
        </w:rPr>
        <w:t> </w:t>
      </w:r>
      <w:r>
        <w:rPr/>
        <w:t>Reconstruction</w:t>
      </w:r>
      <w:r>
        <w:rPr>
          <w:spacing w:val="-15"/>
        </w:rPr>
        <w:t> </w:t>
      </w:r>
      <w:r>
        <w:rPr/>
        <w:t>Program</w:t>
      </w:r>
      <w:r>
        <w:rPr>
          <w:spacing w:val="-14"/>
        </w:rPr>
        <w:t> </w:t>
      </w:r>
      <w:r>
        <w:rPr>
          <w:spacing w:val="-2"/>
        </w:rPr>
        <w:t>Loans:</w:t>
      </w:r>
    </w:p>
    <w:p>
      <w:pPr>
        <w:pStyle w:val="ListParagraph"/>
        <w:numPr>
          <w:ilvl w:val="2"/>
          <w:numId w:val="4"/>
        </w:numPr>
        <w:tabs>
          <w:tab w:pos="842" w:val="left" w:leader="none"/>
        </w:tabs>
        <w:spacing w:line="237" w:lineRule="auto" w:before="4" w:after="0"/>
        <w:ind w:left="841" w:right="155" w:hanging="361"/>
        <w:jc w:val="both"/>
        <w:rPr>
          <w:rFonts w:ascii="Symbol" w:hAnsi="Symbol"/>
          <w:sz w:val="22"/>
        </w:rPr>
      </w:pPr>
      <w:r>
        <w:rPr>
          <w:sz w:val="22"/>
        </w:rPr>
        <w:t>Chapter</w:t>
      </w:r>
      <w:r>
        <w:rPr>
          <w:spacing w:val="-1"/>
          <w:sz w:val="22"/>
        </w:rPr>
        <w:t> </w:t>
      </w:r>
      <w:r>
        <w:rPr>
          <w:sz w:val="22"/>
        </w:rPr>
        <w:t>7</w:t>
      </w:r>
      <w:r>
        <w:rPr>
          <w:spacing w:val="-5"/>
          <w:sz w:val="22"/>
        </w:rPr>
        <w:t> </w:t>
      </w:r>
      <w:r>
        <w:rPr>
          <w:sz w:val="22"/>
        </w:rPr>
        <w:t>or</w:t>
      </w:r>
      <w:r>
        <w:rPr>
          <w:spacing w:val="-1"/>
          <w:sz w:val="22"/>
        </w:rPr>
        <w:t> </w:t>
      </w:r>
      <w:r>
        <w:rPr>
          <w:sz w:val="22"/>
        </w:rPr>
        <w:t>Chapter</w:t>
      </w:r>
      <w:r>
        <w:rPr>
          <w:spacing w:val="-4"/>
          <w:sz w:val="22"/>
        </w:rPr>
        <w:t> </w:t>
      </w:r>
      <w:r>
        <w:rPr>
          <w:sz w:val="22"/>
        </w:rPr>
        <w:t>13</w:t>
      </w:r>
      <w:r>
        <w:rPr>
          <w:spacing w:val="-5"/>
          <w:sz w:val="22"/>
        </w:rPr>
        <w:t> </w:t>
      </w:r>
      <w:r>
        <w:rPr>
          <w:sz w:val="22"/>
        </w:rPr>
        <w:t>bankruptcy</w:t>
      </w:r>
      <w:r>
        <w:rPr>
          <w:spacing w:val="-2"/>
          <w:sz w:val="22"/>
        </w:rPr>
        <w:t> </w:t>
      </w:r>
      <w:r>
        <w:rPr>
          <w:sz w:val="22"/>
        </w:rPr>
        <w:t>is</w:t>
      </w:r>
      <w:r>
        <w:rPr>
          <w:spacing w:val="-2"/>
          <w:sz w:val="22"/>
        </w:rPr>
        <w:t> </w:t>
      </w:r>
      <w:r>
        <w:rPr>
          <w:sz w:val="22"/>
        </w:rPr>
        <w:t>not</w:t>
      </w:r>
      <w:r>
        <w:rPr>
          <w:spacing w:val="-1"/>
          <w:sz w:val="22"/>
        </w:rPr>
        <w:t> </w:t>
      </w:r>
      <w:r>
        <w:rPr>
          <w:sz w:val="22"/>
        </w:rPr>
        <w:t>allowed</w:t>
      </w:r>
      <w:r>
        <w:rPr>
          <w:spacing w:val="-3"/>
          <w:sz w:val="22"/>
        </w:rPr>
        <w:t> </w:t>
      </w:r>
      <w:r>
        <w:rPr>
          <w:sz w:val="22"/>
        </w:rPr>
        <w:t>if</w:t>
      </w:r>
      <w:r>
        <w:rPr>
          <w:spacing w:val="-1"/>
          <w:sz w:val="22"/>
        </w:rPr>
        <w:t> </w:t>
      </w:r>
      <w:r>
        <w:rPr>
          <w:sz w:val="22"/>
        </w:rPr>
        <w:t>primary</w:t>
      </w:r>
      <w:r>
        <w:rPr>
          <w:spacing w:val="-5"/>
          <w:sz w:val="22"/>
        </w:rPr>
        <w:t> </w:t>
      </w:r>
      <w:r>
        <w:rPr>
          <w:sz w:val="22"/>
        </w:rPr>
        <w:t>or</w:t>
      </w:r>
      <w:r>
        <w:rPr>
          <w:spacing w:val="-1"/>
          <w:sz w:val="22"/>
        </w:rPr>
        <w:t> </w:t>
      </w:r>
      <w:r>
        <w:rPr>
          <w:sz w:val="22"/>
        </w:rPr>
        <w:t>any</w:t>
      </w:r>
      <w:r>
        <w:rPr>
          <w:spacing w:val="-5"/>
          <w:sz w:val="22"/>
        </w:rPr>
        <w:t> </w:t>
      </w:r>
      <w:r>
        <w:rPr>
          <w:sz w:val="22"/>
        </w:rPr>
        <w:t>mortgage</w:t>
      </w:r>
      <w:r>
        <w:rPr>
          <w:spacing w:val="-3"/>
          <w:sz w:val="22"/>
        </w:rPr>
        <w:t> </w:t>
      </w:r>
      <w:r>
        <w:rPr>
          <w:sz w:val="22"/>
        </w:rPr>
        <w:t>is</w:t>
      </w:r>
      <w:r>
        <w:rPr>
          <w:spacing w:val="-2"/>
          <w:sz w:val="22"/>
        </w:rPr>
        <w:t> </w:t>
      </w:r>
      <w:r>
        <w:rPr>
          <w:sz w:val="22"/>
        </w:rPr>
        <w:t>included as a secured creditor on the subject property for which the City will place a lien securing the loan.</w:t>
      </w:r>
    </w:p>
    <w:p>
      <w:pPr>
        <w:pStyle w:val="ListParagraph"/>
        <w:numPr>
          <w:ilvl w:val="2"/>
          <w:numId w:val="4"/>
        </w:numPr>
        <w:tabs>
          <w:tab w:pos="842" w:val="left" w:leader="none"/>
        </w:tabs>
        <w:spacing w:line="237" w:lineRule="auto" w:before="4" w:after="0"/>
        <w:ind w:left="841" w:right="154" w:hanging="360"/>
        <w:jc w:val="both"/>
        <w:rPr>
          <w:rFonts w:ascii="Symbol" w:hAnsi="Symbol"/>
          <w:sz w:val="22"/>
        </w:rPr>
      </w:pPr>
      <w:r>
        <w:rPr>
          <w:sz w:val="22"/>
        </w:rPr>
        <w:t>Properties</w:t>
      </w:r>
      <w:r>
        <w:rPr>
          <w:spacing w:val="-8"/>
          <w:sz w:val="22"/>
        </w:rPr>
        <w:t> </w:t>
      </w:r>
      <w:r>
        <w:rPr>
          <w:sz w:val="22"/>
        </w:rPr>
        <w:t>may</w:t>
      </w:r>
      <w:r>
        <w:rPr>
          <w:spacing w:val="-6"/>
          <w:sz w:val="22"/>
        </w:rPr>
        <w:t> </w:t>
      </w:r>
      <w:r>
        <w:rPr>
          <w:sz w:val="22"/>
        </w:rPr>
        <w:t>not</w:t>
      </w:r>
      <w:r>
        <w:rPr>
          <w:spacing w:val="-6"/>
          <w:sz w:val="22"/>
        </w:rPr>
        <w:t> </w:t>
      </w:r>
      <w:r>
        <w:rPr>
          <w:sz w:val="22"/>
        </w:rPr>
        <w:t>have</w:t>
      </w:r>
      <w:r>
        <w:rPr>
          <w:spacing w:val="-9"/>
          <w:sz w:val="22"/>
        </w:rPr>
        <w:t> </w:t>
      </w:r>
      <w:r>
        <w:rPr>
          <w:sz w:val="22"/>
        </w:rPr>
        <w:t>any</w:t>
      </w:r>
      <w:r>
        <w:rPr>
          <w:spacing w:val="-6"/>
          <w:sz w:val="22"/>
        </w:rPr>
        <w:t> </w:t>
      </w:r>
      <w:r>
        <w:rPr>
          <w:sz w:val="22"/>
        </w:rPr>
        <w:t>outstanding</w:t>
      </w:r>
      <w:r>
        <w:rPr>
          <w:spacing w:val="-6"/>
          <w:sz w:val="22"/>
        </w:rPr>
        <w:t> </w:t>
      </w:r>
      <w:r>
        <w:rPr>
          <w:sz w:val="22"/>
        </w:rPr>
        <w:t>loans</w:t>
      </w:r>
      <w:r>
        <w:rPr>
          <w:spacing w:val="-6"/>
          <w:sz w:val="22"/>
        </w:rPr>
        <w:t> </w:t>
      </w:r>
      <w:r>
        <w:rPr>
          <w:sz w:val="22"/>
        </w:rPr>
        <w:t>on</w:t>
      </w:r>
      <w:r>
        <w:rPr>
          <w:spacing w:val="-6"/>
          <w:sz w:val="22"/>
        </w:rPr>
        <w:t> </w:t>
      </w:r>
      <w:r>
        <w:rPr>
          <w:sz w:val="22"/>
        </w:rPr>
        <w:t>the</w:t>
      </w:r>
      <w:r>
        <w:rPr>
          <w:spacing w:val="-6"/>
          <w:sz w:val="22"/>
        </w:rPr>
        <w:t> </w:t>
      </w:r>
      <w:r>
        <w:rPr>
          <w:sz w:val="22"/>
        </w:rPr>
        <w:t>property.</w:t>
      </w:r>
      <w:r>
        <w:rPr>
          <w:spacing w:val="-6"/>
          <w:sz w:val="22"/>
        </w:rPr>
        <w:t> </w:t>
      </w:r>
      <w:r>
        <w:rPr>
          <w:sz w:val="22"/>
        </w:rPr>
        <w:t>The</w:t>
      </w:r>
      <w:r>
        <w:rPr>
          <w:spacing w:val="-6"/>
          <w:sz w:val="22"/>
        </w:rPr>
        <w:t> </w:t>
      </w:r>
      <w:r>
        <w:rPr>
          <w:sz w:val="22"/>
        </w:rPr>
        <w:t>City</w:t>
      </w:r>
      <w:r>
        <w:rPr>
          <w:spacing w:val="-6"/>
          <w:sz w:val="22"/>
        </w:rPr>
        <w:t> </w:t>
      </w:r>
      <w:r>
        <w:rPr>
          <w:sz w:val="22"/>
        </w:rPr>
        <w:t>will</w:t>
      </w:r>
      <w:r>
        <w:rPr>
          <w:spacing w:val="-7"/>
          <w:sz w:val="22"/>
        </w:rPr>
        <w:t> </w:t>
      </w:r>
      <w:r>
        <w:rPr>
          <w:sz w:val="22"/>
        </w:rPr>
        <w:t>not</w:t>
      </w:r>
      <w:r>
        <w:rPr>
          <w:spacing w:val="-6"/>
          <w:sz w:val="22"/>
        </w:rPr>
        <w:t> </w:t>
      </w:r>
      <w:r>
        <w:rPr>
          <w:sz w:val="22"/>
        </w:rPr>
        <w:t>accept</w:t>
      </w:r>
      <w:r>
        <w:rPr>
          <w:spacing w:val="-6"/>
          <w:sz w:val="22"/>
        </w:rPr>
        <w:t> </w:t>
      </w:r>
      <w:r>
        <w:rPr>
          <w:sz w:val="22"/>
        </w:rPr>
        <w:t>a lien position lower than a first lien.</w:t>
      </w:r>
    </w:p>
    <w:p>
      <w:pPr>
        <w:pStyle w:val="ListParagraph"/>
        <w:numPr>
          <w:ilvl w:val="2"/>
          <w:numId w:val="4"/>
        </w:numPr>
        <w:tabs>
          <w:tab w:pos="842" w:val="left" w:leader="none"/>
        </w:tabs>
        <w:spacing w:line="269" w:lineRule="exact" w:before="2" w:after="0"/>
        <w:ind w:left="841" w:right="0" w:hanging="361"/>
        <w:jc w:val="both"/>
        <w:rPr>
          <w:rFonts w:ascii="Symbol" w:hAnsi="Symbol"/>
          <w:sz w:val="22"/>
        </w:rPr>
      </w:pPr>
      <w:r>
        <w:rPr>
          <w:sz w:val="22"/>
        </w:rPr>
        <w:t>Property</w:t>
      </w:r>
      <w:r>
        <w:rPr>
          <w:spacing w:val="-6"/>
          <w:sz w:val="22"/>
        </w:rPr>
        <w:t> </w:t>
      </w:r>
      <w:r>
        <w:rPr>
          <w:sz w:val="22"/>
        </w:rPr>
        <w:t>taxes</w:t>
      </w:r>
      <w:r>
        <w:rPr>
          <w:spacing w:val="-5"/>
          <w:sz w:val="22"/>
        </w:rPr>
        <w:t> </w:t>
      </w:r>
      <w:r>
        <w:rPr>
          <w:sz w:val="22"/>
        </w:rPr>
        <w:t>must</w:t>
      </w:r>
      <w:r>
        <w:rPr>
          <w:spacing w:val="-1"/>
          <w:sz w:val="22"/>
        </w:rPr>
        <w:t> </w:t>
      </w:r>
      <w:r>
        <w:rPr>
          <w:sz w:val="22"/>
        </w:rPr>
        <w:t>be</w:t>
      </w:r>
      <w:r>
        <w:rPr>
          <w:spacing w:val="-5"/>
          <w:sz w:val="22"/>
        </w:rPr>
        <w:t> </w:t>
      </w:r>
      <w:r>
        <w:rPr>
          <w:spacing w:val="-2"/>
          <w:sz w:val="22"/>
        </w:rPr>
        <w:t>current.</w:t>
      </w:r>
    </w:p>
    <w:p>
      <w:pPr>
        <w:pStyle w:val="ListParagraph"/>
        <w:numPr>
          <w:ilvl w:val="2"/>
          <w:numId w:val="4"/>
        </w:numPr>
        <w:tabs>
          <w:tab w:pos="842" w:val="left" w:leader="none"/>
        </w:tabs>
        <w:spacing w:line="269" w:lineRule="exact" w:before="0" w:after="0"/>
        <w:ind w:left="841" w:right="0" w:hanging="361"/>
        <w:jc w:val="both"/>
        <w:rPr>
          <w:rFonts w:ascii="Symbol" w:hAnsi="Symbol"/>
          <w:sz w:val="22"/>
        </w:rPr>
      </w:pPr>
      <w:r>
        <w:rPr>
          <w:sz w:val="22"/>
        </w:rPr>
        <w:t>Properties</w:t>
      </w:r>
      <w:r>
        <w:rPr>
          <w:spacing w:val="-6"/>
          <w:sz w:val="22"/>
        </w:rPr>
        <w:t> </w:t>
      </w:r>
      <w:r>
        <w:rPr>
          <w:sz w:val="22"/>
        </w:rPr>
        <w:t>with</w:t>
      </w:r>
      <w:r>
        <w:rPr>
          <w:spacing w:val="-4"/>
          <w:sz w:val="22"/>
        </w:rPr>
        <w:t> </w:t>
      </w:r>
      <w:r>
        <w:rPr>
          <w:sz w:val="22"/>
        </w:rPr>
        <w:t>a</w:t>
      </w:r>
      <w:r>
        <w:rPr>
          <w:spacing w:val="-6"/>
          <w:sz w:val="22"/>
        </w:rPr>
        <w:t> </w:t>
      </w:r>
      <w:r>
        <w:rPr>
          <w:sz w:val="22"/>
        </w:rPr>
        <w:t>reverse</w:t>
      </w:r>
      <w:r>
        <w:rPr>
          <w:spacing w:val="-6"/>
          <w:sz w:val="22"/>
        </w:rPr>
        <w:t> </w:t>
      </w:r>
      <w:r>
        <w:rPr>
          <w:sz w:val="22"/>
        </w:rPr>
        <w:t>mortgage</w:t>
      </w:r>
      <w:r>
        <w:rPr>
          <w:spacing w:val="-6"/>
          <w:sz w:val="22"/>
        </w:rPr>
        <w:t> </w:t>
      </w:r>
      <w:r>
        <w:rPr>
          <w:sz w:val="22"/>
        </w:rPr>
        <w:t>are</w:t>
      </w:r>
      <w:r>
        <w:rPr>
          <w:spacing w:val="-6"/>
          <w:sz w:val="22"/>
        </w:rPr>
        <w:t> </w:t>
      </w:r>
      <w:r>
        <w:rPr>
          <w:sz w:val="22"/>
        </w:rPr>
        <w:t>not</w:t>
      </w:r>
      <w:r>
        <w:rPr>
          <w:spacing w:val="-5"/>
          <w:sz w:val="22"/>
        </w:rPr>
        <w:t> </w:t>
      </w:r>
      <w:r>
        <w:rPr>
          <w:sz w:val="22"/>
        </w:rPr>
        <w:t>eligible</w:t>
      </w:r>
      <w:r>
        <w:rPr>
          <w:spacing w:val="-4"/>
          <w:sz w:val="22"/>
        </w:rPr>
        <w:t> </w:t>
      </w:r>
      <w:r>
        <w:rPr>
          <w:sz w:val="22"/>
        </w:rPr>
        <w:t>for</w:t>
      </w:r>
      <w:r>
        <w:rPr>
          <w:spacing w:val="-2"/>
          <w:sz w:val="22"/>
        </w:rPr>
        <w:t> </w:t>
      </w:r>
      <w:r>
        <w:rPr>
          <w:sz w:val="22"/>
        </w:rPr>
        <w:t>Program</w:t>
      </w:r>
      <w:r>
        <w:rPr>
          <w:spacing w:val="-5"/>
          <w:sz w:val="22"/>
        </w:rPr>
        <w:t> </w:t>
      </w:r>
      <w:r>
        <w:rPr>
          <w:spacing w:val="-2"/>
          <w:sz w:val="22"/>
        </w:rPr>
        <w:t>funding</w:t>
      </w:r>
    </w:p>
    <w:p>
      <w:pPr>
        <w:pStyle w:val="BodyText"/>
        <w:spacing w:before="7"/>
        <w:rPr>
          <w:sz w:val="21"/>
        </w:rPr>
      </w:pPr>
    </w:p>
    <w:p>
      <w:pPr>
        <w:pStyle w:val="Heading5"/>
        <w:ind w:left="121"/>
        <w:jc w:val="left"/>
      </w:pPr>
      <w:r>
        <w:rPr>
          <w:spacing w:val="-2"/>
        </w:rPr>
        <w:t>Relocation</w:t>
      </w:r>
    </w:p>
    <w:p>
      <w:pPr>
        <w:pStyle w:val="BodyText"/>
        <w:spacing w:before="52"/>
        <w:ind w:left="121"/>
      </w:pPr>
      <w:r>
        <w:rPr/>
        <w:t>Relocation</w:t>
      </w:r>
      <w:r>
        <w:rPr>
          <w:spacing w:val="-4"/>
        </w:rPr>
        <w:t> </w:t>
      </w:r>
      <w:r>
        <w:rPr/>
        <w:t>costs</w:t>
      </w:r>
      <w:r>
        <w:rPr>
          <w:spacing w:val="-5"/>
        </w:rPr>
        <w:t> </w:t>
      </w:r>
      <w:r>
        <w:rPr/>
        <w:t>will</w:t>
      </w:r>
      <w:r>
        <w:rPr>
          <w:spacing w:val="-3"/>
        </w:rPr>
        <w:t> </w:t>
      </w:r>
      <w:r>
        <w:rPr/>
        <w:t>not</w:t>
      </w:r>
      <w:r>
        <w:rPr>
          <w:spacing w:val="-5"/>
        </w:rPr>
        <w:t> </w:t>
      </w:r>
      <w:r>
        <w:rPr/>
        <w:t>be</w:t>
      </w:r>
      <w:r>
        <w:rPr>
          <w:spacing w:val="-3"/>
        </w:rPr>
        <w:t> </w:t>
      </w:r>
      <w:r>
        <w:rPr/>
        <w:t>paid</w:t>
      </w:r>
      <w:r>
        <w:rPr>
          <w:spacing w:val="-3"/>
        </w:rPr>
        <w:t> </w:t>
      </w:r>
      <w:r>
        <w:rPr/>
        <w:t>by</w:t>
      </w:r>
      <w:r>
        <w:rPr>
          <w:spacing w:val="-5"/>
        </w:rPr>
        <w:t> </w:t>
      </w:r>
      <w:r>
        <w:rPr/>
        <w:t>the</w:t>
      </w:r>
      <w:r>
        <w:rPr>
          <w:spacing w:val="-5"/>
        </w:rPr>
        <w:t> </w:t>
      </w:r>
      <w:r>
        <w:rPr>
          <w:spacing w:val="-4"/>
        </w:rPr>
        <w:t>City.</w:t>
      </w:r>
    </w:p>
    <w:p>
      <w:pPr>
        <w:pStyle w:val="BodyText"/>
        <w:spacing w:before="9"/>
        <w:rPr>
          <w:sz w:val="21"/>
        </w:rPr>
      </w:pPr>
    </w:p>
    <w:p>
      <w:pPr>
        <w:pStyle w:val="Heading5"/>
        <w:ind w:left="121"/>
        <w:jc w:val="left"/>
      </w:pPr>
      <w:r>
        <w:rPr>
          <w:spacing w:val="-2"/>
        </w:rPr>
        <w:t>Administration</w:t>
      </w:r>
    </w:p>
    <w:p>
      <w:pPr>
        <w:pStyle w:val="BodyText"/>
        <w:spacing w:before="52"/>
        <w:ind w:left="121"/>
      </w:pPr>
      <w:r>
        <w:rPr/>
        <w:t>The</w:t>
      </w:r>
      <w:r>
        <w:rPr>
          <w:spacing w:val="61"/>
        </w:rPr>
        <w:t> </w:t>
      </w:r>
      <w:r>
        <w:rPr/>
        <w:t>City</w:t>
      </w:r>
      <w:r>
        <w:rPr>
          <w:spacing w:val="64"/>
        </w:rPr>
        <w:t> </w:t>
      </w:r>
      <w:r>
        <w:rPr/>
        <w:t>of</w:t>
      </w:r>
      <w:r>
        <w:rPr>
          <w:spacing w:val="65"/>
        </w:rPr>
        <w:t> </w:t>
      </w:r>
      <w:r>
        <w:rPr/>
        <w:t>Dallas</w:t>
      </w:r>
      <w:r>
        <w:rPr>
          <w:spacing w:val="64"/>
        </w:rPr>
        <w:t> </w:t>
      </w:r>
      <w:r>
        <w:rPr/>
        <w:t>Department</w:t>
      </w:r>
      <w:r>
        <w:rPr>
          <w:spacing w:val="63"/>
        </w:rPr>
        <w:t> </w:t>
      </w:r>
      <w:r>
        <w:rPr/>
        <w:t>of</w:t>
      </w:r>
      <w:r>
        <w:rPr>
          <w:spacing w:val="63"/>
        </w:rPr>
        <w:t> </w:t>
      </w:r>
      <w:r>
        <w:rPr/>
        <w:t>Housing</w:t>
      </w:r>
      <w:r>
        <w:rPr>
          <w:spacing w:val="63"/>
        </w:rPr>
        <w:t> </w:t>
      </w:r>
      <w:r>
        <w:rPr/>
        <w:t>and</w:t>
      </w:r>
      <w:r>
        <w:rPr>
          <w:spacing w:val="64"/>
        </w:rPr>
        <w:t> </w:t>
      </w:r>
      <w:r>
        <w:rPr/>
        <w:t>Neighborhood</w:t>
      </w:r>
      <w:r>
        <w:rPr>
          <w:spacing w:val="64"/>
        </w:rPr>
        <w:t> </w:t>
      </w:r>
      <w:r>
        <w:rPr/>
        <w:t>Revitalization</w:t>
      </w:r>
      <w:r>
        <w:rPr>
          <w:spacing w:val="64"/>
        </w:rPr>
        <w:t> </w:t>
      </w:r>
      <w:r>
        <w:rPr/>
        <w:t>staff</w:t>
      </w:r>
      <w:r>
        <w:rPr>
          <w:spacing w:val="65"/>
        </w:rPr>
        <w:t> </w:t>
      </w:r>
      <w:r>
        <w:rPr/>
        <w:t>or</w:t>
      </w:r>
      <w:r>
        <w:rPr>
          <w:spacing w:val="63"/>
        </w:rPr>
        <w:t> </w:t>
      </w:r>
      <w:r>
        <w:rPr>
          <w:spacing w:val="-2"/>
        </w:rPr>
        <w:t>their</w:t>
      </w:r>
    </w:p>
    <w:p>
      <w:pPr>
        <w:spacing w:after="0"/>
        <w:sectPr>
          <w:pgSz w:w="12240" w:h="15840"/>
          <w:pgMar w:header="0" w:footer="1738" w:top="1360" w:bottom="1920" w:left="1320" w:right="1280"/>
        </w:sectPr>
      </w:pPr>
    </w:p>
    <w:p>
      <w:pPr>
        <w:pStyle w:val="BodyText"/>
        <w:spacing w:before="80"/>
        <w:ind w:left="119" w:right="155"/>
        <w:jc w:val="both"/>
      </w:pPr>
      <w:r>
        <w:rPr/>
        <w:pict>
          <v:shape style="position:absolute;margin-left:90.065002pt;margin-top:101.208832pt;width:395.3pt;height:419pt;mso-position-horizontal-relative:page;mso-position-vertical-relative:paragraph;z-index:-17732096" id="docshape30" coordorigin="1801,2024" coordsize="7906,8380" path="m4498,9288l4492,9215,4477,9136,4455,9054,4432,8984,4403,8912,4367,8837,4325,8759,4276,8679,4237,8620,4200,8569,4200,9255,4197,9311,4186,9368,4167,9425,4138,9485,4097,9548,4044,9614,3979,9683,3674,9989,2216,8531,2517,8230,2598,8154,2672,8094,2740,8051,2801,8024,2868,8009,2941,8005,3020,8012,3105,8030,3195,8059,3255,8085,3317,8117,3380,8156,3446,8201,3514,8252,3584,8311,3656,8375,3729,8447,3789,8508,3845,8568,3896,8627,3943,8685,3986,8742,4025,8797,4059,8851,4101,8926,4136,8998,4163,9067,4183,9134,4196,9198,4200,9255,4200,8569,4194,8560,4148,8500,4098,8439,4045,8378,3989,8317,3929,8255,3865,8193,3801,8135,3737,8080,3673,8028,3643,8005,3609,7980,3546,7936,3482,7894,3419,7857,3346,7819,3274,7786,3203,7759,3132,7737,3062,7720,2992,7708,2923,7701,2850,7699,2779,7706,2709,7721,2642,7744,2577,7774,2528,7803,2476,7840,2420,7885,2359,7939,2294,8002,1801,8495,3710,10403,4124,9989,4226,9887,4287,9822,4341,9756,4386,9690,4424,9624,4454,9557,4476,9491,4491,9424,4498,9356,4498,9288xm6418,7695l6056,7567,5650,7424,5561,7395,5475,7371,5393,7352,5365,7347,5314,7338,5239,7328,5193,7326,5143,7329,5089,7336,5030,7347,5073,7277,5109,7208,5136,7139,5154,7070,5164,7001,5165,6933,5157,6865,5139,6787,5111,6711,5075,6636,5030,6564,4976,6493,4956,6470,4913,6424,4872,6386,4872,6943,4868,6999,4854,7054,4830,7110,4794,7169,4747,7230,4687,7293,4280,7701,3649,7069,4102,6616,4166,6559,4229,6516,4293,6487,4358,6471,4422,6470,4501,6485,4577,6515,4649,6560,4718,6619,4761,6667,4797,6718,4827,6772,4851,6828,4867,6886,4872,6943,4872,6386,4849,6365,4782,6312,4713,6267,4641,6228,4566,6196,4474,6168,4386,6155,4303,6157,4225,6173,4163,6198,4098,6234,4030,6283,3958,6342,3883,6413,3248,7048,5157,8956,5346,8767,4499,7919,4718,7701,4753,7666,4783,7639,4810,7618,4833,7603,4863,7590,4896,7579,4932,7571,4971,7567,5014,7567,5066,7572,5125,7583,5194,7599,5256,7616,5328,7637,5407,7662,5496,7691,6180,7933,6418,7695xm7780,6332l7415,6137,6555,5683,6555,5990,6070,6476,6030,6404,5989,6332,5748,5902,5708,5830,5668,5759,5629,5693,5590,5628,5550,5564,5509,5501,5467,5439,5424,5378,5380,5317,5436,5353,5498,5391,5564,5430,5635,5472,5792,5563,6555,5990,6555,5683,5862,5317,5286,5010,5082,5214,5277,5565,5316,5635,5701,6332,6207,7251,6441,7672,6642,7471,6565,7338,6298,6869,6221,6736,6481,6476,6820,6137,7173,6332,7565,6548,7780,6332xm8131,5982l7264,5115,7936,4443,7711,4218,7039,4890,6448,4299,7224,3523,6999,3297,6033,4263,7941,6171,8131,5982xm9707,4406l8024,2723,8497,2249,8272,2024,7138,3159,7363,3384,7834,2912,9517,4595,9707,4406xe" filled="true" fillcolor="#c0c0c0" stroked="false">
            <v:path arrowok="t"/>
            <v:fill opacity="32896f" type="solid"/>
            <w10:wrap type="none"/>
          </v:shape>
        </w:pict>
      </w:r>
      <w:r>
        <w:rPr/>
        <w:t>designees and/or consultants, contractors, subrecipients, or other third-party organizations procured</w:t>
      </w:r>
      <w:r>
        <w:rPr>
          <w:spacing w:val="-4"/>
        </w:rPr>
        <w:t> </w:t>
      </w:r>
      <w:r>
        <w:rPr/>
        <w:t>by</w:t>
      </w:r>
      <w:r>
        <w:rPr>
          <w:spacing w:val="-6"/>
        </w:rPr>
        <w:t> </w:t>
      </w:r>
      <w:r>
        <w:rPr/>
        <w:t>the</w:t>
      </w:r>
      <w:r>
        <w:rPr>
          <w:spacing w:val="-4"/>
        </w:rPr>
        <w:t> </w:t>
      </w:r>
      <w:r>
        <w:rPr/>
        <w:t>City,</w:t>
      </w:r>
      <w:r>
        <w:rPr>
          <w:spacing w:val="-2"/>
        </w:rPr>
        <w:t> </w:t>
      </w:r>
      <w:r>
        <w:rPr/>
        <w:t>as</w:t>
      </w:r>
      <w:r>
        <w:rPr>
          <w:spacing w:val="-6"/>
        </w:rPr>
        <w:t> </w:t>
      </w:r>
      <w:r>
        <w:rPr/>
        <w:t>permitted</w:t>
      </w:r>
      <w:r>
        <w:rPr>
          <w:spacing w:val="-4"/>
        </w:rPr>
        <w:t> </w:t>
      </w:r>
      <w:r>
        <w:rPr/>
        <w:t>by</w:t>
      </w:r>
      <w:r>
        <w:rPr>
          <w:spacing w:val="-4"/>
        </w:rPr>
        <w:t> </w:t>
      </w:r>
      <w:r>
        <w:rPr/>
        <w:t>applicable</w:t>
      </w:r>
      <w:r>
        <w:rPr>
          <w:spacing w:val="-4"/>
        </w:rPr>
        <w:t> </w:t>
      </w:r>
      <w:r>
        <w:rPr/>
        <w:t>laws</w:t>
      </w:r>
      <w:r>
        <w:rPr>
          <w:spacing w:val="-4"/>
        </w:rPr>
        <w:t> </w:t>
      </w:r>
      <w:r>
        <w:rPr/>
        <w:t>and</w:t>
      </w:r>
      <w:r>
        <w:rPr>
          <w:spacing w:val="-4"/>
        </w:rPr>
        <w:t> </w:t>
      </w:r>
      <w:r>
        <w:rPr/>
        <w:t>regulations,</w:t>
      </w:r>
      <w:r>
        <w:rPr>
          <w:spacing w:val="-5"/>
        </w:rPr>
        <w:t> </w:t>
      </w:r>
      <w:r>
        <w:rPr/>
        <w:t>shall</w:t>
      </w:r>
      <w:r>
        <w:rPr>
          <w:spacing w:val="-5"/>
        </w:rPr>
        <w:t> </w:t>
      </w:r>
      <w:r>
        <w:rPr/>
        <w:t>administer</w:t>
      </w:r>
      <w:r>
        <w:rPr>
          <w:spacing w:val="-3"/>
        </w:rPr>
        <w:t> </w:t>
      </w:r>
      <w:r>
        <w:rPr/>
        <w:t>the</w:t>
      </w:r>
      <w:r>
        <w:rPr>
          <w:spacing w:val="-4"/>
        </w:rPr>
        <w:t> </w:t>
      </w:r>
      <w:r>
        <w:rPr/>
        <w:t>Home Reconstruction Program. Consultants, contractors, subrecipients, or other third-party organizations administering the Program shall have experience providing administration of reconstruction</w:t>
      </w:r>
      <w:r>
        <w:rPr>
          <w:spacing w:val="-1"/>
        </w:rPr>
        <w:t> </w:t>
      </w:r>
      <w:r>
        <w:rPr/>
        <w:t>services.</w:t>
      </w:r>
      <w:r>
        <w:rPr>
          <w:spacing w:val="-4"/>
        </w:rPr>
        <w:t> </w:t>
      </w:r>
      <w:r>
        <w:rPr/>
        <w:t>The</w:t>
      </w:r>
      <w:r>
        <w:rPr>
          <w:spacing w:val="-1"/>
        </w:rPr>
        <w:t> </w:t>
      </w:r>
      <w:r>
        <w:rPr/>
        <w:t>administration</w:t>
      </w:r>
      <w:r>
        <w:rPr>
          <w:spacing w:val="-4"/>
        </w:rPr>
        <w:t> </w:t>
      </w:r>
      <w:r>
        <w:rPr/>
        <w:t>of</w:t>
      </w:r>
      <w:r>
        <w:rPr>
          <w:spacing w:val="-4"/>
        </w:rPr>
        <w:t> </w:t>
      </w:r>
      <w:r>
        <w:rPr/>
        <w:t>the</w:t>
      </w:r>
      <w:r>
        <w:rPr>
          <w:spacing w:val="-2"/>
        </w:rPr>
        <w:t> </w:t>
      </w:r>
      <w:r>
        <w:rPr/>
        <w:t>Home</w:t>
      </w:r>
      <w:r>
        <w:rPr>
          <w:spacing w:val="-4"/>
        </w:rPr>
        <w:t> </w:t>
      </w:r>
      <w:r>
        <w:rPr/>
        <w:t>Reconstruction</w:t>
      </w:r>
      <w:r>
        <w:rPr>
          <w:spacing w:val="-1"/>
        </w:rPr>
        <w:t> </w:t>
      </w:r>
      <w:r>
        <w:rPr/>
        <w:t>Program includes</w:t>
      </w:r>
      <w:r>
        <w:rPr>
          <w:spacing w:val="-3"/>
        </w:rPr>
        <w:t> </w:t>
      </w:r>
      <w:r>
        <w:rPr/>
        <w:t>direct delivery</w:t>
      </w:r>
      <w:r>
        <w:rPr>
          <w:spacing w:val="-15"/>
        </w:rPr>
        <w:t> </w:t>
      </w:r>
      <w:r>
        <w:rPr/>
        <w:t>costs,</w:t>
      </w:r>
      <w:r>
        <w:rPr>
          <w:spacing w:val="-14"/>
        </w:rPr>
        <w:t> </w:t>
      </w:r>
      <w:r>
        <w:rPr/>
        <w:t>application</w:t>
      </w:r>
      <w:r>
        <w:rPr>
          <w:spacing w:val="-14"/>
        </w:rPr>
        <w:t> </w:t>
      </w:r>
      <w:r>
        <w:rPr/>
        <w:t>evaluation</w:t>
      </w:r>
      <w:r>
        <w:rPr>
          <w:spacing w:val="-16"/>
        </w:rPr>
        <w:t> </w:t>
      </w:r>
      <w:r>
        <w:rPr/>
        <w:t>procedures,</w:t>
      </w:r>
      <w:r>
        <w:rPr>
          <w:spacing w:val="-14"/>
        </w:rPr>
        <w:t> </w:t>
      </w:r>
      <w:r>
        <w:rPr/>
        <w:t>rehabilitation</w:t>
      </w:r>
      <w:r>
        <w:rPr>
          <w:spacing w:val="-14"/>
        </w:rPr>
        <w:t> </w:t>
      </w:r>
      <w:r>
        <w:rPr/>
        <w:t>assessments,</w:t>
      </w:r>
      <w:r>
        <w:rPr>
          <w:spacing w:val="-15"/>
        </w:rPr>
        <w:t> </w:t>
      </w:r>
      <w:r>
        <w:rPr/>
        <w:t>cost</w:t>
      </w:r>
      <w:r>
        <w:rPr>
          <w:spacing w:val="-15"/>
        </w:rPr>
        <w:t> </w:t>
      </w:r>
      <w:r>
        <w:rPr/>
        <w:t>estimation,</w:t>
      </w:r>
      <w:r>
        <w:rPr>
          <w:spacing w:val="-15"/>
        </w:rPr>
        <w:t> </w:t>
      </w:r>
      <w:r>
        <w:rPr/>
        <w:t>bid solicitation,</w:t>
      </w:r>
      <w:r>
        <w:rPr>
          <w:spacing w:val="-9"/>
        </w:rPr>
        <w:t> </w:t>
      </w:r>
      <w:r>
        <w:rPr/>
        <w:t>contractor</w:t>
      </w:r>
      <w:r>
        <w:rPr>
          <w:spacing w:val="-9"/>
        </w:rPr>
        <w:t> </w:t>
      </w:r>
      <w:r>
        <w:rPr/>
        <w:t>selection,</w:t>
      </w:r>
      <w:r>
        <w:rPr>
          <w:spacing w:val="-9"/>
        </w:rPr>
        <w:t> </w:t>
      </w:r>
      <w:r>
        <w:rPr/>
        <w:t>construction</w:t>
      </w:r>
      <w:r>
        <w:rPr>
          <w:spacing w:val="-9"/>
        </w:rPr>
        <w:t> </w:t>
      </w:r>
      <w:r>
        <w:rPr/>
        <w:t>management,</w:t>
      </w:r>
      <w:r>
        <w:rPr>
          <w:spacing w:val="-9"/>
        </w:rPr>
        <w:t> </w:t>
      </w:r>
      <w:r>
        <w:rPr/>
        <w:t>inspection,</w:t>
      </w:r>
      <w:r>
        <w:rPr>
          <w:spacing w:val="-9"/>
        </w:rPr>
        <w:t> </w:t>
      </w:r>
      <w:r>
        <w:rPr/>
        <w:t>disbursement</w:t>
      </w:r>
      <w:r>
        <w:rPr>
          <w:spacing w:val="-9"/>
        </w:rPr>
        <w:t> </w:t>
      </w:r>
      <w:r>
        <w:rPr/>
        <w:t>of</w:t>
      </w:r>
      <w:r>
        <w:rPr>
          <w:spacing w:val="-9"/>
        </w:rPr>
        <w:t> </w:t>
      </w:r>
      <w:r>
        <w:rPr/>
        <w:t>program funds and processing of notices of completion, and other duties as established in the program guidelines, as well as the policies and procedures.</w:t>
      </w:r>
    </w:p>
    <w:p>
      <w:pPr>
        <w:pStyle w:val="BodyText"/>
        <w:spacing w:before="10"/>
        <w:rPr>
          <w:sz w:val="21"/>
        </w:rPr>
      </w:pPr>
    </w:p>
    <w:p>
      <w:pPr>
        <w:pStyle w:val="BodyText"/>
        <w:ind w:left="119" w:right="158"/>
        <w:jc w:val="both"/>
      </w:pPr>
      <w:r>
        <w:rPr/>
        <w:t>The Director shall be responsible for ensuring that all programs are implemented in accordance with all applicable policies and regulations.</w:t>
      </w:r>
    </w:p>
    <w:p>
      <w:pPr>
        <w:pStyle w:val="BodyText"/>
      </w:pPr>
    </w:p>
    <w:p>
      <w:pPr>
        <w:pStyle w:val="Heading5"/>
        <w:numPr>
          <w:ilvl w:val="1"/>
          <w:numId w:val="4"/>
        </w:numPr>
        <w:tabs>
          <w:tab w:pos="428" w:val="left" w:leader="none"/>
        </w:tabs>
        <w:spacing w:line="240" w:lineRule="auto" w:before="0" w:after="0"/>
        <w:ind w:left="427" w:right="0" w:hanging="309"/>
        <w:jc w:val="left"/>
      </w:pPr>
      <w:r>
        <w:rPr/>
        <w:t>Rental</w:t>
      </w:r>
      <w:r>
        <w:rPr>
          <w:spacing w:val="-10"/>
        </w:rPr>
        <w:t> </w:t>
      </w:r>
      <w:r>
        <w:rPr/>
        <w:t>Rehabilitation</w:t>
      </w:r>
      <w:r>
        <w:rPr>
          <w:spacing w:val="-8"/>
        </w:rPr>
        <w:t> </w:t>
      </w:r>
      <w:r>
        <w:rPr>
          <w:spacing w:val="-2"/>
        </w:rPr>
        <w:t>Program</w:t>
      </w:r>
    </w:p>
    <w:p>
      <w:pPr>
        <w:pStyle w:val="BodyText"/>
        <w:rPr>
          <w:b/>
        </w:rPr>
      </w:pPr>
    </w:p>
    <w:p>
      <w:pPr>
        <w:pStyle w:val="BodyText"/>
        <w:ind w:left="119" w:right="155"/>
        <w:jc w:val="both"/>
      </w:pPr>
      <w:r>
        <w:rPr/>
        <w:t>The</w:t>
      </w:r>
      <w:r>
        <w:rPr>
          <w:spacing w:val="-3"/>
        </w:rPr>
        <w:t> </w:t>
      </w:r>
      <w:r>
        <w:rPr/>
        <w:t>Rental</w:t>
      </w:r>
      <w:r>
        <w:rPr>
          <w:spacing w:val="-6"/>
        </w:rPr>
        <w:t> </w:t>
      </w:r>
      <w:r>
        <w:rPr/>
        <w:t>Rehabilitation</w:t>
      </w:r>
      <w:r>
        <w:rPr>
          <w:spacing w:val="-2"/>
        </w:rPr>
        <w:t> </w:t>
      </w:r>
      <w:r>
        <w:rPr/>
        <w:t>Program</w:t>
      </w:r>
      <w:r>
        <w:rPr>
          <w:spacing w:val="-4"/>
        </w:rPr>
        <w:t> </w:t>
      </w:r>
      <w:r>
        <w:rPr/>
        <w:t>is</w:t>
      </w:r>
      <w:r>
        <w:rPr>
          <w:spacing w:val="-5"/>
        </w:rPr>
        <w:t> </w:t>
      </w:r>
      <w:r>
        <w:rPr/>
        <w:t>an</w:t>
      </w:r>
      <w:r>
        <w:rPr>
          <w:spacing w:val="-3"/>
        </w:rPr>
        <w:t> </w:t>
      </w:r>
      <w:r>
        <w:rPr/>
        <w:t>all-inclusive</w:t>
      </w:r>
      <w:r>
        <w:rPr>
          <w:spacing w:val="-3"/>
        </w:rPr>
        <w:t> </w:t>
      </w:r>
      <w:r>
        <w:rPr/>
        <w:t>repair</w:t>
      </w:r>
      <w:r>
        <w:rPr>
          <w:spacing w:val="-4"/>
        </w:rPr>
        <w:t> </w:t>
      </w:r>
      <w:r>
        <w:rPr/>
        <w:t>and</w:t>
      </w:r>
      <w:r>
        <w:rPr>
          <w:spacing w:val="-5"/>
        </w:rPr>
        <w:t> </w:t>
      </w:r>
      <w:r>
        <w:rPr/>
        <w:t>rehabilitation</w:t>
      </w:r>
      <w:r>
        <w:rPr>
          <w:spacing w:val="-3"/>
        </w:rPr>
        <w:t> </w:t>
      </w:r>
      <w:r>
        <w:rPr/>
        <w:t>program</w:t>
      </w:r>
      <w:r>
        <w:rPr>
          <w:spacing w:val="-4"/>
        </w:rPr>
        <w:t> </w:t>
      </w:r>
      <w:r>
        <w:rPr/>
        <w:t>for</w:t>
      </w:r>
      <w:r>
        <w:rPr>
          <w:spacing w:val="-4"/>
        </w:rPr>
        <w:t> </w:t>
      </w:r>
      <w:r>
        <w:rPr/>
        <w:t>single- family</w:t>
      </w:r>
      <w:r>
        <w:rPr>
          <w:spacing w:val="-16"/>
        </w:rPr>
        <w:t> </w:t>
      </w:r>
      <w:r>
        <w:rPr/>
        <w:t>rental</w:t>
      </w:r>
      <w:r>
        <w:rPr>
          <w:spacing w:val="-15"/>
        </w:rPr>
        <w:t> </w:t>
      </w:r>
      <w:r>
        <w:rPr/>
        <w:t>units,</w:t>
      </w:r>
      <w:r>
        <w:rPr>
          <w:spacing w:val="-15"/>
        </w:rPr>
        <w:t> </w:t>
      </w:r>
      <w:r>
        <w:rPr/>
        <w:t>with</w:t>
      </w:r>
      <w:r>
        <w:rPr>
          <w:spacing w:val="-16"/>
        </w:rPr>
        <w:t> </w:t>
      </w:r>
      <w:r>
        <w:rPr/>
        <w:t>up</w:t>
      </w:r>
      <w:r>
        <w:rPr>
          <w:spacing w:val="-15"/>
        </w:rPr>
        <w:t> </w:t>
      </w:r>
      <w:r>
        <w:rPr/>
        <w:t>to</w:t>
      </w:r>
      <w:r>
        <w:rPr>
          <w:spacing w:val="-15"/>
        </w:rPr>
        <w:t> </w:t>
      </w:r>
      <w:r>
        <w:rPr/>
        <w:t>four</w:t>
      </w:r>
      <w:r>
        <w:rPr>
          <w:spacing w:val="-15"/>
        </w:rPr>
        <w:t> </w:t>
      </w:r>
      <w:r>
        <w:rPr/>
        <w:t>units</w:t>
      </w:r>
      <w:r>
        <w:rPr>
          <w:spacing w:val="-16"/>
        </w:rPr>
        <w:t> </w:t>
      </w:r>
      <w:r>
        <w:rPr/>
        <w:t>per</w:t>
      </w:r>
      <w:r>
        <w:rPr>
          <w:spacing w:val="-15"/>
        </w:rPr>
        <w:t> </w:t>
      </w:r>
      <w:r>
        <w:rPr/>
        <w:t>property.</w:t>
      </w:r>
      <w:r>
        <w:rPr>
          <w:spacing w:val="-15"/>
        </w:rPr>
        <w:t> </w:t>
      </w:r>
      <w:r>
        <w:rPr/>
        <w:t>It</w:t>
      </w:r>
      <w:r>
        <w:rPr>
          <w:spacing w:val="-16"/>
        </w:rPr>
        <w:t> </w:t>
      </w:r>
      <w:r>
        <w:rPr/>
        <w:t>offers</w:t>
      </w:r>
      <w:r>
        <w:rPr>
          <w:spacing w:val="-15"/>
        </w:rPr>
        <w:t> </w:t>
      </w:r>
      <w:r>
        <w:rPr/>
        <w:t>a</w:t>
      </w:r>
      <w:r>
        <w:rPr>
          <w:spacing w:val="-15"/>
        </w:rPr>
        <w:t> </w:t>
      </w:r>
      <w:r>
        <w:rPr/>
        <w:t>forgivable</w:t>
      </w:r>
      <w:r>
        <w:rPr>
          <w:spacing w:val="-15"/>
        </w:rPr>
        <w:t> </w:t>
      </w:r>
      <w:r>
        <w:rPr/>
        <w:t>loan</w:t>
      </w:r>
      <w:r>
        <w:rPr>
          <w:spacing w:val="-16"/>
        </w:rPr>
        <w:t> </w:t>
      </w:r>
      <w:r>
        <w:rPr/>
        <w:t>program</w:t>
      </w:r>
      <w:r>
        <w:rPr>
          <w:spacing w:val="-15"/>
        </w:rPr>
        <w:t> </w:t>
      </w:r>
      <w:r>
        <w:rPr/>
        <w:t>to</w:t>
      </w:r>
      <w:r>
        <w:rPr>
          <w:spacing w:val="-15"/>
        </w:rPr>
        <w:t> </w:t>
      </w:r>
      <w:r>
        <w:rPr/>
        <w:t>landlords who lease to low- to moderate-income households, with the purpose of making needed improvements</w:t>
      </w:r>
      <w:r>
        <w:rPr>
          <w:spacing w:val="-16"/>
        </w:rPr>
        <w:t> </w:t>
      </w:r>
      <w:r>
        <w:rPr/>
        <w:t>and</w:t>
      </w:r>
      <w:r>
        <w:rPr>
          <w:spacing w:val="-15"/>
        </w:rPr>
        <w:t> </w:t>
      </w:r>
      <w:r>
        <w:rPr/>
        <w:t>preserving</w:t>
      </w:r>
      <w:r>
        <w:rPr>
          <w:spacing w:val="-15"/>
        </w:rPr>
        <w:t> </w:t>
      </w:r>
      <w:r>
        <w:rPr/>
        <w:t>affordable</w:t>
      </w:r>
      <w:r>
        <w:rPr>
          <w:spacing w:val="-16"/>
        </w:rPr>
        <w:t> </w:t>
      </w:r>
      <w:r>
        <w:rPr/>
        <w:t>housing.</w:t>
      </w:r>
      <w:r>
        <w:rPr>
          <w:spacing w:val="22"/>
        </w:rPr>
        <w:t> </w:t>
      </w:r>
      <w:r>
        <w:rPr/>
        <w:t>The</w:t>
      </w:r>
      <w:r>
        <w:rPr>
          <w:spacing w:val="-15"/>
        </w:rPr>
        <w:t> </w:t>
      </w:r>
      <w:r>
        <w:rPr/>
        <w:t>Rental</w:t>
      </w:r>
      <w:r>
        <w:rPr>
          <w:spacing w:val="-15"/>
        </w:rPr>
        <w:t> </w:t>
      </w:r>
      <w:r>
        <w:rPr/>
        <w:t>Rehabilitation</w:t>
      </w:r>
      <w:r>
        <w:rPr>
          <w:spacing w:val="-15"/>
        </w:rPr>
        <w:t> </w:t>
      </w:r>
      <w:r>
        <w:rPr/>
        <w:t>Program</w:t>
      </w:r>
      <w:r>
        <w:rPr>
          <w:spacing w:val="-15"/>
        </w:rPr>
        <w:t> </w:t>
      </w:r>
      <w:r>
        <w:rPr/>
        <w:t>is</w:t>
      </w:r>
      <w:r>
        <w:rPr>
          <w:spacing w:val="-16"/>
        </w:rPr>
        <w:t> </w:t>
      </w:r>
      <w:r>
        <w:rPr/>
        <w:t>designed to finance improvements and address health, safety, accessibility modifications, and structural/deferred maintenance deficiencies.</w:t>
      </w:r>
    </w:p>
    <w:p>
      <w:pPr>
        <w:pStyle w:val="BodyText"/>
      </w:pPr>
    </w:p>
    <w:p>
      <w:pPr>
        <w:pStyle w:val="BodyText"/>
        <w:ind w:left="119" w:right="159"/>
        <w:jc w:val="both"/>
      </w:pPr>
      <w:r>
        <w:rPr/>
        <w:t>The</w:t>
      </w:r>
      <w:r>
        <w:rPr>
          <w:spacing w:val="-5"/>
        </w:rPr>
        <w:t> </w:t>
      </w:r>
      <w:r>
        <w:rPr/>
        <w:t>Director</w:t>
      </w:r>
      <w:r>
        <w:rPr>
          <w:spacing w:val="-6"/>
        </w:rPr>
        <w:t> </w:t>
      </w:r>
      <w:r>
        <w:rPr/>
        <w:t>of</w:t>
      </w:r>
      <w:r>
        <w:rPr>
          <w:spacing w:val="-4"/>
        </w:rPr>
        <w:t> </w:t>
      </w:r>
      <w:r>
        <w:rPr/>
        <w:t>Housing</w:t>
      </w:r>
      <w:r>
        <w:rPr>
          <w:spacing w:val="-8"/>
        </w:rPr>
        <w:t> </w:t>
      </w:r>
      <w:r>
        <w:rPr/>
        <w:t>and</w:t>
      </w:r>
      <w:r>
        <w:rPr>
          <w:spacing w:val="-5"/>
        </w:rPr>
        <w:t> </w:t>
      </w:r>
      <w:r>
        <w:rPr/>
        <w:t>Neighborhood</w:t>
      </w:r>
      <w:r>
        <w:rPr>
          <w:spacing w:val="-5"/>
        </w:rPr>
        <w:t> </w:t>
      </w:r>
      <w:r>
        <w:rPr/>
        <w:t>Revitalization</w:t>
      </w:r>
      <w:r>
        <w:rPr>
          <w:spacing w:val="-5"/>
        </w:rPr>
        <w:t> </w:t>
      </w:r>
      <w:r>
        <w:rPr/>
        <w:t>(the</w:t>
      </w:r>
      <w:r>
        <w:rPr>
          <w:spacing w:val="-8"/>
        </w:rPr>
        <w:t> </w:t>
      </w:r>
      <w:r>
        <w:rPr/>
        <w:t>“Director”)</w:t>
      </w:r>
      <w:r>
        <w:rPr>
          <w:spacing w:val="-6"/>
        </w:rPr>
        <w:t> </w:t>
      </w:r>
      <w:r>
        <w:rPr/>
        <w:t>shall</w:t>
      </w:r>
      <w:r>
        <w:rPr>
          <w:spacing w:val="-6"/>
        </w:rPr>
        <w:t> </w:t>
      </w:r>
      <w:r>
        <w:rPr/>
        <w:t>be</w:t>
      </w:r>
      <w:r>
        <w:rPr>
          <w:spacing w:val="-5"/>
        </w:rPr>
        <w:t> </w:t>
      </w:r>
      <w:r>
        <w:rPr/>
        <w:t>responsible</w:t>
      </w:r>
      <w:r>
        <w:rPr>
          <w:spacing w:val="-5"/>
        </w:rPr>
        <w:t> </w:t>
      </w:r>
      <w:r>
        <w:rPr/>
        <w:t>for ensuring that all programs are implemented in accordance with all applicable policies and </w:t>
      </w:r>
      <w:r>
        <w:rPr>
          <w:spacing w:val="-2"/>
        </w:rPr>
        <w:t>regulations.</w:t>
      </w:r>
    </w:p>
    <w:p>
      <w:pPr>
        <w:pStyle w:val="BodyText"/>
        <w:spacing w:before="1"/>
      </w:pPr>
    </w:p>
    <w:p>
      <w:pPr>
        <w:pStyle w:val="Heading5"/>
        <w:ind w:left="119"/>
      </w:pPr>
      <w:r>
        <w:rPr/>
        <w:t>Applicant</w:t>
      </w:r>
      <w:r>
        <w:rPr>
          <w:spacing w:val="-6"/>
        </w:rPr>
        <w:t> </w:t>
      </w:r>
      <w:r>
        <w:rPr>
          <w:spacing w:val="-2"/>
        </w:rPr>
        <w:t>Eligibility</w:t>
      </w:r>
    </w:p>
    <w:p>
      <w:pPr>
        <w:pStyle w:val="ListParagraph"/>
        <w:numPr>
          <w:ilvl w:val="2"/>
          <w:numId w:val="4"/>
        </w:numPr>
        <w:tabs>
          <w:tab w:pos="840" w:val="left" w:leader="none"/>
        </w:tabs>
        <w:spacing w:line="237" w:lineRule="auto" w:before="53" w:after="0"/>
        <w:ind w:left="839" w:right="158" w:hanging="361"/>
        <w:jc w:val="both"/>
        <w:rPr>
          <w:rFonts w:ascii="Symbol" w:hAnsi="Symbol"/>
          <w:sz w:val="22"/>
        </w:rPr>
      </w:pPr>
      <w:r>
        <w:rPr>
          <w:sz w:val="22"/>
        </w:rPr>
        <w:t>Applicant</w:t>
      </w:r>
      <w:r>
        <w:rPr>
          <w:spacing w:val="-16"/>
          <w:sz w:val="22"/>
        </w:rPr>
        <w:t> </w:t>
      </w:r>
      <w:r>
        <w:rPr>
          <w:sz w:val="22"/>
        </w:rPr>
        <w:t>must</w:t>
      </w:r>
      <w:r>
        <w:rPr>
          <w:spacing w:val="-13"/>
          <w:sz w:val="22"/>
        </w:rPr>
        <w:t> </w:t>
      </w:r>
      <w:r>
        <w:rPr>
          <w:sz w:val="22"/>
        </w:rPr>
        <w:t>be</w:t>
      </w:r>
      <w:r>
        <w:rPr>
          <w:spacing w:val="-16"/>
          <w:sz w:val="22"/>
        </w:rPr>
        <w:t> </w:t>
      </w:r>
      <w:r>
        <w:rPr>
          <w:sz w:val="22"/>
        </w:rPr>
        <w:t>the</w:t>
      </w:r>
      <w:r>
        <w:rPr>
          <w:spacing w:val="-15"/>
          <w:sz w:val="22"/>
        </w:rPr>
        <w:t> </w:t>
      </w:r>
      <w:r>
        <w:rPr>
          <w:sz w:val="22"/>
        </w:rPr>
        <w:t>owner</w:t>
      </w:r>
      <w:r>
        <w:rPr>
          <w:spacing w:val="-12"/>
          <w:sz w:val="22"/>
        </w:rPr>
        <w:t> </w:t>
      </w:r>
      <w:r>
        <w:rPr>
          <w:sz w:val="22"/>
        </w:rPr>
        <w:t>of</w:t>
      </w:r>
      <w:r>
        <w:rPr>
          <w:spacing w:val="-15"/>
          <w:sz w:val="22"/>
        </w:rPr>
        <w:t> </w:t>
      </w:r>
      <w:r>
        <w:rPr>
          <w:sz w:val="22"/>
        </w:rPr>
        <w:t>the</w:t>
      </w:r>
      <w:r>
        <w:rPr>
          <w:spacing w:val="-16"/>
          <w:sz w:val="22"/>
        </w:rPr>
        <w:t> </w:t>
      </w:r>
      <w:r>
        <w:rPr>
          <w:sz w:val="22"/>
        </w:rPr>
        <w:t>rental</w:t>
      </w:r>
      <w:r>
        <w:rPr>
          <w:spacing w:val="-14"/>
          <w:sz w:val="22"/>
        </w:rPr>
        <w:t> </w:t>
      </w:r>
      <w:r>
        <w:rPr>
          <w:sz w:val="22"/>
        </w:rPr>
        <w:t>unit(s)</w:t>
      </w:r>
      <w:r>
        <w:rPr>
          <w:spacing w:val="-15"/>
          <w:sz w:val="22"/>
        </w:rPr>
        <w:t> </w:t>
      </w:r>
      <w:r>
        <w:rPr>
          <w:sz w:val="22"/>
        </w:rPr>
        <w:t>to</w:t>
      </w:r>
      <w:r>
        <w:rPr>
          <w:spacing w:val="-16"/>
          <w:sz w:val="22"/>
        </w:rPr>
        <w:t> </w:t>
      </w:r>
      <w:r>
        <w:rPr>
          <w:sz w:val="22"/>
        </w:rPr>
        <w:t>be</w:t>
      </w:r>
      <w:r>
        <w:rPr>
          <w:spacing w:val="-14"/>
          <w:sz w:val="22"/>
        </w:rPr>
        <w:t> </w:t>
      </w:r>
      <w:r>
        <w:rPr>
          <w:sz w:val="22"/>
        </w:rPr>
        <w:t>rehabilitated.</w:t>
      </w:r>
      <w:r>
        <w:rPr>
          <w:spacing w:val="36"/>
          <w:sz w:val="22"/>
        </w:rPr>
        <w:t> </w:t>
      </w:r>
      <w:r>
        <w:rPr>
          <w:sz w:val="22"/>
        </w:rPr>
        <w:t>Applicant</w:t>
      </w:r>
      <w:r>
        <w:rPr>
          <w:spacing w:val="-15"/>
          <w:sz w:val="22"/>
        </w:rPr>
        <w:t> </w:t>
      </w:r>
      <w:r>
        <w:rPr>
          <w:sz w:val="22"/>
        </w:rPr>
        <w:t>must</w:t>
      </w:r>
      <w:r>
        <w:rPr>
          <w:spacing w:val="-15"/>
          <w:sz w:val="22"/>
        </w:rPr>
        <w:t> </w:t>
      </w:r>
      <w:r>
        <w:rPr>
          <w:sz w:val="22"/>
        </w:rPr>
        <w:t>submit a deed showing the conveyance, or similar documentation acceptable to the City in its sole discretion, that proves ownership.</w:t>
      </w:r>
    </w:p>
    <w:p>
      <w:pPr>
        <w:pStyle w:val="ListParagraph"/>
        <w:numPr>
          <w:ilvl w:val="2"/>
          <w:numId w:val="4"/>
        </w:numPr>
        <w:tabs>
          <w:tab w:pos="840" w:val="left" w:leader="none"/>
        </w:tabs>
        <w:spacing w:line="269" w:lineRule="exact" w:before="3" w:after="0"/>
        <w:ind w:left="839" w:right="0" w:hanging="361"/>
        <w:jc w:val="both"/>
        <w:rPr>
          <w:rFonts w:ascii="Symbol" w:hAnsi="Symbol"/>
          <w:sz w:val="22"/>
        </w:rPr>
      </w:pPr>
      <w:r>
        <w:rPr>
          <w:sz w:val="22"/>
        </w:rPr>
        <w:t>Applicant</w:t>
      </w:r>
      <w:r>
        <w:rPr>
          <w:spacing w:val="-5"/>
          <w:sz w:val="22"/>
        </w:rPr>
        <w:t> </w:t>
      </w:r>
      <w:r>
        <w:rPr>
          <w:sz w:val="22"/>
        </w:rPr>
        <w:t>must</w:t>
      </w:r>
      <w:r>
        <w:rPr>
          <w:spacing w:val="-2"/>
          <w:sz w:val="22"/>
        </w:rPr>
        <w:t> </w:t>
      </w:r>
      <w:r>
        <w:rPr>
          <w:sz w:val="22"/>
        </w:rPr>
        <w:t>provide</w:t>
      </w:r>
      <w:r>
        <w:rPr>
          <w:spacing w:val="-4"/>
          <w:sz w:val="22"/>
        </w:rPr>
        <w:t> </w:t>
      </w:r>
      <w:r>
        <w:rPr>
          <w:sz w:val="22"/>
        </w:rPr>
        <w:t>a</w:t>
      </w:r>
      <w:r>
        <w:rPr>
          <w:spacing w:val="-6"/>
          <w:sz w:val="22"/>
        </w:rPr>
        <w:t> </w:t>
      </w:r>
      <w:r>
        <w:rPr>
          <w:sz w:val="22"/>
        </w:rPr>
        <w:t>copy</w:t>
      </w:r>
      <w:r>
        <w:rPr>
          <w:spacing w:val="-4"/>
          <w:sz w:val="22"/>
        </w:rPr>
        <w:t> </w:t>
      </w:r>
      <w:r>
        <w:rPr>
          <w:sz w:val="22"/>
        </w:rPr>
        <w:t>of</w:t>
      </w:r>
      <w:r>
        <w:rPr>
          <w:spacing w:val="-5"/>
          <w:sz w:val="22"/>
        </w:rPr>
        <w:t> </w:t>
      </w:r>
      <w:r>
        <w:rPr>
          <w:sz w:val="22"/>
        </w:rPr>
        <w:t>the</w:t>
      </w:r>
      <w:r>
        <w:rPr>
          <w:spacing w:val="-5"/>
          <w:sz w:val="22"/>
        </w:rPr>
        <w:t> </w:t>
      </w:r>
      <w:r>
        <w:rPr>
          <w:sz w:val="22"/>
        </w:rPr>
        <w:t>lease</w:t>
      </w:r>
      <w:r>
        <w:rPr>
          <w:spacing w:val="-4"/>
          <w:sz w:val="22"/>
        </w:rPr>
        <w:t> </w:t>
      </w:r>
      <w:r>
        <w:rPr>
          <w:sz w:val="22"/>
        </w:rPr>
        <w:t>agreement</w:t>
      </w:r>
      <w:r>
        <w:rPr>
          <w:spacing w:val="-5"/>
          <w:sz w:val="22"/>
        </w:rPr>
        <w:t> </w:t>
      </w:r>
      <w:r>
        <w:rPr>
          <w:sz w:val="22"/>
        </w:rPr>
        <w:t>with</w:t>
      </w:r>
      <w:r>
        <w:rPr>
          <w:spacing w:val="-4"/>
          <w:sz w:val="22"/>
        </w:rPr>
        <w:t> </w:t>
      </w:r>
      <w:r>
        <w:rPr>
          <w:sz w:val="22"/>
        </w:rPr>
        <w:t>its</w:t>
      </w:r>
      <w:r>
        <w:rPr>
          <w:spacing w:val="-6"/>
          <w:sz w:val="22"/>
        </w:rPr>
        <w:t> </w:t>
      </w:r>
      <w:r>
        <w:rPr>
          <w:spacing w:val="-2"/>
          <w:sz w:val="22"/>
        </w:rPr>
        <w:t>tenant.</w:t>
      </w:r>
    </w:p>
    <w:p>
      <w:pPr>
        <w:pStyle w:val="ListParagraph"/>
        <w:numPr>
          <w:ilvl w:val="2"/>
          <w:numId w:val="4"/>
        </w:numPr>
        <w:tabs>
          <w:tab w:pos="840" w:val="left" w:leader="none"/>
        </w:tabs>
        <w:spacing w:line="237" w:lineRule="auto" w:before="2" w:after="0"/>
        <w:ind w:left="839" w:right="154" w:hanging="360"/>
        <w:jc w:val="both"/>
        <w:rPr>
          <w:rFonts w:ascii="Symbol" w:hAnsi="Symbol"/>
          <w:sz w:val="22"/>
        </w:rPr>
      </w:pPr>
      <w:r>
        <w:rPr>
          <w:sz w:val="22"/>
        </w:rPr>
        <w:t>Applicant</w:t>
      </w:r>
      <w:r>
        <w:rPr>
          <w:spacing w:val="-8"/>
          <w:sz w:val="22"/>
        </w:rPr>
        <w:t> </w:t>
      </w:r>
      <w:r>
        <w:rPr>
          <w:sz w:val="22"/>
        </w:rPr>
        <w:t>and</w:t>
      </w:r>
      <w:r>
        <w:rPr>
          <w:spacing w:val="-12"/>
          <w:sz w:val="22"/>
        </w:rPr>
        <w:t> </w:t>
      </w:r>
      <w:r>
        <w:rPr>
          <w:sz w:val="22"/>
        </w:rPr>
        <w:t>tenants</w:t>
      </w:r>
      <w:r>
        <w:rPr>
          <w:spacing w:val="-12"/>
          <w:sz w:val="22"/>
        </w:rPr>
        <w:t> </w:t>
      </w:r>
      <w:r>
        <w:rPr>
          <w:sz w:val="22"/>
        </w:rPr>
        <w:t>must</w:t>
      </w:r>
      <w:r>
        <w:rPr>
          <w:spacing w:val="-11"/>
          <w:sz w:val="22"/>
        </w:rPr>
        <w:t> </w:t>
      </w:r>
      <w:r>
        <w:rPr>
          <w:sz w:val="22"/>
        </w:rPr>
        <w:t>be</w:t>
      </w:r>
      <w:r>
        <w:rPr>
          <w:spacing w:val="-10"/>
          <w:sz w:val="22"/>
        </w:rPr>
        <w:t> </w:t>
      </w:r>
      <w:r>
        <w:rPr>
          <w:sz w:val="22"/>
        </w:rPr>
        <w:t>U.S.</w:t>
      </w:r>
      <w:r>
        <w:rPr>
          <w:spacing w:val="-11"/>
          <w:sz w:val="22"/>
        </w:rPr>
        <w:t> </w:t>
      </w:r>
      <w:r>
        <w:rPr>
          <w:sz w:val="22"/>
        </w:rPr>
        <w:t>Citizens</w:t>
      </w:r>
      <w:r>
        <w:rPr>
          <w:spacing w:val="-11"/>
          <w:sz w:val="22"/>
        </w:rPr>
        <w:t> </w:t>
      </w:r>
      <w:r>
        <w:rPr>
          <w:sz w:val="22"/>
        </w:rPr>
        <w:t>or</w:t>
      </w:r>
      <w:r>
        <w:rPr>
          <w:spacing w:val="-11"/>
          <w:sz w:val="22"/>
        </w:rPr>
        <w:t> </w:t>
      </w:r>
      <w:r>
        <w:rPr>
          <w:sz w:val="22"/>
        </w:rPr>
        <w:t>lawful</w:t>
      </w:r>
      <w:r>
        <w:rPr>
          <w:spacing w:val="-11"/>
          <w:sz w:val="22"/>
        </w:rPr>
        <w:t> </w:t>
      </w:r>
      <w:r>
        <w:rPr>
          <w:sz w:val="22"/>
        </w:rPr>
        <w:t>permanent</w:t>
      </w:r>
      <w:r>
        <w:rPr>
          <w:spacing w:val="-10"/>
          <w:sz w:val="22"/>
        </w:rPr>
        <w:t> </w:t>
      </w:r>
      <w:r>
        <w:rPr>
          <w:sz w:val="22"/>
        </w:rPr>
        <w:t>residents,</w:t>
      </w:r>
      <w:r>
        <w:rPr>
          <w:spacing w:val="-8"/>
          <w:sz w:val="22"/>
        </w:rPr>
        <w:t> </w:t>
      </w:r>
      <w:r>
        <w:rPr>
          <w:sz w:val="22"/>
        </w:rPr>
        <w:t>and</w:t>
      </w:r>
      <w:r>
        <w:rPr>
          <w:spacing w:val="-14"/>
          <w:sz w:val="22"/>
        </w:rPr>
        <w:t> </w:t>
      </w:r>
      <w:r>
        <w:rPr>
          <w:sz w:val="22"/>
        </w:rPr>
        <w:t>they</w:t>
      </w:r>
      <w:r>
        <w:rPr>
          <w:spacing w:val="-12"/>
          <w:sz w:val="22"/>
        </w:rPr>
        <w:t> </w:t>
      </w:r>
      <w:r>
        <w:rPr>
          <w:sz w:val="22"/>
        </w:rPr>
        <w:t>must hold a current Texas State issued identification card or Driver License.</w:t>
      </w:r>
    </w:p>
    <w:p>
      <w:pPr>
        <w:pStyle w:val="ListParagraph"/>
        <w:numPr>
          <w:ilvl w:val="2"/>
          <w:numId w:val="4"/>
        </w:numPr>
        <w:tabs>
          <w:tab w:pos="841" w:val="left" w:leader="none"/>
        </w:tabs>
        <w:spacing w:line="240" w:lineRule="auto" w:before="3" w:after="0"/>
        <w:ind w:left="839" w:right="154" w:hanging="360"/>
        <w:jc w:val="both"/>
        <w:rPr>
          <w:rFonts w:ascii="Symbol" w:hAnsi="Symbol"/>
          <w:sz w:val="22"/>
        </w:rPr>
      </w:pPr>
      <w:r>
        <w:rPr>
          <w:sz w:val="22"/>
        </w:rPr>
        <w:t>The tenants of the unit to be repaired must have a gross annual household income at or below</w:t>
      </w:r>
      <w:r>
        <w:rPr>
          <w:spacing w:val="-13"/>
          <w:sz w:val="22"/>
        </w:rPr>
        <w:t> </w:t>
      </w:r>
      <w:r>
        <w:rPr>
          <w:sz w:val="22"/>
        </w:rPr>
        <w:t>the</w:t>
      </w:r>
      <w:r>
        <w:rPr>
          <w:spacing w:val="-12"/>
          <w:sz w:val="22"/>
        </w:rPr>
        <w:t> </w:t>
      </w:r>
      <w:r>
        <w:rPr>
          <w:sz w:val="22"/>
        </w:rPr>
        <w:t>applicable</w:t>
      </w:r>
      <w:r>
        <w:rPr>
          <w:spacing w:val="-12"/>
          <w:sz w:val="22"/>
        </w:rPr>
        <w:t> </w:t>
      </w:r>
      <w:r>
        <w:rPr>
          <w:sz w:val="22"/>
        </w:rPr>
        <w:t>low-</w:t>
      </w:r>
      <w:r>
        <w:rPr>
          <w:spacing w:val="-11"/>
          <w:sz w:val="22"/>
        </w:rPr>
        <w:t> </w:t>
      </w:r>
      <w:r>
        <w:rPr>
          <w:sz w:val="22"/>
        </w:rPr>
        <w:t>and</w:t>
      </w:r>
      <w:r>
        <w:rPr>
          <w:spacing w:val="-12"/>
          <w:sz w:val="22"/>
        </w:rPr>
        <w:t> </w:t>
      </w:r>
      <w:r>
        <w:rPr>
          <w:sz w:val="22"/>
        </w:rPr>
        <w:t>moderate-income</w:t>
      </w:r>
      <w:r>
        <w:rPr>
          <w:spacing w:val="-15"/>
          <w:sz w:val="22"/>
        </w:rPr>
        <w:t> </w:t>
      </w:r>
      <w:r>
        <w:rPr>
          <w:sz w:val="22"/>
        </w:rPr>
        <w:t>limits</w:t>
      </w:r>
      <w:r>
        <w:rPr>
          <w:spacing w:val="-14"/>
          <w:sz w:val="22"/>
        </w:rPr>
        <w:t> </w:t>
      </w:r>
      <w:r>
        <w:rPr>
          <w:sz w:val="22"/>
        </w:rPr>
        <w:t>(</w:t>
      </w:r>
      <w:r>
        <w:rPr>
          <w:sz w:val="22"/>
          <w:u w:val="single"/>
        </w:rPr>
        <w:t>&lt;</w:t>
      </w:r>
      <w:r>
        <w:rPr>
          <w:sz w:val="22"/>
        </w:rPr>
        <w:t>80%</w:t>
      </w:r>
      <w:r>
        <w:rPr>
          <w:spacing w:val="-11"/>
          <w:sz w:val="22"/>
        </w:rPr>
        <w:t> </w:t>
      </w:r>
      <w:r>
        <w:rPr>
          <w:sz w:val="22"/>
        </w:rPr>
        <w:t>AMI)</w:t>
      </w:r>
      <w:r>
        <w:rPr>
          <w:spacing w:val="-11"/>
          <w:sz w:val="22"/>
        </w:rPr>
        <w:t> </w:t>
      </w:r>
      <w:r>
        <w:rPr>
          <w:sz w:val="22"/>
        </w:rPr>
        <w:t>as</w:t>
      </w:r>
      <w:r>
        <w:rPr>
          <w:spacing w:val="-12"/>
          <w:sz w:val="22"/>
        </w:rPr>
        <w:t> </w:t>
      </w:r>
      <w:r>
        <w:rPr>
          <w:sz w:val="22"/>
        </w:rPr>
        <w:t>established</w:t>
      </w:r>
      <w:r>
        <w:rPr>
          <w:spacing w:val="-12"/>
          <w:sz w:val="22"/>
        </w:rPr>
        <w:t> </w:t>
      </w:r>
      <w:r>
        <w:rPr>
          <w:sz w:val="22"/>
        </w:rPr>
        <w:t>by</w:t>
      </w:r>
      <w:r>
        <w:rPr>
          <w:spacing w:val="-12"/>
          <w:sz w:val="22"/>
        </w:rPr>
        <w:t> </w:t>
      </w:r>
      <w:r>
        <w:rPr>
          <w:sz w:val="22"/>
        </w:rPr>
        <w:t>HUD for the jurisdiction of Dallas, Texas. Income shall be calculated using the Part 5 method as outlined in 24 CFR 5.609. Income eligibility shall be determined at the time of the application or construction completion. Applicant household’s income eligibility is only valid for six months from the date of the last application.</w:t>
      </w:r>
    </w:p>
    <w:p>
      <w:pPr>
        <w:pStyle w:val="ListParagraph"/>
        <w:numPr>
          <w:ilvl w:val="2"/>
          <w:numId w:val="4"/>
        </w:numPr>
        <w:tabs>
          <w:tab w:pos="841" w:val="left" w:leader="none"/>
        </w:tabs>
        <w:spacing w:line="266" w:lineRule="exact" w:before="0" w:after="0"/>
        <w:ind w:left="840" w:right="0" w:hanging="361"/>
        <w:jc w:val="both"/>
        <w:rPr>
          <w:rFonts w:ascii="Symbol" w:hAnsi="Symbol"/>
          <w:sz w:val="22"/>
        </w:rPr>
      </w:pPr>
      <w:r>
        <w:rPr>
          <w:sz w:val="22"/>
        </w:rPr>
        <w:t>Applicant</w:t>
      </w:r>
      <w:r>
        <w:rPr>
          <w:spacing w:val="-5"/>
          <w:sz w:val="22"/>
        </w:rPr>
        <w:t> </w:t>
      </w:r>
      <w:r>
        <w:rPr>
          <w:sz w:val="22"/>
        </w:rPr>
        <w:t>must</w:t>
      </w:r>
      <w:r>
        <w:rPr>
          <w:spacing w:val="-2"/>
          <w:sz w:val="22"/>
        </w:rPr>
        <w:t> </w:t>
      </w:r>
      <w:r>
        <w:rPr>
          <w:sz w:val="22"/>
        </w:rPr>
        <w:t>be</w:t>
      </w:r>
      <w:r>
        <w:rPr>
          <w:spacing w:val="-7"/>
          <w:sz w:val="22"/>
        </w:rPr>
        <w:t> </w:t>
      </w:r>
      <w:r>
        <w:rPr>
          <w:sz w:val="22"/>
        </w:rPr>
        <w:t>willing</w:t>
      </w:r>
      <w:r>
        <w:rPr>
          <w:spacing w:val="-1"/>
          <w:sz w:val="22"/>
        </w:rPr>
        <w:t> </w:t>
      </w:r>
      <w:r>
        <w:rPr>
          <w:sz w:val="22"/>
        </w:rPr>
        <w:t>to</w:t>
      </w:r>
      <w:r>
        <w:rPr>
          <w:spacing w:val="-6"/>
          <w:sz w:val="22"/>
        </w:rPr>
        <w:t> </w:t>
      </w:r>
      <w:r>
        <w:rPr>
          <w:sz w:val="22"/>
        </w:rPr>
        <w:t>correct</w:t>
      </w:r>
      <w:r>
        <w:rPr>
          <w:spacing w:val="-5"/>
          <w:sz w:val="22"/>
        </w:rPr>
        <w:t> </w:t>
      </w:r>
      <w:r>
        <w:rPr>
          <w:sz w:val="22"/>
        </w:rPr>
        <w:t>all</w:t>
      </w:r>
      <w:r>
        <w:rPr>
          <w:spacing w:val="-4"/>
          <w:sz w:val="22"/>
        </w:rPr>
        <w:t> </w:t>
      </w:r>
      <w:r>
        <w:rPr>
          <w:sz w:val="22"/>
        </w:rPr>
        <w:t>code</w:t>
      </w:r>
      <w:r>
        <w:rPr>
          <w:spacing w:val="-6"/>
          <w:sz w:val="22"/>
        </w:rPr>
        <w:t> </w:t>
      </w:r>
      <w:r>
        <w:rPr>
          <w:sz w:val="22"/>
        </w:rPr>
        <w:t>violations</w:t>
      </w:r>
      <w:r>
        <w:rPr>
          <w:spacing w:val="-4"/>
          <w:sz w:val="22"/>
        </w:rPr>
        <w:t> </w:t>
      </w:r>
      <w:r>
        <w:rPr>
          <w:sz w:val="22"/>
        </w:rPr>
        <w:t>that</w:t>
      </w:r>
      <w:r>
        <w:rPr>
          <w:spacing w:val="-5"/>
          <w:sz w:val="22"/>
        </w:rPr>
        <w:t> </w:t>
      </w:r>
      <w:r>
        <w:rPr>
          <w:sz w:val="22"/>
        </w:rPr>
        <w:t>currently</w:t>
      </w:r>
      <w:r>
        <w:rPr>
          <w:spacing w:val="-3"/>
          <w:sz w:val="22"/>
        </w:rPr>
        <w:t> </w:t>
      </w:r>
      <w:r>
        <w:rPr>
          <w:sz w:val="22"/>
        </w:rPr>
        <w:t>exist</w:t>
      </w:r>
      <w:r>
        <w:rPr>
          <w:spacing w:val="-3"/>
          <w:sz w:val="22"/>
        </w:rPr>
        <w:t> </w:t>
      </w:r>
      <w:r>
        <w:rPr>
          <w:sz w:val="22"/>
        </w:rPr>
        <w:t>on</w:t>
      </w:r>
      <w:r>
        <w:rPr>
          <w:spacing w:val="-4"/>
          <w:sz w:val="22"/>
        </w:rPr>
        <w:t> </w:t>
      </w:r>
      <w:r>
        <w:rPr>
          <w:sz w:val="22"/>
        </w:rPr>
        <w:t>the</w:t>
      </w:r>
      <w:r>
        <w:rPr>
          <w:spacing w:val="-6"/>
          <w:sz w:val="22"/>
        </w:rPr>
        <w:t> </w:t>
      </w:r>
      <w:r>
        <w:rPr>
          <w:spacing w:val="-2"/>
          <w:sz w:val="22"/>
        </w:rPr>
        <w:t>property.</w:t>
      </w:r>
    </w:p>
    <w:p>
      <w:pPr>
        <w:pStyle w:val="ListParagraph"/>
        <w:numPr>
          <w:ilvl w:val="2"/>
          <w:numId w:val="4"/>
        </w:numPr>
        <w:tabs>
          <w:tab w:pos="841" w:val="left" w:leader="none"/>
        </w:tabs>
        <w:spacing w:line="237" w:lineRule="auto" w:before="2" w:after="0"/>
        <w:ind w:left="840" w:right="156" w:hanging="361"/>
        <w:jc w:val="both"/>
        <w:rPr>
          <w:rFonts w:ascii="Symbol" w:hAnsi="Symbol"/>
          <w:sz w:val="22"/>
        </w:rPr>
      </w:pPr>
      <w:r>
        <w:rPr>
          <w:sz w:val="22"/>
        </w:rPr>
        <w:t>The Applicant can apply to repair one or all four units as long as the entire structure is brought up to code.</w:t>
      </w:r>
    </w:p>
    <w:p>
      <w:pPr>
        <w:pStyle w:val="ListParagraph"/>
        <w:numPr>
          <w:ilvl w:val="2"/>
          <w:numId w:val="4"/>
        </w:numPr>
        <w:tabs>
          <w:tab w:pos="841" w:val="left" w:leader="none"/>
        </w:tabs>
        <w:spacing w:line="240" w:lineRule="auto" w:before="1" w:after="0"/>
        <w:ind w:left="840" w:right="156" w:hanging="361"/>
        <w:jc w:val="both"/>
        <w:rPr>
          <w:rFonts w:ascii="Symbol" w:hAnsi="Symbol"/>
          <w:sz w:val="22"/>
        </w:rPr>
      </w:pPr>
      <w:r>
        <w:rPr>
          <w:sz w:val="22"/>
        </w:rPr>
        <w:t>City Council Members, Department of Housing and Neighborhood Revitalization employees and any employee, official or agent of the City who exercises any policy or program decision-making function in connection with the Program are ineligible for assistance under the Program.</w:t>
      </w:r>
    </w:p>
    <w:p>
      <w:pPr>
        <w:spacing w:after="0" w:line="240" w:lineRule="auto"/>
        <w:jc w:val="both"/>
        <w:rPr>
          <w:rFonts w:ascii="Symbol" w:hAnsi="Symbol"/>
          <w:sz w:val="22"/>
        </w:rPr>
        <w:sectPr>
          <w:pgSz w:w="12240" w:h="15840"/>
          <w:pgMar w:header="0" w:footer="1738" w:top="1360" w:bottom="1920" w:left="1320" w:right="1280"/>
        </w:sectPr>
      </w:pPr>
    </w:p>
    <w:p>
      <w:pPr>
        <w:pStyle w:val="ListParagraph"/>
        <w:numPr>
          <w:ilvl w:val="2"/>
          <w:numId w:val="4"/>
        </w:numPr>
        <w:tabs>
          <w:tab w:pos="840" w:val="left" w:leader="none"/>
        </w:tabs>
        <w:spacing w:line="235" w:lineRule="auto" w:before="86" w:after="0"/>
        <w:ind w:left="840" w:right="155" w:hanging="360"/>
        <w:jc w:val="both"/>
        <w:rPr>
          <w:rFonts w:ascii="Symbol" w:hAnsi="Symbol"/>
          <w:sz w:val="24"/>
        </w:rPr>
      </w:pPr>
      <w:r>
        <w:rPr>
          <w:sz w:val="22"/>
        </w:rPr>
        <w:t>Applicant must adhere to the Dallas City Code, including but not limited to Section 20A and comply with HUD HOME rent limits and other applicable state, local, and federal </w:t>
      </w:r>
      <w:r>
        <w:rPr>
          <w:spacing w:val="-2"/>
          <w:sz w:val="22"/>
        </w:rPr>
        <w:t>requirements.</w:t>
      </w:r>
    </w:p>
    <w:p>
      <w:pPr>
        <w:pStyle w:val="BodyText"/>
        <w:spacing w:before="3"/>
      </w:pPr>
    </w:p>
    <w:p>
      <w:pPr>
        <w:pStyle w:val="Heading5"/>
      </w:pPr>
      <w:r>
        <w:rPr/>
        <w:t>Property</w:t>
      </w:r>
      <w:r>
        <w:rPr>
          <w:spacing w:val="-6"/>
        </w:rPr>
        <w:t> </w:t>
      </w:r>
      <w:r>
        <w:rPr>
          <w:spacing w:val="-2"/>
        </w:rPr>
        <w:t>Eligibility</w:t>
      </w:r>
    </w:p>
    <w:p>
      <w:pPr>
        <w:pStyle w:val="ListParagraph"/>
        <w:numPr>
          <w:ilvl w:val="0"/>
          <w:numId w:val="6"/>
        </w:numPr>
        <w:tabs>
          <w:tab w:pos="840" w:val="left" w:leader="none"/>
        </w:tabs>
        <w:spacing w:line="240" w:lineRule="auto" w:before="52" w:after="0"/>
        <w:ind w:left="839" w:right="156" w:hanging="360"/>
        <w:jc w:val="both"/>
        <w:rPr>
          <w:sz w:val="22"/>
        </w:rPr>
      </w:pPr>
      <w:r>
        <w:rPr/>
        <w:pict>
          <v:shape style="position:absolute;margin-left:90.065002pt;margin-top:32.257015pt;width:395.3pt;height:419pt;mso-position-horizontal-relative:page;mso-position-vertical-relative:paragraph;z-index:-17731584" id="docshape31" coordorigin="1801,645" coordsize="7906,8380" path="m4498,7909l4492,7835,4477,7757,4455,7674,4432,7605,4403,7533,4367,7458,4325,7380,4276,7300,4237,7241,4200,7190,4200,7876,4197,7932,4186,7989,4167,8046,4138,8106,4097,8169,4044,8235,3979,8304,3674,8610,2216,7152,2517,6851,2598,6775,2672,6715,2740,6672,2801,6645,2868,6630,2941,6626,3020,6633,3105,6651,3195,6680,3255,6706,3317,6738,3380,6777,3446,6822,3514,6873,3584,6931,3656,6996,3729,7068,3789,7129,3845,7189,3896,7248,3943,7306,3986,7363,4025,7418,4059,7472,4101,7546,4136,7619,4163,7688,4183,7755,4196,7819,4200,7876,4200,7190,4194,7181,4148,7121,4098,7060,4045,6999,3989,6938,3929,6876,3865,6814,3801,6756,3737,6701,3673,6649,3643,6626,3609,6601,3546,6557,3482,6515,3419,6478,3346,6440,3274,6407,3203,6380,3132,6358,3062,6341,2992,6329,2923,6322,2850,6320,2779,6327,2709,6342,2642,6365,2577,6395,2528,6424,2476,6461,2420,6506,2359,6560,2294,6623,1801,7116,3710,9024,4124,8610,4226,8508,4287,8443,4341,8377,4386,8311,4424,8245,4454,8178,4476,8112,4491,8045,4498,7977,4498,7909xm6418,6316l6056,6188,5650,6045,5561,6016,5475,5992,5393,5973,5365,5968,5314,5959,5239,5949,5193,5947,5143,5950,5089,5957,5030,5968,5073,5898,5109,5829,5136,5759,5154,5691,5164,5622,5165,5554,5157,5486,5139,5408,5111,5332,5075,5257,5030,5185,4976,5114,4956,5091,4913,5045,4872,5007,4872,5564,4868,5620,4854,5675,4830,5731,4794,5790,4747,5851,4687,5914,4280,6322,3649,5690,4102,5237,4166,5180,4229,5137,4293,5108,4358,5092,4422,5091,4501,5106,4577,5136,4649,5181,4718,5240,4761,5288,4797,5339,4827,5393,4851,5449,4867,5507,4872,5564,4872,5007,4849,4986,4782,4933,4713,4888,4641,4849,4566,4817,4474,4789,4386,4776,4303,4778,4225,4794,4163,4819,4098,4855,4030,4904,3958,4963,3883,5034,3248,5669,5157,7577,5346,7388,4499,6540,4718,6322,4753,6287,4783,6260,4810,6239,4833,6224,4863,6211,4896,6200,4932,6192,4971,6188,5014,6188,5066,6193,5125,6204,5194,6220,5256,6237,5328,6258,5407,6283,5496,6312,6180,6554,6418,6316xm7780,4953l7415,4758,6555,4304,6555,4611,6070,5097,6030,5025,5989,4953,5748,4523,5708,4451,5668,4380,5629,4314,5590,4249,5550,4185,5509,4122,5467,4060,5424,3999,5380,3938,5436,3974,5498,4012,5564,4051,5635,4093,5792,4184,6555,4611,6555,4304,5862,3938,5286,3631,5082,3835,5277,4186,5316,4256,5701,4953,6207,5872,6441,6293,6642,6092,6565,5959,6298,5490,6221,5357,6481,5097,6820,4758,7173,4953,7565,5169,7780,4953xm8131,4603l7264,3736,7936,3064,7711,2839,7039,3511,6448,2920,7224,2144,6999,1918,6033,2884,7941,4792,8131,4603xm9707,3027l8024,1344,8497,870,8272,645,7138,1780,7363,2005,7834,1533,9517,3216,9707,3027xe" filled="true" fillcolor="#c0c0c0" stroked="false">
            <v:path arrowok="t"/>
            <v:fill opacity="32896f" type="solid"/>
            <w10:wrap type="none"/>
          </v:shape>
        </w:pict>
      </w:r>
      <w:r>
        <w:rPr>
          <w:sz w:val="22"/>
        </w:rPr>
        <w:t>The property must be a single-family (1-4 units) renter occupied dwelling located within the City of Dallas, Texas city limits. Properties with over 4 units are not eligible for rehabilitation assistance under this program.</w:t>
      </w:r>
    </w:p>
    <w:p>
      <w:pPr>
        <w:pStyle w:val="ListParagraph"/>
        <w:numPr>
          <w:ilvl w:val="0"/>
          <w:numId w:val="6"/>
        </w:numPr>
        <w:tabs>
          <w:tab w:pos="840" w:val="left" w:leader="none"/>
        </w:tabs>
        <w:spacing w:line="240" w:lineRule="auto" w:before="0" w:after="0"/>
        <w:ind w:left="839" w:right="158" w:hanging="360"/>
        <w:jc w:val="both"/>
        <w:rPr>
          <w:sz w:val="22"/>
        </w:rPr>
      </w:pPr>
      <w:r>
        <w:rPr>
          <w:sz w:val="22"/>
        </w:rPr>
        <w:t>If Applicant has a mortgage or other loan then the Applicant(s) must be current in their </w:t>
      </w:r>
      <w:r>
        <w:rPr>
          <w:spacing w:val="-2"/>
          <w:sz w:val="22"/>
        </w:rPr>
        <w:t>loan.</w:t>
      </w:r>
    </w:p>
    <w:p>
      <w:pPr>
        <w:pStyle w:val="ListParagraph"/>
        <w:numPr>
          <w:ilvl w:val="0"/>
          <w:numId w:val="6"/>
        </w:numPr>
        <w:tabs>
          <w:tab w:pos="840" w:val="left" w:leader="none"/>
        </w:tabs>
        <w:spacing w:line="240" w:lineRule="auto" w:before="0" w:after="0"/>
        <w:ind w:left="839" w:right="158" w:hanging="360"/>
        <w:jc w:val="both"/>
        <w:rPr>
          <w:sz w:val="22"/>
        </w:rPr>
      </w:pPr>
      <w:r>
        <w:rPr>
          <w:sz w:val="22"/>
        </w:rPr>
        <w:t>Must obtain environmental clearance under 24 CFR Part 58.5, as amended prior to committing rehabilitation funds.</w:t>
      </w:r>
    </w:p>
    <w:p>
      <w:pPr>
        <w:pStyle w:val="ListParagraph"/>
        <w:numPr>
          <w:ilvl w:val="0"/>
          <w:numId w:val="6"/>
        </w:numPr>
        <w:tabs>
          <w:tab w:pos="840" w:val="left" w:leader="none"/>
        </w:tabs>
        <w:spacing w:line="252" w:lineRule="exact" w:before="0" w:after="0"/>
        <w:ind w:left="839" w:right="0" w:hanging="361"/>
        <w:jc w:val="both"/>
        <w:rPr>
          <w:sz w:val="22"/>
        </w:rPr>
      </w:pPr>
      <w:r>
        <w:rPr>
          <w:sz w:val="22"/>
        </w:rPr>
        <w:t>Property</w:t>
      </w:r>
      <w:r>
        <w:rPr>
          <w:spacing w:val="-8"/>
          <w:sz w:val="22"/>
        </w:rPr>
        <w:t> </w:t>
      </w:r>
      <w:r>
        <w:rPr>
          <w:sz w:val="22"/>
        </w:rPr>
        <w:t>taxes</w:t>
      </w:r>
      <w:r>
        <w:rPr>
          <w:spacing w:val="-6"/>
          <w:sz w:val="22"/>
        </w:rPr>
        <w:t> </w:t>
      </w:r>
      <w:r>
        <w:rPr>
          <w:sz w:val="22"/>
        </w:rPr>
        <w:t>must</w:t>
      </w:r>
      <w:r>
        <w:rPr>
          <w:spacing w:val="-1"/>
          <w:sz w:val="22"/>
        </w:rPr>
        <w:t> </w:t>
      </w:r>
      <w:r>
        <w:rPr>
          <w:sz w:val="22"/>
        </w:rPr>
        <w:t>be</w:t>
      </w:r>
      <w:r>
        <w:rPr>
          <w:spacing w:val="-6"/>
          <w:sz w:val="22"/>
        </w:rPr>
        <w:t> </w:t>
      </w:r>
      <w:r>
        <w:rPr>
          <w:sz w:val="22"/>
        </w:rPr>
        <w:t>current.</w:t>
      </w:r>
      <w:r>
        <w:rPr>
          <w:spacing w:val="-4"/>
          <w:sz w:val="22"/>
        </w:rPr>
        <w:t> </w:t>
      </w:r>
      <w:r>
        <w:rPr>
          <w:sz w:val="22"/>
        </w:rPr>
        <w:t>Property</w:t>
      </w:r>
      <w:r>
        <w:rPr>
          <w:spacing w:val="-5"/>
          <w:sz w:val="22"/>
        </w:rPr>
        <w:t> </w:t>
      </w:r>
      <w:r>
        <w:rPr>
          <w:sz w:val="22"/>
        </w:rPr>
        <w:t>taxes</w:t>
      </w:r>
      <w:r>
        <w:rPr>
          <w:spacing w:val="-6"/>
          <w:sz w:val="22"/>
        </w:rPr>
        <w:t> </w:t>
      </w:r>
      <w:r>
        <w:rPr>
          <w:sz w:val="22"/>
        </w:rPr>
        <w:t>must</w:t>
      </w:r>
      <w:r>
        <w:rPr>
          <w:spacing w:val="-2"/>
          <w:sz w:val="22"/>
        </w:rPr>
        <w:t> </w:t>
      </w:r>
      <w:r>
        <w:rPr>
          <w:sz w:val="22"/>
        </w:rPr>
        <w:t>not</w:t>
      </w:r>
      <w:r>
        <w:rPr>
          <w:spacing w:val="-1"/>
          <w:sz w:val="22"/>
        </w:rPr>
        <w:t> </w:t>
      </w:r>
      <w:r>
        <w:rPr>
          <w:sz w:val="22"/>
        </w:rPr>
        <w:t>be</w:t>
      </w:r>
      <w:r>
        <w:rPr>
          <w:spacing w:val="-6"/>
          <w:sz w:val="22"/>
        </w:rPr>
        <w:t> </w:t>
      </w:r>
      <w:r>
        <w:rPr>
          <w:sz w:val="22"/>
        </w:rPr>
        <w:t>delinquent</w:t>
      </w:r>
      <w:r>
        <w:rPr>
          <w:spacing w:val="-5"/>
          <w:sz w:val="22"/>
        </w:rPr>
        <w:t> </w:t>
      </w:r>
      <w:r>
        <w:rPr>
          <w:sz w:val="22"/>
        </w:rPr>
        <w:t>for</w:t>
      </w:r>
      <w:r>
        <w:rPr>
          <w:spacing w:val="-6"/>
          <w:sz w:val="22"/>
        </w:rPr>
        <w:t> </w:t>
      </w:r>
      <w:r>
        <w:rPr>
          <w:sz w:val="22"/>
        </w:rPr>
        <w:t>any</w:t>
      </w:r>
      <w:r>
        <w:rPr>
          <w:spacing w:val="-3"/>
          <w:sz w:val="22"/>
        </w:rPr>
        <w:t> </w:t>
      </w:r>
      <w:r>
        <w:rPr>
          <w:sz w:val="22"/>
        </w:rPr>
        <w:t>tax</w:t>
      </w:r>
      <w:r>
        <w:rPr>
          <w:spacing w:val="-5"/>
          <w:sz w:val="22"/>
        </w:rPr>
        <w:t> </w:t>
      </w:r>
      <w:r>
        <w:rPr>
          <w:spacing w:val="-2"/>
          <w:sz w:val="22"/>
        </w:rPr>
        <w:t>year.</w:t>
      </w:r>
    </w:p>
    <w:p>
      <w:pPr>
        <w:pStyle w:val="ListParagraph"/>
        <w:numPr>
          <w:ilvl w:val="0"/>
          <w:numId w:val="6"/>
        </w:numPr>
        <w:tabs>
          <w:tab w:pos="840" w:val="left" w:leader="none"/>
        </w:tabs>
        <w:spacing w:line="240" w:lineRule="auto" w:before="0" w:after="0"/>
        <w:ind w:left="839" w:right="156" w:hanging="360"/>
        <w:jc w:val="both"/>
        <w:rPr>
          <w:sz w:val="22"/>
        </w:rPr>
      </w:pPr>
      <w:r>
        <w:rPr>
          <w:sz w:val="22"/>
        </w:rPr>
        <w:t>Applicant must register with the Code Compliance Single Family Rental Division, or successor department, as determined by the City.</w:t>
      </w:r>
    </w:p>
    <w:p>
      <w:pPr>
        <w:pStyle w:val="ListParagraph"/>
        <w:numPr>
          <w:ilvl w:val="0"/>
          <w:numId w:val="6"/>
        </w:numPr>
        <w:tabs>
          <w:tab w:pos="840" w:val="left" w:leader="none"/>
        </w:tabs>
        <w:spacing w:line="240" w:lineRule="auto" w:before="0" w:after="0"/>
        <w:ind w:left="839" w:right="159" w:hanging="361"/>
        <w:jc w:val="both"/>
        <w:rPr>
          <w:sz w:val="22"/>
        </w:rPr>
      </w:pPr>
      <w:r>
        <w:rPr>
          <w:sz w:val="22"/>
        </w:rPr>
        <w:t>Applicant must certify that the unit is not for sale and that the unit being applied for is occupied by an income-eligible tenant or will be at the completion of construction</w:t>
      </w:r>
    </w:p>
    <w:p>
      <w:pPr>
        <w:pStyle w:val="ListParagraph"/>
        <w:numPr>
          <w:ilvl w:val="0"/>
          <w:numId w:val="6"/>
        </w:numPr>
        <w:tabs>
          <w:tab w:pos="840" w:val="left" w:leader="none"/>
        </w:tabs>
        <w:spacing w:line="240" w:lineRule="auto" w:before="0" w:after="0"/>
        <w:ind w:left="839" w:right="156" w:hanging="360"/>
        <w:jc w:val="both"/>
        <w:rPr>
          <w:sz w:val="22"/>
        </w:rPr>
      </w:pPr>
      <w:r>
        <w:rPr>
          <w:sz w:val="22"/>
        </w:rPr>
        <w:t>Standard</w:t>
      </w:r>
      <w:r>
        <w:rPr>
          <w:spacing w:val="-4"/>
          <w:sz w:val="22"/>
        </w:rPr>
        <w:t> </w:t>
      </w:r>
      <w:r>
        <w:rPr>
          <w:sz w:val="22"/>
        </w:rPr>
        <w:t>property</w:t>
      </w:r>
      <w:r>
        <w:rPr>
          <w:spacing w:val="-4"/>
          <w:sz w:val="22"/>
        </w:rPr>
        <w:t> </w:t>
      </w:r>
      <w:r>
        <w:rPr>
          <w:sz w:val="22"/>
        </w:rPr>
        <w:t>insurance,</w:t>
      </w:r>
      <w:r>
        <w:rPr>
          <w:spacing w:val="-3"/>
          <w:sz w:val="22"/>
        </w:rPr>
        <w:t> </w:t>
      </w:r>
      <w:r>
        <w:rPr>
          <w:sz w:val="22"/>
        </w:rPr>
        <w:t>satisfactory</w:t>
      </w:r>
      <w:r>
        <w:rPr>
          <w:spacing w:val="-4"/>
          <w:sz w:val="22"/>
        </w:rPr>
        <w:t> </w:t>
      </w:r>
      <w:r>
        <w:rPr>
          <w:sz w:val="22"/>
        </w:rPr>
        <w:t>to</w:t>
      </w:r>
      <w:r>
        <w:rPr>
          <w:spacing w:val="-4"/>
          <w:sz w:val="22"/>
        </w:rPr>
        <w:t> </w:t>
      </w:r>
      <w:r>
        <w:rPr>
          <w:sz w:val="22"/>
        </w:rPr>
        <w:t>the</w:t>
      </w:r>
      <w:r>
        <w:rPr>
          <w:spacing w:val="-4"/>
          <w:sz w:val="22"/>
        </w:rPr>
        <w:t> </w:t>
      </w:r>
      <w:r>
        <w:rPr>
          <w:sz w:val="22"/>
        </w:rPr>
        <w:t>City,</w:t>
      </w:r>
      <w:r>
        <w:rPr>
          <w:spacing w:val="-2"/>
          <w:sz w:val="22"/>
        </w:rPr>
        <w:t> </w:t>
      </w:r>
      <w:r>
        <w:rPr>
          <w:sz w:val="22"/>
        </w:rPr>
        <w:t>must</w:t>
      </w:r>
      <w:r>
        <w:rPr>
          <w:spacing w:val="-3"/>
          <w:sz w:val="22"/>
        </w:rPr>
        <w:t> </w:t>
      </w:r>
      <w:r>
        <w:rPr>
          <w:sz w:val="22"/>
        </w:rPr>
        <w:t>be</w:t>
      </w:r>
      <w:r>
        <w:rPr>
          <w:spacing w:val="-4"/>
          <w:sz w:val="22"/>
        </w:rPr>
        <w:t> </w:t>
      </w:r>
      <w:r>
        <w:rPr>
          <w:sz w:val="22"/>
        </w:rPr>
        <w:t>maintained</w:t>
      </w:r>
      <w:r>
        <w:rPr>
          <w:spacing w:val="-4"/>
          <w:sz w:val="22"/>
        </w:rPr>
        <w:t> </w:t>
      </w:r>
      <w:r>
        <w:rPr>
          <w:sz w:val="22"/>
        </w:rPr>
        <w:t>on</w:t>
      </w:r>
      <w:r>
        <w:rPr>
          <w:spacing w:val="-2"/>
          <w:sz w:val="22"/>
        </w:rPr>
        <w:t> </w:t>
      </w:r>
      <w:r>
        <w:rPr>
          <w:sz w:val="22"/>
        </w:rPr>
        <w:t>the</w:t>
      </w:r>
      <w:r>
        <w:rPr>
          <w:spacing w:val="-4"/>
          <w:sz w:val="22"/>
        </w:rPr>
        <w:t> </w:t>
      </w:r>
      <w:r>
        <w:rPr>
          <w:sz w:val="22"/>
        </w:rPr>
        <w:t>property (with coverage adequate to insure the City’s lien position). If a property is located in a floodplain,</w:t>
      </w:r>
      <w:r>
        <w:rPr>
          <w:spacing w:val="-4"/>
          <w:sz w:val="22"/>
        </w:rPr>
        <w:t> </w:t>
      </w:r>
      <w:r>
        <w:rPr>
          <w:sz w:val="22"/>
        </w:rPr>
        <w:t>flood</w:t>
      </w:r>
      <w:r>
        <w:rPr>
          <w:spacing w:val="-5"/>
          <w:sz w:val="22"/>
        </w:rPr>
        <w:t> </w:t>
      </w:r>
      <w:r>
        <w:rPr>
          <w:sz w:val="22"/>
        </w:rPr>
        <w:t>insurance</w:t>
      </w:r>
      <w:r>
        <w:rPr>
          <w:spacing w:val="-5"/>
          <w:sz w:val="22"/>
        </w:rPr>
        <w:t> </w:t>
      </w:r>
      <w:r>
        <w:rPr>
          <w:sz w:val="22"/>
        </w:rPr>
        <w:t>must</w:t>
      </w:r>
      <w:r>
        <w:rPr>
          <w:spacing w:val="-6"/>
          <w:sz w:val="22"/>
        </w:rPr>
        <w:t> </w:t>
      </w:r>
      <w:r>
        <w:rPr>
          <w:sz w:val="22"/>
        </w:rPr>
        <w:t>also</w:t>
      </w:r>
      <w:r>
        <w:rPr>
          <w:spacing w:val="-5"/>
          <w:sz w:val="22"/>
        </w:rPr>
        <w:t> </w:t>
      </w:r>
      <w:r>
        <w:rPr>
          <w:sz w:val="22"/>
        </w:rPr>
        <w:t>be</w:t>
      </w:r>
      <w:r>
        <w:rPr>
          <w:spacing w:val="-7"/>
          <w:sz w:val="22"/>
        </w:rPr>
        <w:t> </w:t>
      </w:r>
      <w:r>
        <w:rPr>
          <w:sz w:val="22"/>
        </w:rPr>
        <w:t>maintained</w:t>
      </w:r>
      <w:r>
        <w:rPr>
          <w:spacing w:val="-5"/>
          <w:sz w:val="22"/>
        </w:rPr>
        <w:t> </w:t>
      </w:r>
      <w:r>
        <w:rPr>
          <w:sz w:val="22"/>
        </w:rPr>
        <w:t>with</w:t>
      </w:r>
      <w:r>
        <w:rPr>
          <w:spacing w:val="-5"/>
          <w:sz w:val="22"/>
        </w:rPr>
        <w:t> </w:t>
      </w:r>
      <w:r>
        <w:rPr>
          <w:sz w:val="22"/>
        </w:rPr>
        <w:t>coverage</w:t>
      </w:r>
      <w:r>
        <w:rPr>
          <w:spacing w:val="-7"/>
          <w:sz w:val="22"/>
        </w:rPr>
        <w:t> </w:t>
      </w:r>
      <w:r>
        <w:rPr>
          <w:sz w:val="22"/>
        </w:rPr>
        <w:t>adequate</w:t>
      </w:r>
      <w:r>
        <w:rPr>
          <w:spacing w:val="-5"/>
          <w:sz w:val="22"/>
        </w:rPr>
        <w:t> </w:t>
      </w:r>
      <w:r>
        <w:rPr>
          <w:sz w:val="22"/>
        </w:rPr>
        <w:t>to</w:t>
      </w:r>
      <w:r>
        <w:rPr>
          <w:spacing w:val="-7"/>
          <w:sz w:val="22"/>
        </w:rPr>
        <w:t> </w:t>
      </w:r>
      <w:r>
        <w:rPr>
          <w:sz w:val="22"/>
        </w:rPr>
        <w:t>insure</w:t>
      </w:r>
      <w:r>
        <w:rPr>
          <w:spacing w:val="-7"/>
          <w:sz w:val="22"/>
        </w:rPr>
        <w:t> </w:t>
      </w:r>
      <w:r>
        <w:rPr>
          <w:sz w:val="22"/>
        </w:rPr>
        <w:t>the City’s</w:t>
      </w:r>
      <w:r>
        <w:rPr>
          <w:spacing w:val="-13"/>
          <w:sz w:val="22"/>
        </w:rPr>
        <w:t> </w:t>
      </w:r>
      <w:r>
        <w:rPr>
          <w:sz w:val="22"/>
        </w:rPr>
        <w:t>lien</w:t>
      </w:r>
      <w:r>
        <w:rPr>
          <w:spacing w:val="-14"/>
          <w:sz w:val="22"/>
        </w:rPr>
        <w:t> </w:t>
      </w:r>
      <w:r>
        <w:rPr>
          <w:sz w:val="22"/>
        </w:rPr>
        <w:t>position.</w:t>
      </w:r>
      <w:r>
        <w:rPr>
          <w:spacing w:val="-12"/>
          <w:sz w:val="22"/>
        </w:rPr>
        <w:t> </w:t>
      </w:r>
      <w:r>
        <w:rPr>
          <w:sz w:val="22"/>
        </w:rPr>
        <w:t>Insurance</w:t>
      </w:r>
      <w:r>
        <w:rPr>
          <w:spacing w:val="-14"/>
          <w:sz w:val="22"/>
        </w:rPr>
        <w:t> </w:t>
      </w:r>
      <w:r>
        <w:rPr>
          <w:sz w:val="22"/>
        </w:rPr>
        <w:t>will</w:t>
      </w:r>
      <w:r>
        <w:rPr>
          <w:spacing w:val="-14"/>
          <w:sz w:val="22"/>
        </w:rPr>
        <w:t> </w:t>
      </w:r>
      <w:r>
        <w:rPr>
          <w:sz w:val="22"/>
        </w:rPr>
        <w:t>be</w:t>
      </w:r>
      <w:r>
        <w:rPr>
          <w:spacing w:val="-14"/>
          <w:sz w:val="22"/>
        </w:rPr>
        <w:t> </w:t>
      </w:r>
      <w:r>
        <w:rPr>
          <w:sz w:val="22"/>
        </w:rPr>
        <w:t>monitored</w:t>
      </w:r>
      <w:r>
        <w:rPr>
          <w:spacing w:val="-14"/>
          <w:sz w:val="22"/>
        </w:rPr>
        <w:t> </w:t>
      </w:r>
      <w:r>
        <w:rPr>
          <w:sz w:val="22"/>
        </w:rPr>
        <w:t>during</w:t>
      </w:r>
      <w:r>
        <w:rPr>
          <w:spacing w:val="-14"/>
          <w:sz w:val="22"/>
        </w:rPr>
        <w:t> </w:t>
      </w:r>
      <w:r>
        <w:rPr>
          <w:sz w:val="22"/>
        </w:rPr>
        <w:t>the</w:t>
      </w:r>
      <w:r>
        <w:rPr>
          <w:spacing w:val="-14"/>
          <w:sz w:val="22"/>
        </w:rPr>
        <w:t> </w:t>
      </w:r>
      <w:r>
        <w:rPr>
          <w:sz w:val="22"/>
        </w:rPr>
        <w:t>length</w:t>
      </w:r>
      <w:r>
        <w:rPr>
          <w:spacing w:val="-14"/>
          <w:sz w:val="22"/>
        </w:rPr>
        <w:t> </w:t>
      </w:r>
      <w:r>
        <w:rPr>
          <w:sz w:val="22"/>
        </w:rPr>
        <w:t>of</w:t>
      </w:r>
      <w:r>
        <w:rPr>
          <w:spacing w:val="-12"/>
          <w:sz w:val="22"/>
        </w:rPr>
        <w:t> </w:t>
      </w:r>
      <w:r>
        <w:rPr>
          <w:sz w:val="22"/>
        </w:rPr>
        <w:t>the</w:t>
      </w:r>
      <w:r>
        <w:rPr>
          <w:spacing w:val="-14"/>
          <w:sz w:val="22"/>
        </w:rPr>
        <w:t> </w:t>
      </w:r>
      <w:r>
        <w:rPr>
          <w:sz w:val="22"/>
        </w:rPr>
        <w:t>compliance</w:t>
      </w:r>
      <w:r>
        <w:rPr>
          <w:spacing w:val="-14"/>
          <w:sz w:val="22"/>
        </w:rPr>
        <w:t> </w:t>
      </w:r>
      <w:r>
        <w:rPr>
          <w:sz w:val="22"/>
        </w:rPr>
        <w:t>period, which will be until the loan is repaid in full or forgiven, as detailed below.</w:t>
      </w:r>
    </w:p>
    <w:p>
      <w:pPr>
        <w:pStyle w:val="ListParagraph"/>
        <w:numPr>
          <w:ilvl w:val="0"/>
          <w:numId w:val="6"/>
        </w:numPr>
        <w:tabs>
          <w:tab w:pos="840" w:val="left" w:leader="none"/>
        </w:tabs>
        <w:spacing w:line="240" w:lineRule="auto" w:before="0" w:after="0"/>
        <w:ind w:left="839" w:right="159" w:hanging="360"/>
        <w:jc w:val="both"/>
        <w:rPr>
          <w:sz w:val="22"/>
        </w:rPr>
      </w:pPr>
      <w:r>
        <w:rPr>
          <w:sz w:val="22"/>
        </w:rPr>
        <w:t>Must</w:t>
      </w:r>
      <w:r>
        <w:rPr>
          <w:spacing w:val="-7"/>
          <w:sz w:val="22"/>
        </w:rPr>
        <w:t> </w:t>
      </w:r>
      <w:r>
        <w:rPr>
          <w:sz w:val="22"/>
        </w:rPr>
        <w:t>not</w:t>
      </w:r>
      <w:r>
        <w:rPr>
          <w:spacing w:val="-7"/>
          <w:sz w:val="22"/>
        </w:rPr>
        <w:t> </w:t>
      </w:r>
      <w:r>
        <w:rPr>
          <w:sz w:val="22"/>
        </w:rPr>
        <w:t>have</w:t>
      </w:r>
      <w:r>
        <w:rPr>
          <w:spacing w:val="-11"/>
          <w:sz w:val="22"/>
        </w:rPr>
        <w:t> </w:t>
      </w:r>
      <w:r>
        <w:rPr>
          <w:sz w:val="22"/>
        </w:rPr>
        <w:t>more</w:t>
      </w:r>
      <w:r>
        <w:rPr>
          <w:spacing w:val="-9"/>
          <w:sz w:val="22"/>
        </w:rPr>
        <w:t> </w:t>
      </w:r>
      <w:r>
        <w:rPr>
          <w:sz w:val="22"/>
        </w:rPr>
        <w:t>than</w:t>
      </w:r>
      <w:r>
        <w:rPr>
          <w:spacing w:val="-9"/>
          <w:sz w:val="22"/>
        </w:rPr>
        <w:t> </w:t>
      </w:r>
      <w:r>
        <w:rPr>
          <w:sz w:val="22"/>
        </w:rPr>
        <w:t>one</w:t>
      </w:r>
      <w:r>
        <w:rPr>
          <w:spacing w:val="-6"/>
          <w:sz w:val="22"/>
        </w:rPr>
        <w:t> </w:t>
      </w:r>
      <w:r>
        <w:rPr>
          <w:sz w:val="22"/>
        </w:rPr>
        <w:t>outstanding</w:t>
      </w:r>
      <w:r>
        <w:rPr>
          <w:spacing w:val="-6"/>
          <w:sz w:val="22"/>
        </w:rPr>
        <w:t> </w:t>
      </w:r>
      <w:r>
        <w:rPr>
          <w:sz w:val="22"/>
        </w:rPr>
        <w:t>loan</w:t>
      </w:r>
      <w:r>
        <w:rPr>
          <w:spacing w:val="-6"/>
          <w:sz w:val="22"/>
        </w:rPr>
        <w:t> </w:t>
      </w:r>
      <w:r>
        <w:rPr>
          <w:sz w:val="22"/>
        </w:rPr>
        <w:t>on</w:t>
      </w:r>
      <w:r>
        <w:rPr>
          <w:spacing w:val="-11"/>
          <w:sz w:val="22"/>
        </w:rPr>
        <w:t> </w:t>
      </w:r>
      <w:r>
        <w:rPr>
          <w:sz w:val="22"/>
        </w:rPr>
        <w:t>the</w:t>
      </w:r>
      <w:r>
        <w:rPr>
          <w:spacing w:val="-6"/>
          <w:sz w:val="22"/>
        </w:rPr>
        <w:t> </w:t>
      </w:r>
      <w:r>
        <w:rPr>
          <w:sz w:val="22"/>
        </w:rPr>
        <w:t>property.</w:t>
      </w:r>
      <w:r>
        <w:rPr>
          <w:spacing w:val="-7"/>
          <w:sz w:val="22"/>
        </w:rPr>
        <w:t> </w:t>
      </w:r>
      <w:r>
        <w:rPr>
          <w:sz w:val="22"/>
        </w:rPr>
        <w:t>City</w:t>
      </w:r>
      <w:r>
        <w:rPr>
          <w:spacing w:val="-8"/>
          <w:sz w:val="22"/>
        </w:rPr>
        <w:t> </w:t>
      </w:r>
      <w:r>
        <w:rPr>
          <w:sz w:val="22"/>
        </w:rPr>
        <w:t>will</w:t>
      </w:r>
      <w:r>
        <w:rPr>
          <w:spacing w:val="-7"/>
          <w:sz w:val="22"/>
        </w:rPr>
        <w:t> </w:t>
      </w:r>
      <w:r>
        <w:rPr>
          <w:sz w:val="22"/>
        </w:rPr>
        <w:t>only</w:t>
      </w:r>
      <w:r>
        <w:rPr>
          <w:spacing w:val="-6"/>
          <w:sz w:val="22"/>
        </w:rPr>
        <w:t> </w:t>
      </w:r>
      <w:r>
        <w:rPr>
          <w:sz w:val="22"/>
        </w:rPr>
        <w:t>accept</w:t>
      </w:r>
      <w:r>
        <w:rPr>
          <w:spacing w:val="-5"/>
          <w:sz w:val="22"/>
        </w:rPr>
        <w:t> </w:t>
      </w:r>
      <w:r>
        <w:rPr>
          <w:sz w:val="22"/>
        </w:rPr>
        <w:t>a</w:t>
      </w:r>
      <w:r>
        <w:rPr>
          <w:spacing w:val="-9"/>
          <w:sz w:val="22"/>
        </w:rPr>
        <w:t> </w:t>
      </w:r>
      <w:r>
        <w:rPr>
          <w:sz w:val="22"/>
        </w:rPr>
        <w:t>first or</w:t>
      </w:r>
      <w:r>
        <w:rPr>
          <w:spacing w:val="-9"/>
          <w:sz w:val="22"/>
        </w:rPr>
        <w:t> </w:t>
      </w:r>
      <w:r>
        <w:rPr>
          <w:sz w:val="22"/>
        </w:rPr>
        <w:t>second</w:t>
      </w:r>
      <w:r>
        <w:rPr>
          <w:spacing w:val="-10"/>
          <w:sz w:val="22"/>
        </w:rPr>
        <w:t> </w:t>
      </w:r>
      <w:r>
        <w:rPr>
          <w:sz w:val="22"/>
        </w:rPr>
        <w:t>lien</w:t>
      </w:r>
      <w:r>
        <w:rPr>
          <w:spacing w:val="-10"/>
          <w:sz w:val="22"/>
        </w:rPr>
        <w:t> </w:t>
      </w:r>
      <w:r>
        <w:rPr>
          <w:sz w:val="22"/>
        </w:rPr>
        <w:t>position.</w:t>
      </w:r>
      <w:r>
        <w:rPr>
          <w:spacing w:val="-8"/>
          <w:sz w:val="22"/>
        </w:rPr>
        <w:t> </w:t>
      </w:r>
      <w:r>
        <w:rPr>
          <w:sz w:val="22"/>
        </w:rPr>
        <w:t>Applicants</w:t>
      </w:r>
      <w:r>
        <w:rPr>
          <w:spacing w:val="-9"/>
          <w:sz w:val="22"/>
        </w:rPr>
        <w:t> </w:t>
      </w:r>
      <w:r>
        <w:rPr>
          <w:sz w:val="22"/>
        </w:rPr>
        <w:t>having</w:t>
      </w:r>
      <w:r>
        <w:rPr>
          <w:spacing w:val="-10"/>
          <w:sz w:val="22"/>
        </w:rPr>
        <w:t> </w:t>
      </w:r>
      <w:r>
        <w:rPr>
          <w:sz w:val="22"/>
        </w:rPr>
        <w:t>a</w:t>
      </w:r>
      <w:r>
        <w:rPr>
          <w:spacing w:val="-10"/>
          <w:sz w:val="22"/>
        </w:rPr>
        <w:t> </w:t>
      </w:r>
      <w:r>
        <w:rPr>
          <w:sz w:val="22"/>
        </w:rPr>
        <w:t>reverse</w:t>
      </w:r>
      <w:r>
        <w:rPr>
          <w:spacing w:val="-10"/>
          <w:sz w:val="22"/>
        </w:rPr>
        <w:t> </w:t>
      </w:r>
      <w:r>
        <w:rPr>
          <w:sz w:val="22"/>
        </w:rPr>
        <w:t>mortgage</w:t>
      </w:r>
      <w:r>
        <w:rPr>
          <w:spacing w:val="-10"/>
          <w:sz w:val="22"/>
        </w:rPr>
        <w:t> </w:t>
      </w:r>
      <w:r>
        <w:rPr>
          <w:sz w:val="22"/>
        </w:rPr>
        <w:t>on</w:t>
      </w:r>
      <w:r>
        <w:rPr>
          <w:spacing w:val="-12"/>
          <w:sz w:val="22"/>
        </w:rPr>
        <w:t> </w:t>
      </w:r>
      <w:r>
        <w:rPr>
          <w:sz w:val="22"/>
        </w:rPr>
        <w:t>the</w:t>
      </w:r>
      <w:r>
        <w:rPr>
          <w:spacing w:val="-10"/>
          <w:sz w:val="22"/>
        </w:rPr>
        <w:t> </w:t>
      </w:r>
      <w:r>
        <w:rPr>
          <w:sz w:val="22"/>
        </w:rPr>
        <w:t>property</w:t>
      </w:r>
      <w:r>
        <w:rPr>
          <w:spacing w:val="-12"/>
          <w:sz w:val="22"/>
        </w:rPr>
        <w:t> </w:t>
      </w:r>
      <w:r>
        <w:rPr>
          <w:sz w:val="22"/>
        </w:rPr>
        <w:t>shall</w:t>
      </w:r>
      <w:r>
        <w:rPr>
          <w:spacing w:val="-10"/>
          <w:sz w:val="22"/>
        </w:rPr>
        <w:t> </w:t>
      </w:r>
      <w:r>
        <w:rPr>
          <w:sz w:val="22"/>
        </w:rPr>
        <w:t>not</w:t>
      </w:r>
      <w:r>
        <w:rPr>
          <w:spacing w:val="-8"/>
          <w:sz w:val="22"/>
        </w:rPr>
        <w:t> </w:t>
      </w:r>
      <w:r>
        <w:rPr>
          <w:sz w:val="22"/>
        </w:rPr>
        <w:t>be eligible for a loan.</w:t>
      </w:r>
    </w:p>
    <w:p>
      <w:pPr>
        <w:pStyle w:val="ListParagraph"/>
        <w:numPr>
          <w:ilvl w:val="0"/>
          <w:numId w:val="6"/>
        </w:numPr>
        <w:tabs>
          <w:tab w:pos="840" w:val="left" w:leader="none"/>
        </w:tabs>
        <w:spacing w:line="252" w:lineRule="exact" w:before="0" w:after="0"/>
        <w:ind w:left="839" w:right="0" w:hanging="361"/>
        <w:jc w:val="both"/>
        <w:rPr>
          <w:sz w:val="22"/>
        </w:rPr>
      </w:pPr>
      <w:r>
        <w:rPr>
          <w:sz w:val="22"/>
        </w:rPr>
        <w:t>Repairs</w:t>
      </w:r>
      <w:r>
        <w:rPr>
          <w:spacing w:val="-7"/>
          <w:sz w:val="22"/>
        </w:rPr>
        <w:t> </w:t>
      </w:r>
      <w:r>
        <w:rPr>
          <w:sz w:val="22"/>
        </w:rPr>
        <w:t>must</w:t>
      </w:r>
      <w:r>
        <w:rPr>
          <w:spacing w:val="-6"/>
          <w:sz w:val="22"/>
        </w:rPr>
        <w:t> </w:t>
      </w:r>
      <w:r>
        <w:rPr>
          <w:sz w:val="22"/>
        </w:rPr>
        <w:t>conform</w:t>
      </w:r>
      <w:r>
        <w:rPr>
          <w:spacing w:val="-6"/>
          <w:sz w:val="22"/>
        </w:rPr>
        <w:t> </w:t>
      </w:r>
      <w:r>
        <w:rPr>
          <w:sz w:val="22"/>
        </w:rPr>
        <w:t>with</w:t>
      </w:r>
      <w:r>
        <w:rPr>
          <w:spacing w:val="-5"/>
          <w:sz w:val="22"/>
        </w:rPr>
        <w:t> </w:t>
      </w:r>
      <w:r>
        <w:rPr>
          <w:sz w:val="22"/>
        </w:rPr>
        <w:t>designated</w:t>
      </w:r>
      <w:r>
        <w:rPr>
          <w:spacing w:val="-6"/>
          <w:sz w:val="22"/>
        </w:rPr>
        <w:t> </w:t>
      </w:r>
      <w:r>
        <w:rPr>
          <w:sz w:val="22"/>
        </w:rPr>
        <w:t>as</w:t>
      </w:r>
      <w:r>
        <w:rPr>
          <w:spacing w:val="-7"/>
          <w:sz w:val="22"/>
        </w:rPr>
        <w:t> </w:t>
      </w:r>
      <w:r>
        <w:rPr>
          <w:sz w:val="22"/>
        </w:rPr>
        <w:t>eligible</w:t>
      </w:r>
      <w:r>
        <w:rPr>
          <w:spacing w:val="-6"/>
          <w:sz w:val="22"/>
        </w:rPr>
        <w:t> </w:t>
      </w:r>
      <w:r>
        <w:rPr>
          <w:sz w:val="22"/>
        </w:rPr>
        <w:t>improvements</w:t>
      </w:r>
      <w:r>
        <w:rPr>
          <w:spacing w:val="-7"/>
          <w:sz w:val="22"/>
        </w:rPr>
        <w:t> </w:t>
      </w:r>
      <w:r>
        <w:rPr>
          <w:sz w:val="22"/>
        </w:rPr>
        <w:t>under</w:t>
      </w:r>
      <w:r>
        <w:rPr>
          <w:spacing w:val="-6"/>
          <w:sz w:val="22"/>
        </w:rPr>
        <w:t> </w:t>
      </w:r>
      <w:r>
        <w:rPr>
          <w:sz w:val="22"/>
        </w:rPr>
        <w:t>the</w:t>
      </w:r>
      <w:r>
        <w:rPr>
          <w:spacing w:val="-9"/>
          <w:sz w:val="22"/>
        </w:rPr>
        <w:t> </w:t>
      </w:r>
      <w:r>
        <w:rPr>
          <w:spacing w:val="-2"/>
          <w:sz w:val="22"/>
        </w:rPr>
        <w:t>program.</w:t>
      </w:r>
    </w:p>
    <w:p>
      <w:pPr>
        <w:pStyle w:val="ListParagraph"/>
        <w:numPr>
          <w:ilvl w:val="0"/>
          <w:numId w:val="6"/>
        </w:numPr>
        <w:tabs>
          <w:tab w:pos="840" w:val="left" w:leader="none"/>
        </w:tabs>
        <w:spacing w:line="240" w:lineRule="auto" w:before="0" w:after="0"/>
        <w:ind w:left="839" w:right="155" w:hanging="360"/>
        <w:jc w:val="both"/>
        <w:rPr>
          <w:sz w:val="22"/>
        </w:rPr>
      </w:pPr>
      <w:r>
        <w:rPr>
          <w:sz w:val="22"/>
        </w:rPr>
        <w:t>For rehabilitation, if the Applicant’s property was previously assisted with City funds and the property is still within the period of affordability, per the written agreement with the Applicant or</w:t>
      </w:r>
      <w:r>
        <w:rPr>
          <w:spacing w:val="-1"/>
          <w:sz w:val="22"/>
        </w:rPr>
        <w:t> </w:t>
      </w:r>
      <w:r>
        <w:rPr>
          <w:sz w:val="22"/>
        </w:rPr>
        <w:t>previous</w:t>
      </w:r>
      <w:r>
        <w:rPr>
          <w:spacing w:val="-2"/>
          <w:sz w:val="22"/>
        </w:rPr>
        <w:t> </w:t>
      </w:r>
      <w:r>
        <w:rPr>
          <w:sz w:val="22"/>
        </w:rPr>
        <w:t>owner,</w:t>
      </w:r>
      <w:r>
        <w:rPr>
          <w:spacing w:val="-1"/>
          <w:sz w:val="22"/>
        </w:rPr>
        <w:t> </w:t>
      </w:r>
      <w:r>
        <w:rPr>
          <w:sz w:val="22"/>
        </w:rPr>
        <w:t>Applicant will</w:t>
      </w:r>
      <w:r>
        <w:rPr>
          <w:spacing w:val="-1"/>
          <w:sz w:val="22"/>
        </w:rPr>
        <w:t> </w:t>
      </w:r>
      <w:r>
        <w:rPr>
          <w:sz w:val="22"/>
        </w:rPr>
        <w:t>not</w:t>
      </w:r>
      <w:r>
        <w:rPr>
          <w:spacing w:val="-1"/>
          <w:sz w:val="22"/>
        </w:rPr>
        <w:t> </w:t>
      </w:r>
      <w:r>
        <w:rPr>
          <w:sz w:val="22"/>
        </w:rPr>
        <w:t>be</w:t>
      </w:r>
      <w:r>
        <w:rPr>
          <w:spacing w:val="-3"/>
          <w:sz w:val="22"/>
        </w:rPr>
        <w:t> </w:t>
      </w:r>
      <w:r>
        <w:rPr>
          <w:sz w:val="22"/>
        </w:rPr>
        <w:t>eligible to receive</w:t>
      </w:r>
      <w:r>
        <w:rPr>
          <w:spacing w:val="-3"/>
          <w:sz w:val="22"/>
        </w:rPr>
        <w:t> </w:t>
      </w:r>
      <w:r>
        <w:rPr>
          <w:sz w:val="22"/>
        </w:rPr>
        <w:t>funding for</w:t>
      </w:r>
      <w:r>
        <w:rPr>
          <w:spacing w:val="-1"/>
          <w:sz w:val="22"/>
        </w:rPr>
        <w:t> </w:t>
      </w:r>
      <w:r>
        <w:rPr>
          <w:sz w:val="22"/>
        </w:rPr>
        <w:t>the</w:t>
      </w:r>
      <w:r>
        <w:rPr>
          <w:spacing w:val="-3"/>
          <w:sz w:val="22"/>
        </w:rPr>
        <w:t> </w:t>
      </w:r>
      <w:r>
        <w:rPr>
          <w:sz w:val="22"/>
        </w:rPr>
        <w:t>same </w:t>
      </w:r>
      <w:r>
        <w:rPr>
          <w:spacing w:val="-2"/>
          <w:sz w:val="22"/>
        </w:rPr>
        <w:t>property.</w:t>
      </w:r>
    </w:p>
    <w:p>
      <w:pPr>
        <w:pStyle w:val="ListParagraph"/>
        <w:numPr>
          <w:ilvl w:val="0"/>
          <w:numId w:val="6"/>
        </w:numPr>
        <w:tabs>
          <w:tab w:pos="840" w:val="left" w:leader="none"/>
        </w:tabs>
        <w:spacing w:line="252" w:lineRule="exact" w:before="0" w:after="0"/>
        <w:ind w:left="839" w:right="0" w:hanging="361"/>
        <w:jc w:val="both"/>
        <w:rPr>
          <w:sz w:val="22"/>
        </w:rPr>
      </w:pPr>
      <w:r>
        <w:rPr>
          <w:sz w:val="22"/>
        </w:rPr>
        <w:t>No</w:t>
      </w:r>
      <w:r>
        <w:rPr>
          <w:spacing w:val="-7"/>
          <w:sz w:val="22"/>
        </w:rPr>
        <w:t> </w:t>
      </w:r>
      <w:r>
        <w:rPr>
          <w:sz w:val="22"/>
        </w:rPr>
        <w:t>liens,</w:t>
      </w:r>
      <w:r>
        <w:rPr>
          <w:spacing w:val="-2"/>
          <w:sz w:val="22"/>
        </w:rPr>
        <w:t> </w:t>
      </w:r>
      <w:r>
        <w:rPr>
          <w:sz w:val="22"/>
        </w:rPr>
        <w:t>except</w:t>
      </w:r>
      <w:r>
        <w:rPr>
          <w:spacing w:val="-5"/>
          <w:sz w:val="22"/>
        </w:rPr>
        <w:t> </w:t>
      </w:r>
      <w:r>
        <w:rPr>
          <w:sz w:val="22"/>
        </w:rPr>
        <w:t>those</w:t>
      </w:r>
      <w:r>
        <w:rPr>
          <w:spacing w:val="-6"/>
          <w:sz w:val="22"/>
        </w:rPr>
        <w:t> </w:t>
      </w:r>
      <w:r>
        <w:rPr>
          <w:sz w:val="22"/>
        </w:rPr>
        <w:t>associated</w:t>
      </w:r>
      <w:r>
        <w:rPr>
          <w:spacing w:val="-4"/>
          <w:sz w:val="22"/>
        </w:rPr>
        <w:t> </w:t>
      </w:r>
      <w:r>
        <w:rPr>
          <w:sz w:val="22"/>
        </w:rPr>
        <w:t>with</w:t>
      </w:r>
      <w:r>
        <w:rPr>
          <w:spacing w:val="-6"/>
          <w:sz w:val="22"/>
        </w:rPr>
        <w:t> </w:t>
      </w:r>
      <w:r>
        <w:rPr>
          <w:sz w:val="22"/>
        </w:rPr>
        <w:t>the</w:t>
      </w:r>
      <w:r>
        <w:rPr>
          <w:spacing w:val="-6"/>
          <w:sz w:val="22"/>
        </w:rPr>
        <w:t> </w:t>
      </w:r>
      <w:r>
        <w:rPr>
          <w:sz w:val="22"/>
        </w:rPr>
        <w:t>first</w:t>
      </w:r>
      <w:r>
        <w:rPr>
          <w:spacing w:val="-5"/>
          <w:sz w:val="22"/>
        </w:rPr>
        <w:t> </w:t>
      </w:r>
      <w:r>
        <w:rPr>
          <w:sz w:val="22"/>
        </w:rPr>
        <w:t>mortgage,</w:t>
      </w:r>
      <w:r>
        <w:rPr>
          <w:spacing w:val="-2"/>
          <w:sz w:val="22"/>
        </w:rPr>
        <w:t> </w:t>
      </w:r>
      <w:r>
        <w:rPr>
          <w:sz w:val="22"/>
        </w:rPr>
        <w:t>shall</w:t>
      </w:r>
      <w:r>
        <w:rPr>
          <w:spacing w:val="-4"/>
          <w:sz w:val="22"/>
        </w:rPr>
        <w:t> </w:t>
      </w:r>
      <w:r>
        <w:rPr>
          <w:sz w:val="22"/>
        </w:rPr>
        <w:t>exist</w:t>
      </w:r>
      <w:r>
        <w:rPr>
          <w:spacing w:val="-2"/>
          <w:sz w:val="22"/>
        </w:rPr>
        <w:t> </w:t>
      </w:r>
      <w:r>
        <w:rPr>
          <w:sz w:val="22"/>
        </w:rPr>
        <w:t>on</w:t>
      </w:r>
      <w:r>
        <w:rPr>
          <w:spacing w:val="-6"/>
          <w:sz w:val="22"/>
        </w:rPr>
        <w:t> </w:t>
      </w:r>
      <w:r>
        <w:rPr>
          <w:sz w:val="22"/>
        </w:rPr>
        <w:t>the</w:t>
      </w:r>
      <w:r>
        <w:rPr>
          <w:spacing w:val="-4"/>
          <w:sz w:val="22"/>
        </w:rPr>
        <w:t> </w:t>
      </w:r>
      <w:r>
        <w:rPr>
          <w:spacing w:val="-2"/>
          <w:sz w:val="22"/>
        </w:rPr>
        <w:t>property.</w:t>
      </w:r>
    </w:p>
    <w:p>
      <w:pPr>
        <w:pStyle w:val="ListParagraph"/>
        <w:numPr>
          <w:ilvl w:val="0"/>
          <w:numId w:val="6"/>
        </w:numPr>
        <w:tabs>
          <w:tab w:pos="840" w:val="left" w:leader="none"/>
        </w:tabs>
        <w:spacing w:line="240" w:lineRule="auto" w:before="0" w:after="0"/>
        <w:ind w:left="839" w:right="157" w:hanging="360"/>
        <w:jc w:val="both"/>
        <w:rPr>
          <w:sz w:val="22"/>
        </w:rPr>
      </w:pPr>
      <w:r>
        <w:rPr>
          <w:sz w:val="22"/>
        </w:rPr>
        <w:t>Repairs that exceed eighty percent (80%) of its improvement value are not eligible for </w:t>
      </w:r>
      <w:r>
        <w:rPr>
          <w:spacing w:val="-2"/>
          <w:sz w:val="22"/>
        </w:rPr>
        <w:t>assistance.</w:t>
      </w:r>
    </w:p>
    <w:p>
      <w:pPr>
        <w:pStyle w:val="BodyText"/>
        <w:spacing w:before="10"/>
        <w:rPr>
          <w:sz w:val="21"/>
        </w:rPr>
      </w:pPr>
    </w:p>
    <w:p>
      <w:pPr>
        <w:pStyle w:val="Heading5"/>
        <w:ind w:left="119"/>
      </w:pPr>
      <w:r>
        <w:rPr/>
        <w:t>Eligible</w:t>
      </w:r>
      <w:r>
        <w:rPr>
          <w:spacing w:val="-5"/>
        </w:rPr>
        <w:t> </w:t>
      </w:r>
      <w:r>
        <w:rPr/>
        <w:t>Repair</w:t>
      </w:r>
      <w:r>
        <w:rPr>
          <w:spacing w:val="-4"/>
        </w:rPr>
        <w:t> </w:t>
      </w:r>
      <w:r>
        <w:rPr>
          <w:spacing w:val="-2"/>
        </w:rPr>
        <w:t>Improvements</w:t>
      </w:r>
    </w:p>
    <w:p>
      <w:pPr>
        <w:pStyle w:val="BodyText"/>
        <w:spacing w:before="52"/>
        <w:ind w:left="119" w:right="157"/>
        <w:jc w:val="both"/>
      </w:pPr>
      <w:r>
        <w:rPr/>
        <w:t>Eligible</w:t>
      </w:r>
      <w:r>
        <w:rPr>
          <w:spacing w:val="-10"/>
        </w:rPr>
        <w:t> </w:t>
      </w:r>
      <w:r>
        <w:rPr/>
        <w:t>rehabilitation</w:t>
      </w:r>
      <w:r>
        <w:rPr>
          <w:spacing w:val="-10"/>
        </w:rPr>
        <w:t> </w:t>
      </w:r>
      <w:r>
        <w:rPr/>
        <w:t>activities</w:t>
      </w:r>
      <w:r>
        <w:rPr>
          <w:spacing w:val="-9"/>
        </w:rPr>
        <w:t> </w:t>
      </w:r>
      <w:r>
        <w:rPr/>
        <w:t>include</w:t>
      </w:r>
      <w:r>
        <w:rPr>
          <w:spacing w:val="-10"/>
        </w:rPr>
        <w:t> </w:t>
      </w:r>
      <w:r>
        <w:rPr/>
        <w:t>items</w:t>
      </w:r>
      <w:r>
        <w:rPr>
          <w:spacing w:val="-12"/>
        </w:rPr>
        <w:t> </w:t>
      </w:r>
      <w:r>
        <w:rPr/>
        <w:t>necessary</w:t>
      </w:r>
      <w:r>
        <w:rPr>
          <w:spacing w:val="-12"/>
        </w:rPr>
        <w:t> </w:t>
      </w:r>
      <w:r>
        <w:rPr/>
        <w:t>to</w:t>
      </w:r>
      <w:r>
        <w:rPr>
          <w:spacing w:val="-12"/>
        </w:rPr>
        <w:t> </w:t>
      </w:r>
      <w:r>
        <w:rPr/>
        <w:t>bring</w:t>
      </w:r>
      <w:r>
        <w:rPr>
          <w:spacing w:val="-12"/>
        </w:rPr>
        <w:t> </w:t>
      </w:r>
      <w:r>
        <w:rPr/>
        <w:t>the</w:t>
      </w:r>
      <w:r>
        <w:rPr>
          <w:spacing w:val="-12"/>
        </w:rPr>
        <w:t> </w:t>
      </w:r>
      <w:r>
        <w:rPr/>
        <w:t>structure</w:t>
      </w:r>
      <w:r>
        <w:rPr>
          <w:spacing w:val="-10"/>
        </w:rPr>
        <w:t> </w:t>
      </w:r>
      <w:r>
        <w:rPr/>
        <w:t>into</w:t>
      </w:r>
      <w:r>
        <w:rPr>
          <w:spacing w:val="-12"/>
        </w:rPr>
        <w:t> </w:t>
      </w:r>
      <w:r>
        <w:rPr/>
        <w:t>compliance</w:t>
      </w:r>
      <w:r>
        <w:rPr>
          <w:spacing w:val="-10"/>
        </w:rPr>
        <w:t> </w:t>
      </w:r>
      <w:r>
        <w:rPr/>
        <w:t>with the City’s written rehabilitation standards and applicable local residential codes and will also include items recommended as necessary to preserve the property’s structural integrity, historic integrity, weatherization, and quality of living conditions. Major systems are part of the scope of work</w:t>
      </w:r>
      <w:r>
        <w:rPr>
          <w:spacing w:val="-7"/>
        </w:rPr>
        <w:t> </w:t>
      </w:r>
      <w:r>
        <w:rPr/>
        <w:t>and</w:t>
      </w:r>
      <w:r>
        <w:rPr>
          <w:spacing w:val="-10"/>
        </w:rPr>
        <w:t> </w:t>
      </w:r>
      <w:r>
        <w:rPr/>
        <w:t>are</w:t>
      </w:r>
      <w:r>
        <w:rPr>
          <w:spacing w:val="-10"/>
        </w:rPr>
        <w:t> </w:t>
      </w:r>
      <w:r>
        <w:rPr/>
        <w:t>identified</w:t>
      </w:r>
      <w:r>
        <w:rPr>
          <w:spacing w:val="-10"/>
        </w:rPr>
        <w:t> </w:t>
      </w:r>
      <w:r>
        <w:rPr/>
        <w:t>as</w:t>
      </w:r>
      <w:r>
        <w:rPr>
          <w:spacing w:val="-7"/>
        </w:rPr>
        <w:t> </w:t>
      </w:r>
      <w:r>
        <w:rPr/>
        <w:t>structural</w:t>
      </w:r>
      <w:r>
        <w:rPr>
          <w:spacing w:val="-10"/>
        </w:rPr>
        <w:t> </w:t>
      </w:r>
      <w:r>
        <w:rPr/>
        <w:t>support</w:t>
      </w:r>
      <w:r>
        <w:rPr>
          <w:spacing w:val="-8"/>
        </w:rPr>
        <w:t> </w:t>
      </w:r>
      <w:r>
        <w:rPr/>
        <w:t>(foundations);</w:t>
      </w:r>
      <w:r>
        <w:rPr>
          <w:spacing w:val="-11"/>
        </w:rPr>
        <w:t> </w:t>
      </w:r>
      <w:r>
        <w:rPr/>
        <w:t>roofing;</w:t>
      </w:r>
      <w:r>
        <w:rPr>
          <w:spacing w:val="-8"/>
        </w:rPr>
        <w:t> </w:t>
      </w:r>
      <w:r>
        <w:rPr/>
        <w:t>cladding</w:t>
      </w:r>
      <w:r>
        <w:rPr>
          <w:spacing w:val="-7"/>
        </w:rPr>
        <w:t> </w:t>
      </w:r>
      <w:r>
        <w:rPr/>
        <w:t>and</w:t>
      </w:r>
      <w:r>
        <w:rPr>
          <w:spacing w:val="-7"/>
        </w:rPr>
        <w:t> </w:t>
      </w:r>
      <w:r>
        <w:rPr/>
        <w:t>weatherproofing (e.g., windows, doors, siding, gutters); plumbing; electrical; and heating, ventilation, and air </w:t>
      </w:r>
      <w:r>
        <w:rPr>
          <w:spacing w:val="-2"/>
        </w:rPr>
        <w:t>conditioning.</w:t>
      </w:r>
    </w:p>
    <w:p>
      <w:pPr>
        <w:pStyle w:val="BodyText"/>
        <w:spacing w:before="10"/>
        <w:rPr>
          <w:sz w:val="21"/>
        </w:rPr>
      </w:pPr>
    </w:p>
    <w:p>
      <w:pPr>
        <w:pStyle w:val="BodyText"/>
        <w:ind w:left="119" w:right="157"/>
        <w:jc w:val="both"/>
      </w:pPr>
      <w:r>
        <w:rPr/>
        <w:t>Demolition of an accessory structure deemed hazardous, such as a detached garage or work shed, will be made on a case by case basis depending on the available budget, grant requirements, planning requirements, current building codes, and health and safety concerns. The structure will not be rebuilt by the City.</w:t>
      </w:r>
    </w:p>
    <w:p>
      <w:pPr>
        <w:spacing w:after="0"/>
        <w:jc w:val="both"/>
        <w:sectPr>
          <w:pgSz w:w="12240" w:h="15840"/>
          <w:pgMar w:header="0" w:footer="1738" w:top="1360" w:bottom="1920" w:left="1320" w:right="1280"/>
        </w:sectPr>
      </w:pPr>
    </w:p>
    <w:p>
      <w:pPr>
        <w:pStyle w:val="BodyText"/>
        <w:spacing w:before="72"/>
        <w:ind w:left="120" w:right="155"/>
        <w:jc w:val="both"/>
      </w:pPr>
      <w:r>
        <w:rPr/>
        <w:t>Assistance in removing any items from the property that are considered to be dangerous, hazardous,</w:t>
      </w:r>
      <w:r>
        <w:rPr>
          <w:spacing w:val="-10"/>
        </w:rPr>
        <w:t> </w:t>
      </w:r>
      <w:r>
        <w:rPr/>
        <w:t>or</w:t>
      </w:r>
      <w:r>
        <w:rPr>
          <w:spacing w:val="-8"/>
        </w:rPr>
        <w:t> </w:t>
      </w:r>
      <w:r>
        <w:rPr/>
        <w:t>a</w:t>
      </w:r>
      <w:r>
        <w:rPr>
          <w:spacing w:val="-11"/>
        </w:rPr>
        <w:t> </w:t>
      </w:r>
      <w:r>
        <w:rPr/>
        <w:t>violation</w:t>
      </w:r>
      <w:r>
        <w:rPr>
          <w:spacing w:val="-11"/>
        </w:rPr>
        <w:t> </w:t>
      </w:r>
      <w:r>
        <w:rPr/>
        <w:t>of</w:t>
      </w:r>
      <w:r>
        <w:rPr>
          <w:spacing w:val="-7"/>
        </w:rPr>
        <w:t> </w:t>
      </w:r>
      <w:r>
        <w:rPr/>
        <w:t>local</w:t>
      </w:r>
      <w:r>
        <w:rPr>
          <w:spacing w:val="-9"/>
        </w:rPr>
        <w:t> </w:t>
      </w:r>
      <w:r>
        <w:rPr/>
        <w:t>code</w:t>
      </w:r>
      <w:r>
        <w:rPr>
          <w:spacing w:val="-9"/>
        </w:rPr>
        <w:t> </w:t>
      </w:r>
      <w:r>
        <w:rPr/>
        <w:t>is</w:t>
      </w:r>
      <w:r>
        <w:rPr>
          <w:spacing w:val="-8"/>
        </w:rPr>
        <w:t> </w:t>
      </w:r>
      <w:r>
        <w:rPr/>
        <w:t>an</w:t>
      </w:r>
      <w:r>
        <w:rPr>
          <w:spacing w:val="-9"/>
        </w:rPr>
        <w:t> </w:t>
      </w:r>
      <w:r>
        <w:rPr/>
        <w:t>eligible</w:t>
      </w:r>
      <w:r>
        <w:rPr>
          <w:spacing w:val="-9"/>
        </w:rPr>
        <w:t> </w:t>
      </w:r>
      <w:r>
        <w:rPr/>
        <w:t>repair</w:t>
      </w:r>
      <w:r>
        <w:rPr>
          <w:spacing w:val="-8"/>
        </w:rPr>
        <w:t> </w:t>
      </w:r>
      <w:r>
        <w:rPr/>
        <w:t>when</w:t>
      </w:r>
      <w:r>
        <w:rPr>
          <w:spacing w:val="-9"/>
        </w:rPr>
        <w:t> </w:t>
      </w:r>
      <w:r>
        <w:rPr/>
        <w:t>performed</w:t>
      </w:r>
      <w:r>
        <w:rPr>
          <w:spacing w:val="-14"/>
        </w:rPr>
        <w:t> </w:t>
      </w:r>
      <w:r>
        <w:rPr/>
        <w:t>in</w:t>
      </w:r>
      <w:r>
        <w:rPr>
          <w:spacing w:val="-9"/>
        </w:rPr>
        <w:t> </w:t>
      </w:r>
      <w:r>
        <w:rPr/>
        <w:t>conjunction</w:t>
      </w:r>
      <w:r>
        <w:rPr>
          <w:spacing w:val="-9"/>
        </w:rPr>
        <w:t> </w:t>
      </w:r>
      <w:r>
        <w:rPr/>
        <w:t>with</w:t>
      </w:r>
      <w:r>
        <w:rPr>
          <w:spacing w:val="-11"/>
        </w:rPr>
        <w:t> </w:t>
      </w:r>
      <w:r>
        <w:rPr/>
        <w:t>the rehabilitation of eligible improvements on the property.</w:t>
      </w:r>
    </w:p>
    <w:p>
      <w:pPr>
        <w:pStyle w:val="BodyText"/>
      </w:pPr>
    </w:p>
    <w:p>
      <w:pPr>
        <w:pStyle w:val="BodyText"/>
        <w:ind w:left="119" w:right="155"/>
        <w:jc w:val="both"/>
      </w:pPr>
      <w:r>
        <w:rPr/>
        <w:pict>
          <v:shape style="position:absolute;margin-left:90.065002pt;margin-top:33.982761pt;width:395.3pt;height:419pt;mso-position-horizontal-relative:page;mso-position-vertical-relative:paragraph;z-index:-17731072" id="docshape32" coordorigin="1801,680" coordsize="7906,8380" path="m4498,7943l4492,7870,4477,7792,4455,7709,4432,7640,4403,7568,4367,7493,4325,7415,4276,7334,4237,7275,4200,7224,4200,7910,4197,7966,4186,8023,4167,8081,4138,8140,4097,8203,4044,8269,3979,8338,3674,8644,2216,7186,2517,6886,2598,6809,2672,6749,2740,6706,2801,6679,2868,6665,2941,6661,3020,6668,3105,6685,3195,6715,3255,6740,3317,6773,3380,6811,3446,6856,3514,6908,3584,6966,3656,7031,3729,7102,3789,7163,3845,7224,3896,7283,3943,7341,3986,7397,4025,7452,4059,7506,4101,7581,4136,7653,4163,7723,4183,7790,4196,7854,4200,7910,4200,7224,4194,7216,4148,7155,4098,7095,4045,7034,3989,6972,3929,6911,3865,6849,3801,6790,3737,6735,3673,6684,3643,6661,3609,6636,3546,6591,3482,6550,3419,6512,3346,6474,3274,6442,3203,6415,3132,6393,3062,6376,2992,6364,2923,6357,2850,6355,2779,6362,2709,6377,2642,6399,2577,6430,2528,6458,2476,6495,2420,6541,2359,6595,2294,6657,1801,7151,3710,9059,4124,8644,4226,8542,4287,8477,4341,8412,4386,8346,4424,8279,4454,8213,4476,8146,4491,8080,4498,8012,4498,7943xm6418,6350l6056,6223,5650,6080,5561,6051,5475,6027,5393,6008,5365,6002,5314,5993,5239,5983,5193,5981,5143,5984,5089,5992,5030,6002,5073,5933,5109,5863,5136,5794,5154,5725,5164,5657,5165,5588,5157,5521,5139,5443,5111,5366,5075,5292,5030,5219,4976,5148,4956,5126,4913,5080,4872,5042,4872,5599,4868,5655,4854,5709,4830,5766,4794,5824,4747,5885,4687,5949,4280,6356,3649,5725,4102,5272,4166,5215,4229,5172,4293,5142,4358,5127,4422,5126,4501,5141,4577,5171,4649,5215,4718,5275,4761,5323,4797,5373,4827,5427,4851,5484,4867,5542,4872,5599,4872,5042,4849,5020,4782,4968,4713,4922,4641,4884,4566,4852,4474,4823,4386,4811,4303,4813,4225,4829,4163,4853,4098,4890,4030,4938,3958,4998,3883,5069,3248,5703,5157,7612,5346,7422,4499,6575,4718,6356,4753,6322,4783,6294,4810,6273,4833,6259,4863,6245,4896,6234,4932,6227,4971,6223,5014,6223,5066,6228,5125,6238,5194,6255,5256,6272,5328,6293,5407,6318,5496,6347,6180,6588,6418,6350xm7780,4988l7415,4793,6555,4339,6555,4646,6070,5131,6030,5060,5989,4988,5748,4557,5708,4486,5668,4414,5629,4349,5590,4284,5550,4220,5509,4157,5467,4095,5424,4033,5380,3972,5436,4008,5498,4046,5564,4086,5635,4128,5792,4218,6555,4646,6555,4339,5862,3972,5286,3666,5082,3870,5277,4220,5316,4290,5701,4988,6207,5907,6441,6328,6642,6127,6565,5993,6298,5525,6221,5391,6481,5131,6820,4793,7173,4988,7565,5204,7780,4988xm8131,4637l7264,3771,7936,3099,7711,2873,7039,3545,6448,2954,7224,2178,6999,1953,6033,2919,7941,4827,8131,4637xm9707,3061l8024,1378,8497,905,8272,680,7138,1814,7363,2039,7834,1568,9517,3251,9707,3061xe" filled="true" fillcolor="#c0c0c0" stroked="false">
            <v:path arrowok="t"/>
            <v:fill opacity="32896f" type="solid"/>
            <w10:wrap type="none"/>
          </v:shape>
        </w:pict>
      </w:r>
      <w:r>
        <w:rPr/>
        <w:t>Assistance may not be used for the purchase or repairs of appliances or renovations not necessary to bring the unit up to local code or property standards. Ineligible repairs include but are not limited to luxury and recreational items (swimming pools, spas, high end fixtures). Tree trimming</w:t>
      </w:r>
      <w:r>
        <w:rPr>
          <w:spacing w:val="-10"/>
        </w:rPr>
        <w:t> </w:t>
      </w:r>
      <w:r>
        <w:rPr/>
        <w:t>will</w:t>
      </w:r>
      <w:r>
        <w:rPr>
          <w:spacing w:val="-10"/>
        </w:rPr>
        <w:t> </w:t>
      </w:r>
      <w:r>
        <w:rPr/>
        <w:t>be</w:t>
      </w:r>
      <w:r>
        <w:rPr>
          <w:spacing w:val="-10"/>
        </w:rPr>
        <w:t> </w:t>
      </w:r>
      <w:r>
        <w:rPr/>
        <w:t>in</w:t>
      </w:r>
      <w:r>
        <w:rPr>
          <w:spacing w:val="-10"/>
        </w:rPr>
        <w:t> </w:t>
      </w:r>
      <w:r>
        <w:rPr/>
        <w:t>conjunction</w:t>
      </w:r>
      <w:r>
        <w:rPr>
          <w:spacing w:val="-10"/>
        </w:rPr>
        <w:t> </w:t>
      </w:r>
      <w:r>
        <w:rPr/>
        <w:t>with</w:t>
      </w:r>
      <w:r>
        <w:rPr>
          <w:spacing w:val="-11"/>
        </w:rPr>
        <w:t> </w:t>
      </w:r>
      <w:r>
        <w:rPr/>
        <w:t>repair</w:t>
      </w:r>
      <w:r>
        <w:rPr>
          <w:spacing w:val="-9"/>
        </w:rPr>
        <w:t> </w:t>
      </w:r>
      <w:r>
        <w:rPr/>
        <w:t>and</w:t>
      </w:r>
      <w:r>
        <w:rPr>
          <w:spacing w:val="-11"/>
        </w:rPr>
        <w:t> </w:t>
      </w:r>
      <w:r>
        <w:rPr/>
        <w:t>only</w:t>
      </w:r>
      <w:r>
        <w:rPr>
          <w:spacing w:val="-12"/>
        </w:rPr>
        <w:t> </w:t>
      </w:r>
      <w:r>
        <w:rPr/>
        <w:t>if</w:t>
      </w:r>
      <w:r>
        <w:rPr>
          <w:spacing w:val="-8"/>
        </w:rPr>
        <w:t> </w:t>
      </w:r>
      <w:r>
        <w:rPr/>
        <w:t>considered</w:t>
      </w:r>
      <w:r>
        <w:rPr>
          <w:spacing w:val="-10"/>
        </w:rPr>
        <w:t> </w:t>
      </w:r>
      <w:r>
        <w:rPr/>
        <w:t>necessary</w:t>
      </w:r>
      <w:r>
        <w:rPr>
          <w:spacing w:val="-11"/>
        </w:rPr>
        <w:t> </w:t>
      </w:r>
      <w:r>
        <w:rPr/>
        <w:t>and</w:t>
      </w:r>
      <w:r>
        <w:rPr>
          <w:spacing w:val="-10"/>
        </w:rPr>
        <w:t> </w:t>
      </w:r>
      <w:r>
        <w:rPr/>
        <w:t>if</w:t>
      </w:r>
      <w:r>
        <w:rPr>
          <w:spacing w:val="-8"/>
        </w:rPr>
        <w:t> </w:t>
      </w:r>
      <w:r>
        <w:rPr/>
        <w:t>allowable</w:t>
      </w:r>
      <w:r>
        <w:rPr>
          <w:spacing w:val="-10"/>
        </w:rPr>
        <w:t> </w:t>
      </w:r>
      <w:r>
        <w:rPr/>
        <w:t>under the applicable regulations. Any other ineligible activity may be considered if deemed necessary by the City to undertake an eligible activity, if allowable under the applicable regulations, as </w:t>
      </w:r>
      <w:r>
        <w:rPr>
          <w:spacing w:val="-2"/>
        </w:rPr>
        <w:t>applicable.</w:t>
      </w:r>
    </w:p>
    <w:p>
      <w:pPr>
        <w:pStyle w:val="BodyText"/>
        <w:spacing w:before="11"/>
        <w:rPr>
          <w:sz w:val="21"/>
        </w:rPr>
      </w:pPr>
    </w:p>
    <w:p>
      <w:pPr>
        <w:pStyle w:val="BodyText"/>
        <w:ind w:left="119" w:right="156"/>
        <w:jc w:val="both"/>
      </w:pPr>
      <w:r>
        <w:rPr/>
        <w:t>Rental</w:t>
      </w:r>
      <w:r>
        <w:rPr>
          <w:spacing w:val="-8"/>
        </w:rPr>
        <w:t> </w:t>
      </w:r>
      <w:r>
        <w:rPr/>
        <w:t>Rehabilitation</w:t>
      </w:r>
      <w:r>
        <w:rPr>
          <w:spacing w:val="-7"/>
        </w:rPr>
        <w:t> </w:t>
      </w:r>
      <w:r>
        <w:rPr/>
        <w:t>Program</w:t>
      </w:r>
      <w:r>
        <w:rPr>
          <w:spacing w:val="-7"/>
        </w:rPr>
        <w:t> </w:t>
      </w:r>
      <w:r>
        <w:rPr/>
        <w:t>funds</w:t>
      </w:r>
      <w:r>
        <w:rPr>
          <w:spacing w:val="-9"/>
        </w:rPr>
        <w:t> </w:t>
      </w:r>
      <w:r>
        <w:rPr/>
        <w:t>may</w:t>
      </w:r>
      <w:r>
        <w:rPr>
          <w:spacing w:val="-9"/>
        </w:rPr>
        <w:t> </w:t>
      </w:r>
      <w:r>
        <w:rPr/>
        <w:t>only</w:t>
      </w:r>
      <w:r>
        <w:rPr>
          <w:spacing w:val="-7"/>
        </w:rPr>
        <w:t> </w:t>
      </w:r>
      <w:r>
        <w:rPr/>
        <w:t>be</w:t>
      </w:r>
      <w:r>
        <w:rPr>
          <w:spacing w:val="-12"/>
        </w:rPr>
        <w:t> </w:t>
      </w:r>
      <w:r>
        <w:rPr/>
        <w:t>used</w:t>
      </w:r>
      <w:r>
        <w:rPr>
          <w:spacing w:val="-7"/>
        </w:rPr>
        <w:t> </w:t>
      </w:r>
      <w:r>
        <w:rPr/>
        <w:t>to</w:t>
      </w:r>
      <w:r>
        <w:rPr>
          <w:spacing w:val="-10"/>
        </w:rPr>
        <w:t> </w:t>
      </w:r>
      <w:r>
        <w:rPr/>
        <w:t>complete</w:t>
      </w:r>
      <w:r>
        <w:rPr>
          <w:spacing w:val="-10"/>
        </w:rPr>
        <w:t> </w:t>
      </w:r>
      <w:r>
        <w:rPr/>
        <w:t>the</w:t>
      </w:r>
      <w:r>
        <w:rPr>
          <w:spacing w:val="-7"/>
        </w:rPr>
        <w:t> </w:t>
      </w:r>
      <w:r>
        <w:rPr/>
        <w:t>project-related</w:t>
      </w:r>
      <w:r>
        <w:rPr>
          <w:spacing w:val="-10"/>
        </w:rPr>
        <w:t> </w:t>
      </w:r>
      <w:r>
        <w:rPr/>
        <w:t>hard</w:t>
      </w:r>
      <w:r>
        <w:rPr>
          <w:spacing w:val="-10"/>
        </w:rPr>
        <w:t> </w:t>
      </w:r>
      <w:r>
        <w:rPr/>
        <w:t>costs such as construction costs. Project-related soft costs such as hazardous materials testing fees, document recordation fees, inspection/construction management fees, or escrow fees shall not be included as part of the loan provided to the Applicant. These costs shall be provided by the City</w:t>
      </w:r>
      <w:r>
        <w:rPr>
          <w:spacing w:val="-2"/>
        </w:rPr>
        <w:t> </w:t>
      </w:r>
      <w:r>
        <w:rPr/>
        <w:t>as</w:t>
      </w:r>
      <w:r>
        <w:rPr>
          <w:spacing w:val="-2"/>
        </w:rPr>
        <w:t> </w:t>
      </w:r>
      <w:r>
        <w:rPr/>
        <w:t>part</w:t>
      </w:r>
      <w:r>
        <w:rPr>
          <w:spacing w:val="-1"/>
        </w:rPr>
        <w:t> </w:t>
      </w:r>
      <w:r>
        <w:rPr/>
        <w:t>of</w:t>
      </w:r>
      <w:r>
        <w:rPr>
          <w:spacing w:val="-1"/>
        </w:rPr>
        <w:t> </w:t>
      </w:r>
      <w:r>
        <w:rPr/>
        <w:t>its</w:t>
      </w:r>
      <w:r>
        <w:rPr>
          <w:spacing w:val="-2"/>
        </w:rPr>
        <w:t> </w:t>
      </w:r>
      <w:r>
        <w:rPr/>
        <w:t>delivery</w:t>
      </w:r>
      <w:r>
        <w:rPr>
          <w:spacing w:val="-2"/>
        </w:rPr>
        <w:t> </w:t>
      </w:r>
      <w:r>
        <w:rPr/>
        <w:t>costs.</w:t>
      </w:r>
      <w:r>
        <w:rPr>
          <w:spacing w:val="-1"/>
        </w:rPr>
        <w:t> </w:t>
      </w:r>
      <w:r>
        <w:rPr/>
        <w:t>These</w:t>
      </w:r>
      <w:r>
        <w:rPr>
          <w:spacing w:val="-3"/>
        </w:rPr>
        <w:t> </w:t>
      </w:r>
      <w:r>
        <w:rPr/>
        <w:t>costs</w:t>
      </w:r>
      <w:r>
        <w:rPr>
          <w:spacing w:val="-2"/>
        </w:rPr>
        <w:t> </w:t>
      </w:r>
      <w:r>
        <w:rPr/>
        <w:t>are</w:t>
      </w:r>
      <w:r>
        <w:rPr>
          <w:spacing w:val="-4"/>
        </w:rPr>
        <w:t> </w:t>
      </w:r>
      <w:r>
        <w:rPr/>
        <w:t>program</w:t>
      </w:r>
      <w:r>
        <w:rPr>
          <w:spacing w:val="-1"/>
        </w:rPr>
        <w:t> </w:t>
      </w:r>
      <w:r>
        <w:rPr/>
        <w:t>delivery</w:t>
      </w:r>
      <w:r>
        <w:rPr>
          <w:spacing w:val="-4"/>
        </w:rPr>
        <w:t> </w:t>
      </w:r>
      <w:r>
        <w:rPr/>
        <w:t>cost</w:t>
      </w:r>
      <w:r>
        <w:rPr>
          <w:spacing w:val="-3"/>
        </w:rPr>
        <w:t> </w:t>
      </w:r>
      <w:r>
        <w:rPr/>
        <w:t>of</w:t>
      </w:r>
      <w:r>
        <w:rPr>
          <w:spacing w:val="-5"/>
        </w:rPr>
        <w:t> </w:t>
      </w:r>
      <w:r>
        <w:rPr/>
        <w:t>the</w:t>
      </w:r>
      <w:r>
        <w:rPr>
          <w:spacing w:val="-3"/>
        </w:rPr>
        <w:t> </w:t>
      </w:r>
      <w:r>
        <w:rPr/>
        <w:t>City,</w:t>
      </w:r>
      <w:r>
        <w:rPr>
          <w:spacing w:val="-1"/>
        </w:rPr>
        <w:t> </w:t>
      </w:r>
      <w:r>
        <w:rPr/>
        <w:t>such</w:t>
      </w:r>
      <w:r>
        <w:rPr>
          <w:spacing w:val="-4"/>
        </w:rPr>
        <w:t> </w:t>
      </w:r>
      <w:r>
        <w:rPr/>
        <w:t>cost</w:t>
      </w:r>
      <w:r>
        <w:rPr>
          <w:spacing w:val="-1"/>
        </w:rPr>
        <w:t> </w:t>
      </w:r>
      <w:r>
        <w:rPr/>
        <w:t>will not be included in the loan amount. Applicant must certify annually that the home is not for sale and</w:t>
      </w:r>
      <w:r>
        <w:rPr>
          <w:spacing w:val="-6"/>
        </w:rPr>
        <w:t> </w:t>
      </w:r>
      <w:r>
        <w:rPr/>
        <w:t>is</w:t>
      </w:r>
      <w:r>
        <w:rPr>
          <w:spacing w:val="-6"/>
        </w:rPr>
        <w:t> </w:t>
      </w:r>
      <w:r>
        <w:rPr/>
        <w:t>the</w:t>
      </w:r>
      <w:r>
        <w:rPr>
          <w:spacing w:val="-6"/>
        </w:rPr>
        <w:t> </w:t>
      </w:r>
      <w:r>
        <w:rPr/>
        <w:t>primary</w:t>
      </w:r>
      <w:r>
        <w:rPr>
          <w:spacing w:val="-6"/>
        </w:rPr>
        <w:t> </w:t>
      </w:r>
      <w:r>
        <w:rPr/>
        <w:t>residence</w:t>
      </w:r>
      <w:r>
        <w:rPr>
          <w:spacing w:val="-6"/>
        </w:rPr>
        <w:t> </w:t>
      </w:r>
      <w:r>
        <w:rPr/>
        <w:t>of</w:t>
      </w:r>
      <w:r>
        <w:rPr>
          <w:spacing w:val="-7"/>
        </w:rPr>
        <w:t> </w:t>
      </w:r>
      <w:r>
        <w:rPr/>
        <w:t>the</w:t>
      </w:r>
      <w:r>
        <w:rPr>
          <w:spacing w:val="-9"/>
        </w:rPr>
        <w:t> </w:t>
      </w:r>
      <w:r>
        <w:rPr/>
        <w:t>tenant</w:t>
      </w:r>
      <w:r>
        <w:rPr>
          <w:spacing w:val="-7"/>
        </w:rPr>
        <w:t> </w:t>
      </w:r>
      <w:r>
        <w:rPr/>
        <w:t>until</w:t>
      </w:r>
      <w:r>
        <w:rPr>
          <w:spacing w:val="-7"/>
        </w:rPr>
        <w:t> </w:t>
      </w:r>
      <w:r>
        <w:rPr/>
        <w:t>the</w:t>
      </w:r>
      <w:r>
        <w:rPr>
          <w:spacing w:val="-9"/>
        </w:rPr>
        <w:t> </w:t>
      </w:r>
      <w:r>
        <w:rPr/>
        <w:t>loan</w:t>
      </w:r>
      <w:r>
        <w:rPr>
          <w:spacing w:val="-6"/>
        </w:rPr>
        <w:t> </w:t>
      </w:r>
      <w:r>
        <w:rPr/>
        <w:t>is</w:t>
      </w:r>
      <w:r>
        <w:rPr>
          <w:spacing w:val="-6"/>
        </w:rPr>
        <w:t> </w:t>
      </w:r>
      <w:r>
        <w:rPr/>
        <w:t>repaid</w:t>
      </w:r>
      <w:r>
        <w:rPr>
          <w:spacing w:val="-6"/>
        </w:rPr>
        <w:t> </w:t>
      </w:r>
      <w:r>
        <w:rPr/>
        <w:t>to</w:t>
      </w:r>
      <w:r>
        <w:rPr>
          <w:spacing w:val="-9"/>
        </w:rPr>
        <w:t> </w:t>
      </w:r>
      <w:r>
        <w:rPr/>
        <w:t>the</w:t>
      </w:r>
      <w:r>
        <w:rPr>
          <w:spacing w:val="-9"/>
        </w:rPr>
        <w:t> </w:t>
      </w:r>
      <w:r>
        <w:rPr/>
        <w:t>City</w:t>
      </w:r>
      <w:r>
        <w:rPr>
          <w:spacing w:val="-8"/>
        </w:rPr>
        <w:t> </w:t>
      </w:r>
      <w:r>
        <w:rPr/>
        <w:t>in</w:t>
      </w:r>
      <w:r>
        <w:rPr>
          <w:spacing w:val="-6"/>
        </w:rPr>
        <w:t> </w:t>
      </w:r>
      <w:r>
        <w:rPr/>
        <w:t>full.</w:t>
      </w:r>
      <w:r>
        <w:rPr>
          <w:spacing w:val="-5"/>
        </w:rPr>
        <w:t> </w:t>
      </w:r>
      <w:r>
        <w:rPr/>
        <w:t>Applicant</w:t>
      </w:r>
      <w:r>
        <w:rPr>
          <w:spacing w:val="-5"/>
        </w:rPr>
        <w:t> </w:t>
      </w:r>
      <w:r>
        <w:rPr/>
        <w:t>must also correct all code violations that exist on the property.</w:t>
      </w:r>
    </w:p>
    <w:p>
      <w:pPr>
        <w:pStyle w:val="BodyText"/>
      </w:pPr>
    </w:p>
    <w:p>
      <w:pPr>
        <w:pStyle w:val="BodyText"/>
        <w:ind w:left="119"/>
      </w:pPr>
      <w:r>
        <w:rPr/>
        <w:t>Eligible</w:t>
      </w:r>
      <w:r>
        <w:rPr>
          <w:spacing w:val="-9"/>
        </w:rPr>
        <w:t> </w:t>
      </w:r>
      <w:r>
        <w:rPr/>
        <w:t>improvements</w:t>
      </w:r>
      <w:r>
        <w:rPr>
          <w:spacing w:val="-9"/>
        </w:rPr>
        <w:t> </w:t>
      </w:r>
      <w:r>
        <w:rPr/>
        <w:t>under</w:t>
      </w:r>
      <w:r>
        <w:rPr>
          <w:spacing w:val="-8"/>
        </w:rPr>
        <w:t> </w:t>
      </w:r>
      <w:r>
        <w:rPr/>
        <w:t>the</w:t>
      </w:r>
      <w:r>
        <w:rPr>
          <w:spacing w:val="-6"/>
        </w:rPr>
        <w:t> </w:t>
      </w:r>
      <w:r>
        <w:rPr/>
        <w:t>Rental</w:t>
      </w:r>
      <w:r>
        <w:rPr>
          <w:spacing w:val="-6"/>
        </w:rPr>
        <w:t> </w:t>
      </w:r>
      <w:r>
        <w:rPr/>
        <w:t>Rehabilitation</w:t>
      </w:r>
      <w:r>
        <w:rPr>
          <w:spacing w:val="-7"/>
        </w:rPr>
        <w:t> </w:t>
      </w:r>
      <w:r>
        <w:rPr/>
        <w:t>Program</w:t>
      </w:r>
      <w:r>
        <w:rPr>
          <w:spacing w:val="-8"/>
        </w:rPr>
        <w:t> </w:t>
      </w:r>
      <w:r>
        <w:rPr/>
        <w:t>include</w:t>
      </w:r>
      <w:r>
        <w:rPr>
          <w:spacing w:val="-7"/>
        </w:rPr>
        <w:t> </w:t>
      </w:r>
      <w:r>
        <w:rPr/>
        <w:t>the</w:t>
      </w:r>
      <w:r>
        <w:rPr>
          <w:spacing w:val="-6"/>
        </w:rPr>
        <w:t> </w:t>
      </w:r>
      <w:r>
        <w:rPr>
          <w:spacing w:val="-2"/>
        </w:rPr>
        <w:t>following:</w:t>
      </w:r>
    </w:p>
    <w:p>
      <w:pPr>
        <w:pStyle w:val="ListParagraph"/>
        <w:numPr>
          <w:ilvl w:val="0"/>
          <w:numId w:val="7"/>
        </w:numPr>
        <w:tabs>
          <w:tab w:pos="839" w:val="left" w:leader="none"/>
          <w:tab w:pos="840" w:val="left" w:leader="none"/>
        </w:tabs>
        <w:spacing w:line="237" w:lineRule="auto" w:before="3" w:after="0"/>
        <w:ind w:left="839" w:right="159" w:hanging="361"/>
        <w:jc w:val="left"/>
        <w:rPr>
          <w:sz w:val="22"/>
        </w:rPr>
      </w:pPr>
      <w:r>
        <w:rPr>
          <w:sz w:val="22"/>
        </w:rPr>
        <w:t>Cost effective energy conservation measures, including solar heating, cooling, &amp; water systems permanently affixed to dwelling</w:t>
      </w:r>
    </w:p>
    <w:p>
      <w:pPr>
        <w:pStyle w:val="ListParagraph"/>
        <w:numPr>
          <w:ilvl w:val="0"/>
          <w:numId w:val="7"/>
        </w:numPr>
        <w:tabs>
          <w:tab w:pos="839" w:val="left" w:leader="none"/>
          <w:tab w:pos="840" w:val="left" w:leader="none"/>
        </w:tabs>
        <w:spacing w:line="269" w:lineRule="exact" w:before="1" w:after="0"/>
        <w:ind w:left="839" w:right="0" w:hanging="361"/>
        <w:jc w:val="left"/>
        <w:rPr>
          <w:sz w:val="22"/>
        </w:rPr>
      </w:pPr>
      <w:r>
        <w:rPr>
          <w:sz w:val="22"/>
        </w:rPr>
        <w:t>Testing</w:t>
      </w:r>
      <w:r>
        <w:rPr>
          <w:spacing w:val="-8"/>
          <w:sz w:val="22"/>
        </w:rPr>
        <w:t> </w:t>
      </w:r>
      <w:r>
        <w:rPr>
          <w:sz w:val="22"/>
        </w:rPr>
        <w:t>&amp;</w:t>
      </w:r>
      <w:r>
        <w:rPr>
          <w:spacing w:val="-9"/>
          <w:sz w:val="22"/>
        </w:rPr>
        <w:t> </w:t>
      </w:r>
      <w:r>
        <w:rPr>
          <w:sz w:val="22"/>
        </w:rPr>
        <w:t>treatment/removal</w:t>
      </w:r>
      <w:r>
        <w:rPr>
          <w:spacing w:val="-7"/>
          <w:sz w:val="22"/>
        </w:rPr>
        <w:t> </w:t>
      </w:r>
      <w:r>
        <w:rPr>
          <w:sz w:val="22"/>
        </w:rPr>
        <w:t>of</w:t>
      </w:r>
      <w:r>
        <w:rPr>
          <w:spacing w:val="-6"/>
          <w:sz w:val="22"/>
        </w:rPr>
        <w:t> </w:t>
      </w:r>
      <w:r>
        <w:rPr>
          <w:sz w:val="22"/>
        </w:rPr>
        <w:t>lead-based</w:t>
      </w:r>
      <w:r>
        <w:rPr>
          <w:spacing w:val="-7"/>
          <w:sz w:val="22"/>
        </w:rPr>
        <w:t> </w:t>
      </w:r>
      <w:r>
        <w:rPr>
          <w:sz w:val="22"/>
        </w:rPr>
        <w:t>paint/asbestos</w:t>
      </w:r>
      <w:r>
        <w:rPr>
          <w:spacing w:val="-9"/>
          <w:sz w:val="22"/>
        </w:rPr>
        <w:t> </w:t>
      </w:r>
      <w:r>
        <w:rPr>
          <w:spacing w:val="-2"/>
          <w:sz w:val="22"/>
        </w:rPr>
        <w:t>hazards</w:t>
      </w:r>
    </w:p>
    <w:p>
      <w:pPr>
        <w:pStyle w:val="ListParagraph"/>
        <w:numPr>
          <w:ilvl w:val="0"/>
          <w:numId w:val="7"/>
        </w:numPr>
        <w:tabs>
          <w:tab w:pos="839" w:val="left" w:leader="none"/>
          <w:tab w:pos="841" w:val="left" w:leader="none"/>
        </w:tabs>
        <w:spacing w:line="268" w:lineRule="exact" w:before="0" w:after="0"/>
        <w:ind w:left="840" w:right="0" w:hanging="362"/>
        <w:jc w:val="left"/>
        <w:rPr>
          <w:sz w:val="22"/>
        </w:rPr>
      </w:pPr>
      <w:r>
        <w:rPr>
          <w:sz w:val="22"/>
        </w:rPr>
        <w:t>Handicapped</w:t>
      </w:r>
      <w:r>
        <w:rPr>
          <w:spacing w:val="-6"/>
          <w:sz w:val="22"/>
        </w:rPr>
        <w:t> </w:t>
      </w:r>
      <w:r>
        <w:rPr>
          <w:sz w:val="22"/>
        </w:rPr>
        <w:t>improvements</w:t>
      </w:r>
      <w:r>
        <w:rPr>
          <w:spacing w:val="-4"/>
          <w:sz w:val="22"/>
        </w:rPr>
        <w:t> </w:t>
      </w:r>
      <w:r>
        <w:rPr>
          <w:sz w:val="22"/>
        </w:rPr>
        <w:t>&amp;</w:t>
      </w:r>
      <w:r>
        <w:rPr>
          <w:spacing w:val="-7"/>
          <w:sz w:val="22"/>
        </w:rPr>
        <w:t> </w:t>
      </w:r>
      <w:r>
        <w:rPr>
          <w:sz w:val="22"/>
        </w:rPr>
        <w:t>removal</w:t>
      </w:r>
      <w:r>
        <w:rPr>
          <w:spacing w:val="-5"/>
          <w:sz w:val="22"/>
        </w:rPr>
        <w:t> </w:t>
      </w:r>
      <w:r>
        <w:rPr>
          <w:sz w:val="22"/>
        </w:rPr>
        <w:t>of</w:t>
      </w:r>
      <w:r>
        <w:rPr>
          <w:spacing w:val="-3"/>
          <w:sz w:val="22"/>
        </w:rPr>
        <w:t> </w:t>
      </w:r>
      <w:r>
        <w:rPr>
          <w:sz w:val="22"/>
        </w:rPr>
        <w:t>barriers</w:t>
      </w:r>
      <w:r>
        <w:rPr>
          <w:spacing w:val="-6"/>
          <w:sz w:val="22"/>
        </w:rPr>
        <w:t> </w:t>
      </w:r>
      <w:r>
        <w:rPr>
          <w:sz w:val="22"/>
        </w:rPr>
        <w:t>to</w:t>
      </w:r>
      <w:r>
        <w:rPr>
          <w:spacing w:val="-7"/>
          <w:sz w:val="22"/>
        </w:rPr>
        <w:t> </w:t>
      </w:r>
      <w:r>
        <w:rPr>
          <w:sz w:val="22"/>
        </w:rPr>
        <w:t>the</w:t>
      </w:r>
      <w:r>
        <w:rPr>
          <w:spacing w:val="-6"/>
          <w:sz w:val="22"/>
        </w:rPr>
        <w:t> </w:t>
      </w:r>
      <w:r>
        <w:rPr>
          <w:spacing w:val="-2"/>
          <w:sz w:val="22"/>
        </w:rPr>
        <w:t>handicapped</w:t>
      </w:r>
    </w:p>
    <w:p>
      <w:pPr>
        <w:pStyle w:val="ListParagraph"/>
        <w:numPr>
          <w:ilvl w:val="0"/>
          <w:numId w:val="7"/>
        </w:numPr>
        <w:tabs>
          <w:tab w:pos="839" w:val="left" w:leader="none"/>
          <w:tab w:pos="841" w:val="left" w:leader="none"/>
        </w:tabs>
        <w:spacing w:line="237" w:lineRule="auto" w:before="1" w:after="0"/>
        <w:ind w:left="840" w:right="155" w:hanging="361"/>
        <w:jc w:val="left"/>
        <w:rPr>
          <w:sz w:val="22"/>
        </w:rPr>
      </w:pPr>
      <w:r>
        <w:rPr>
          <w:sz w:val="22"/>
        </w:rPr>
        <w:t>Removal</w:t>
      </w:r>
      <w:r>
        <w:rPr>
          <w:spacing w:val="23"/>
          <w:sz w:val="22"/>
        </w:rPr>
        <w:t> </w:t>
      </w:r>
      <w:r>
        <w:rPr>
          <w:sz w:val="22"/>
        </w:rPr>
        <w:t>of</w:t>
      </w:r>
      <w:r>
        <w:rPr>
          <w:spacing w:val="23"/>
          <w:sz w:val="22"/>
        </w:rPr>
        <w:t> </w:t>
      </w:r>
      <w:r>
        <w:rPr>
          <w:sz w:val="22"/>
        </w:rPr>
        <w:t>termites;</w:t>
      </w:r>
      <w:r>
        <w:rPr>
          <w:spacing w:val="23"/>
          <w:sz w:val="22"/>
        </w:rPr>
        <w:t> </w:t>
      </w:r>
      <w:r>
        <w:rPr>
          <w:sz w:val="22"/>
        </w:rPr>
        <w:t>removal</w:t>
      </w:r>
      <w:r>
        <w:rPr>
          <w:spacing w:val="23"/>
          <w:sz w:val="22"/>
        </w:rPr>
        <w:t> </w:t>
      </w:r>
      <w:r>
        <w:rPr>
          <w:sz w:val="22"/>
        </w:rPr>
        <w:t>of</w:t>
      </w:r>
      <w:r>
        <w:rPr>
          <w:spacing w:val="23"/>
          <w:sz w:val="22"/>
        </w:rPr>
        <w:t> </w:t>
      </w:r>
      <w:r>
        <w:rPr>
          <w:sz w:val="22"/>
        </w:rPr>
        <w:t>rodents</w:t>
      </w:r>
      <w:r>
        <w:rPr>
          <w:spacing w:val="22"/>
          <w:sz w:val="22"/>
        </w:rPr>
        <w:t> </w:t>
      </w:r>
      <w:r>
        <w:rPr>
          <w:sz w:val="22"/>
        </w:rPr>
        <w:t>and</w:t>
      </w:r>
      <w:r>
        <w:rPr>
          <w:spacing w:val="21"/>
          <w:sz w:val="22"/>
        </w:rPr>
        <w:t> </w:t>
      </w:r>
      <w:r>
        <w:rPr>
          <w:sz w:val="22"/>
        </w:rPr>
        <w:t>roaches</w:t>
      </w:r>
      <w:r>
        <w:rPr>
          <w:spacing w:val="22"/>
          <w:sz w:val="22"/>
        </w:rPr>
        <w:t> </w:t>
      </w:r>
      <w:r>
        <w:rPr>
          <w:sz w:val="22"/>
        </w:rPr>
        <w:t>(pest</w:t>
      </w:r>
      <w:r>
        <w:rPr>
          <w:spacing w:val="23"/>
          <w:sz w:val="22"/>
        </w:rPr>
        <w:t> </w:t>
      </w:r>
      <w:r>
        <w:rPr>
          <w:sz w:val="22"/>
        </w:rPr>
        <w:t>control),</w:t>
      </w:r>
      <w:r>
        <w:rPr>
          <w:spacing w:val="23"/>
          <w:sz w:val="22"/>
        </w:rPr>
        <w:t> </w:t>
      </w:r>
      <w:r>
        <w:rPr>
          <w:sz w:val="22"/>
        </w:rPr>
        <w:t>but</w:t>
      </w:r>
      <w:r>
        <w:rPr>
          <w:spacing w:val="23"/>
          <w:sz w:val="22"/>
        </w:rPr>
        <w:t> </w:t>
      </w:r>
      <w:r>
        <w:rPr>
          <w:sz w:val="22"/>
        </w:rPr>
        <w:t>may</w:t>
      </w:r>
      <w:r>
        <w:rPr>
          <w:spacing w:val="24"/>
          <w:sz w:val="22"/>
        </w:rPr>
        <w:t> </w:t>
      </w:r>
      <w:r>
        <w:rPr>
          <w:sz w:val="22"/>
        </w:rPr>
        <w:t>not</w:t>
      </w:r>
      <w:r>
        <w:rPr>
          <w:spacing w:val="23"/>
          <w:sz w:val="22"/>
        </w:rPr>
        <w:t> </w:t>
      </w:r>
      <w:r>
        <w:rPr>
          <w:sz w:val="22"/>
        </w:rPr>
        <w:t>be</w:t>
      </w:r>
      <w:r>
        <w:rPr>
          <w:spacing w:val="24"/>
          <w:sz w:val="22"/>
        </w:rPr>
        <w:t> </w:t>
      </w:r>
      <w:r>
        <w:rPr>
          <w:sz w:val="22"/>
        </w:rPr>
        <w:t>a stand-alone cost</w:t>
      </w:r>
    </w:p>
    <w:p>
      <w:pPr>
        <w:pStyle w:val="ListParagraph"/>
        <w:numPr>
          <w:ilvl w:val="0"/>
          <w:numId w:val="7"/>
        </w:numPr>
        <w:tabs>
          <w:tab w:pos="840" w:val="left" w:leader="none"/>
          <w:tab w:pos="841" w:val="left" w:leader="none"/>
        </w:tabs>
        <w:spacing w:line="269" w:lineRule="exact" w:before="1" w:after="0"/>
        <w:ind w:left="840" w:right="0" w:hanging="361"/>
        <w:jc w:val="left"/>
        <w:rPr>
          <w:sz w:val="22"/>
        </w:rPr>
      </w:pPr>
      <w:r>
        <w:rPr>
          <w:sz w:val="22"/>
        </w:rPr>
        <w:t>Replace/repair</w:t>
      </w:r>
      <w:r>
        <w:rPr>
          <w:spacing w:val="-15"/>
          <w:sz w:val="22"/>
        </w:rPr>
        <w:t> </w:t>
      </w:r>
      <w:r>
        <w:rPr>
          <w:spacing w:val="-2"/>
          <w:sz w:val="22"/>
        </w:rPr>
        <w:t>roofing</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Replace/repair</w:t>
      </w:r>
      <w:r>
        <w:rPr>
          <w:spacing w:val="-8"/>
          <w:sz w:val="22"/>
        </w:rPr>
        <w:t> </w:t>
      </w:r>
      <w:r>
        <w:rPr>
          <w:sz w:val="22"/>
        </w:rPr>
        <w:t>HVAC</w:t>
      </w:r>
      <w:r>
        <w:rPr>
          <w:spacing w:val="-8"/>
          <w:sz w:val="22"/>
        </w:rPr>
        <w:t> </w:t>
      </w:r>
      <w:r>
        <w:rPr>
          <w:spacing w:val="-2"/>
          <w:sz w:val="22"/>
        </w:rPr>
        <w:t>systems</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Replace/repair</w:t>
      </w:r>
      <w:r>
        <w:rPr>
          <w:spacing w:val="-6"/>
          <w:sz w:val="22"/>
        </w:rPr>
        <w:t> </w:t>
      </w:r>
      <w:r>
        <w:rPr>
          <w:sz w:val="22"/>
        </w:rPr>
        <w:t>plumbing,</w:t>
      </w:r>
      <w:r>
        <w:rPr>
          <w:spacing w:val="-7"/>
          <w:sz w:val="22"/>
        </w:rPr>
        <w:t> </w:t>
      </w:r>
      <w:r>
        <w:rPr>
          <w:sz w:val="22"/>
        </w:rPr>
        <w:t>water</w:t>
      </w:r>
      <w:r>
        <w:rPr>
          <w:spacing w:val="-6"/>
          <w:sz w:val="22"/>
        </w:rPr>
        <w:t> </w:t>
      </w:r>
      <w:r>
        <w:rPr>
          <w:sz w:val="22"/>
        </w:rPr>
        <w:t>and</w:t>
      </w:r>
      <w:r>
        <w:rPr>
          <w:spacing w:val="-8"/>
          <w:sz w:val="22"/>
        </w:rPr>
        <w:t> </w:t>
      </w:r>
      <w:r>
        <w:rPr>
          <w:sz w:val="22"/>
        </w:rPr>
        <w:t>sewer</w:t>
      </w:r>
      <w:r>
        <w:rPr>
          <w:spacing w:val="-4"/>
          <w:sz w:val="22"/>
        </w:rPr>
        <w:t> </w:t>
      </w:r>
      <w:r>
        <w:rPr>
          <w:sz w:val="22"/>
        </w:rPr>
        <w:t>pipes,</w:t>
      </w:r>
      <w:r>
        <w:rPr>
          <w:spacing w:val="-6"/>
          <w:sz w:val="22"/>
        </w:rPr>
        <w:t> </w:t>
      </w:r>
      <w:r>
        <w:rPr>
          <w:sz w:val="22"/>
        </w:rPr>
        <w:t>kitchen</w:t>
      </w:r>
      <w:r>
        <w:rPr>
          <w:spacing w:val="-6"/>
          <w:sz w:val="22"/>
        </w:rPr>
        <w:t> </w:t>
      </w:r>
      <w:r>
        <w:rPr>
          <w:sz w:val="22"/>
        </w:rPr>
        <w:t>and</w:t>
      </w:r>
      <w:r>
        <w:rPr>
          <w:spacing w:val="-7"/>
          <w:sz w:val="22"/>
        </w:rPr>
        <w:t> </w:t>
      </w:r>
      <w:r>
        <w:rPr>
          <w:sz w:val="22"/>
        </w:rPr>
        <w:t>bath</w:t>
      </w:r>
      <w:r>
        <w:rPr>
          <w:spacing w:val="-7"/>
          <w:sz w:val="22"/>
        </w:rPr>
        <w:t> </w:t>
      </w:r>
      <w:r>
        <w:rPr>
          <w:spacing w:val="-2"/>
          <w:sz w:val="22"/>
        </w:rPr>
        <w:t>fixtures</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Replace/repair</w:t>
      </w:r>
      <w:r>
        <w:rPr>
          <w:spacing w:val="-8"/>
          <w:sz w:val="22"/>
        </w:rPr>
        <w:t> </w:t>
      </w:r>
      <w:r>
        <w:rPr>
          <w:sz w:val="22"/>
        </w:rPr>
        <w:t>gas</w:t>
      </w:r>
      <w:r>
        <w:rPr>
          <w:spacing w:val="-8"/>
          <w:sz w:val="22"/>
        </w:rPr>
        <w:t> </w:t>
      </w:r>
      <w:r>
        <w:rPr>
          <w:sz w:val="22"/>
        </w:rPr>
        <w:t>pipes/gas</w:t>
      </w:r>
      <w:r>
        <w:rPr>
          <w:spacing w:val="-10"/>
          <w:sz w:val="22"/>
        </w:rPr>
        <w:t> </w:t>
      </w:r>
      <w:r>
        <w:rPr>
          <w:spacing w:val="-4"/>
          <w:sz w:val="22"/>
        </w:rPr>
        <w:t>test</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Install</w:t>
      </w:r>
      <w:r>
        <w:rPr>
          <w:spacing w:val="-4"/>
          <w:sz w:val="22"/>
        </w:rPr>
        <w:t> </w:t>
      </w:r>
      <w:r>
        <w:rPr>
          <w:sz w:val="22"/>
        </w:rPr>
        <w:t>new</w:t>
      </w:r>
      <w:r>
        <w:rPr>
          <w:spacing w:val="-7"/>
          <w:sz w:val="22"/>
        </w:rPr>
        <w:t> </w:t>
      </w:r>
      <w:r>
        <w:rPr>
          <w:sz w:val="22"/>
        </w:rPr>
        <w:t>smoke,</w:t>
      </w:r>
      <w:r>
        <w:rPr>
          <w:spacing w:val="-3"/>
          <w:sz w:val="22"/>
        </w:rPr>
        <w:t> </w:t>
      </w:r>
      <w:r>
        <w:rPr>
          <w:sz w:val="22"/>
        </w:rPr>
        <w:t>fire,</w:t>
      </w:r>
      <w:r>
        <w:rPr>
          <w:spacing w:val="-2"/>
          <w:sz w:val="22"/>
        </w:rPr>
        <w:t> </w:t>
      </w:r>
      <w:r>
        <w:rPr>
          <w:sz w:val="22"/>
        </w:rPr>
        <w:t>and</w:t>
      </w:r>
      <w:r>
        <w:rPr>
          <w:spacing w:val="-3"/>
          <w:sz w:val="22"/>
        </w:rPr>
        <w:t> </w:t>
      </w:r>
      <w:r>
        <w:rPr>
          <w:sz w:val="22"/>
        </w:rPr>
        <w:t>CO</w:t>
      </w:r>
      <w:r>
        <w:rPr>
          <w:sz w:val="22"/>
          <w:vertAlign w:val="subscript"/>
        </w:rPr>
        <w:t>2</w:t>
      </w:r>
      <w:r>
        <w:rPr>
          <w:spacing w:val="-4"/>
          <w:sz w:val="22"/>
          <w:vertAlign w:val="baseline"/>
        </w:rPr>
        <w:t> </w:t>
      </w:r>
      <w:r>
        <w:rPr>
          <w:spacing w:val="-2"/>
          <w:sz w:val="22"/>
          <w:vertAlign w:val="baseline"/>
        </w:rPr>
        <w:t>alarms</w:t>
      </w:r>
    </w:p>
    <w:p>
      <w:pPr>
        <w:pStyle w:val="ListParagraph"/>
        <w:numPr>
          <w:ilvl w:val="0"/>
          <w:numId w:val="7"/>
        </w:numPr>
        <w:tabs>
          <w:tab w:pos="840" w:val="left" w:leader="none"/>
          <w:tab w:pos="841" w:val="left" w:leader="none"/>
        </w:tabs>
        <w:spacing w:line="269" w:lineRule="exact" w:before="1" w:after="0"/>
        <w:ind w:left="840" w:right="0" w:hanging="362"/>
        <w:jc w:val="left"/>
        <w:rPr>
          <w:sz w:val="22"/>
        </w:rPr>
      </w:pPr>
      <w:r>
        <w:rPr>
          <w:sz w:val="22"/>
        </w:rPr>
        <w:t>Install</w:t>
      </w:r>
      <w:r>
        <w:rPr>
          <w:spacing w:val="-3"/>
          <w:sz w:val="22"/>
        </w:rPr>
        <w:t> </w:t>
      </w:r>
      <w:r>
        <w:rPr>
          <w:sz w:val="22"/>
        </w:rPr>
        <w:t>new</w:t>
      </w:r>
      <w:r>
        <w:rPr>
          <w:spacing w:val="-2"/>
          <w:sz w:val="22"/>
        </w:rPr>
        <w:t> insulation</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Replace/repair</w:t>
      </w:r>
      <w:r>
        <w:rPr>
          <w:spacing w:val="-9"/>
          <w:sz w:val="22"/>
        </w:rPr>
        <w:t> </w:t>
      </w:r>
      <w:r>
        <w:rPr>
          <w:sz w:val="22"/>
        </w:rPr>
        <w:t>flooring</w:t>
      </w:r>
      <w:r>
        <w:rPr>
          <w:spacing w:val="-8"/>
          <w:sz w:val="22"/>
        </w:rPr>
        <w:t> </w:t>
      </w:r>
      <w:r>
        <w:rPr>
          <w:sz w:val="22"/>
        </w:rPr>
        <w:t>and</w:t>
      </w:r>
      <w:r>
        <w:rPr>
          <w:spacing w:val="-8"/>
          <w:sz w:val="22"/>
        </w:rPr>
        <w:t> </w:t>
      </w:r>
      <w:r>
        <w:rPr>
          <w:spacing w:val="-2"/>
          <w:sz w:val="22"/>
        </w:rPr>
        <w:t>carpeting</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Replace/repair</w:t>
      </w:r>
      <w:r>
        <w:rPr>
          <w:spacing w:val="-8"/>
          <w:sz w:val="22"/>
        </w:rPr>
        <w:t> </w:t>
      </w:r>
      <w:r>
        <w:rPr>
          <w:sz w:val="22"/>
        </w:rPr>
        <w:t>water</w:t>
      </w:r>
      <w:r>
        <w:rPr>
          <w:spacing w:val="-10"/>
          <w:sz w:val="22"/>
        </w:rPr>
        <w:t> </w:t>
      </w:r>
      <w:r>
        <w:rPr>
          <w:spacing w:val="-2"/>
          <w:sz w:val="22"/>
        </w:rPr>
        <w:t>heaters</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Replace/repair</w:t>
      </w:r>
      <w:r>
        <w:rPr>
          <w:spacing w:val="-7"/>
          <w:sz w:val="22"/>
        </w:rPr>
        <w:t> </w:t>
      </w:r>
      <w:r>
        <w:rPr>
          <w:sz w:val="22"/>
        </w:rPr>
        <w:t>electrical</w:t>
      </w:r>
      <w:r>
        <w:rPr>
          <w:spacing w:val="-9"/>
          <w:sz w:val="22"/>
        </w:rPr>
        <w:t> </w:t>
      </w:r>
      <w:r>
        <w:rPr>
          <w:sz w:val="22"/>
        </w:rPr>
        <w:t>system</w:t>
      </w:r>
      <w:r>
        <w:rPr>
          <w:spacing w:val="-4"/>
          <w:sz w:val="22"/>
        </w:rPr>
        <w:t> </w:t>
      </w:r>
      <w:r>
        <w:rPr>
          <w:sz w:val="22"/>
        </w:rPr>
        <w:t>and</w:t>
      </w:r>
      <w:r>
        <w:rPr>
          <w:spacing w:val="-8"/>
          <w:sz w:val="22"/>
        </w:rPr>
        <w:t> </w:t>
      </w:r>
      <w:r>
        <w:rPr>
          <w:sz w:val="22"/>
        </w:rPr>
        <w:t>installation</w:t>
      </w:r>
      <w:r>
        <w:rPr>
          <w:spacing w:val="-7"/>
          <w:sz w:val="22"/>
        </w:rPr>
        <w:t> </w:t>
      </w:r>
      <w:r>
        <w:rPr>
          <w:sz w:val="22"/>
        </w:rPr>
        <w:t>of</w:t>
      </w:r>
      <w:r>
        <w:rPr>
          <w:spacing w:val="-4"/>
          <w:sz w:val="22"/>
        </w:rPr>
        <w:t> </w:t>
      </w:r>
      <w:r>
        <w:rPr>
          <w:sz w:val="22"/>
        </w:rPr>
        <w:t>ground</w:t>
      </w:r>
      <w:r>
        <w:rPr>
          <w:spacing w:val="-8"/>
          <w:sz w:val="22"/>
        </w:rPr>
        <w:t> </w:t>
      </w:r>
      <w:r>
        <w:rPr>
          <w:sz w:val="22"/>
        </w:rPr>
        <w:t>fault</w:t>
      </w:r>
      <w:r>
        <w:rPr>
          <w:spacing w:val="-7"/>
          <w:sz w:val="22"/>
        </w:rPr>
        <w:t> </w:t>
      </w:r>
      <w:r>
        <w:rPr>
          <w:sz w:val="22"/>
        </w:rPr>
        <w:t>circuit</w:t>
      </w:r>
      <w:r>
        <w:rPr>
          <w:spacing w:val="-6"/>
          <w:sz w:val="22"/>
        </w:rPr>
        <w:t> </w:t>
      </w:r>
      <w:r>
        <w:rPr>
          <w:spacing w:val="-2"/>
          <w:sz w:val="22"/>
        </w:rPr>
        <w:t>interrupters</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Replace/repair</w:t>
      </w:r>
      <w:r>
        <w:rPr>
          <w:spacing w:val="-12"/>
          <w:sz w:val="22"/>
        </w:rPr>
        <w:t> </w:t>
      </w:r>
      <w:r>
        <w:rPr>
          <w:spacing w:val="-2"/>
          <w:sz w:val="22"/>
        </w:rPr>
        <w:t>windows</w:t>
      </w:r>
    </w:p>
    <w:p>
      <w:pPr>
        <w:pStyle w:val="ListParagraph"/>
        <w:numPr>
          <w:ilvl w:val="0"/>
          <w:numId w:val="7"/>
        </w:numPr>
        <w:tabs>
          <w:tab w:pos="840" w:val="left" w:leader="none"/>
          <w:tab w:pos="841" w:val="left" w:leader="none"/>
        </w:tabs>
        <w:spacing w:line="269" w:lineRule="exact" w:before="0" w:after="0"/>
        <w:ind w:left="840" w:right="0" w:hanging="361"/>
        <w:jc w:val="left"/>
        <w:rPr>
          <w:sz w:val="22"/>
        </w:rPr>
      </w:pPr>
      <w:r>
        <w:rPr>
          <w:sz w:val="22"/>
        </w:rPr>
        <w:t>Replace/repair</w:t>
      </w:r>
      <w:r>
        <w:rPr>
          <w:spacing w:val="-8"/>
          <w:sz w:val="22"/>
        </w:rPr>
        <w:t> </w:t>
      </w:r>
      <w:r>
        <w:rPr>
          <w:sz w:val="22"/>
        </w:rPr>
        <w:t>window</w:t>
      </w:r>
      <w:r>
        <w:rPr>
          <w:spacing w:val="-8"/>
          <w:sz w:val="22"/>
        </w:rPr>
        <w:t> </w:t>
      </w:r>
      <w:r>
        <w:rPr>
          <w:sz w:val="22"/>
        </w:rPr>
        <w:t>and/or</w:t>
      </w:r>
      <w:r>
        <w:rPr>
          <w:spacing w:val="-8"/>
          <w:sz w:val="22"/>
        </w:rPr>
        <w:t> </w:t>
      </w:r>
      <w:r>
        <w:rPr>
          <w:sz w:val="22"/>
        </w:rPr>
        <w:t>door</w:t>
      </w:r>
      <w:r>
        <w:rPr>
          <w:spacing w:val="-8"/>
          <w:sz w:val="22"/>
        </w:rPr>
        <w:t> </w:t>
      </w:r>
      <w:r>
        <w:rPr>
          <w:spacing w:val="-2"/>
          <w:sz w:val="22"/>
        </w:rPr>
        <w:t>screens</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Replace/repair</w:t>
      </w:r>
      <w:r>
        <w:rPr>
          <w:spacing w:val="-7"/>
          <w:sz w:val="22"/>
        </w:rPr>
        <w:t> </w:t>
      </w:r>
      <w:r>
        <w:rPr>
          <w:sz w:val="22"/>
        </w:rPr>
        <w:t>plaster,</w:t>
      </w:r>
      <w:r>
        <w:rPr>
          <w:spacing w:val="-6"/>
          <w:sz w:val="22"/>
        </w:rPr>
        <w:t> </w:t>
      </w:r>
      <w:r>
        <w:rPr>
          <w:sz w:val="22"/>
        </w:rPr>
        <w:t>siding</w:t>
      </w:r>
      <w:r>
        <w:rPr>
          <w:spacing w:val="-8"/>
          <w:sz w:val="22"/>
        </w:rPr>
        <w:t> </w:t>
      </w:r>
      <w:r>
        <w:rPr>
          <w:sz w:val="22"/>
        </w:rPr>
        <w:t>and</w:t>
      </w:r>
      <w:r>
        <w:rPr>
          <w:spacing w:val="-8"/>
          <w:sz w:val="22"/>
        </w:rPr>
        <w:t> </w:t>
      </w:r>
      <w:r>
        <w:rPr>
          <w:spacing w:val="-2"/>
          <w:sz w:val="22"/>
        </w:rPr>
        <w:t>stucco</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Painting</w:t>
      </w:r>
      <w:r>
        <w:rPr>
          <w:spacing w:val="-6"/>
          <w:sz w:val="22"/>
        </w:rPr>
        <w:t> </w:t>
      </w:r>
      <w:r>
        <w:rPr>
          <w:sz w:val="22"/>
        </w:rPr>
        <w:t>(inside</w:t>
      </w:r>
      <w:r>
        <w:rPr>
          <w:spacing w:val="-6"/>
          <w:sz w:val="22"/>
        </w:rPr>
        <w:t> </w:t>
      </w:r>
      <w:r>
        <w:rPr>
          <w:sz w:val="22"/>
        </w:rPr>
        <w:t>and</w:t>
      </w:r>
      <w:r>
        <w:rPr>
          <w:spacing w:val="-5"/>
          <w:sz w:val="22"/>
        </w:rPr>
        <w:t> </w:t>
      </w:r>
      <w:r>
        <w:rPr>
          <w:spacing w:val="-2"/>
          <w:sz w:val="22"/>
        </w:rPr>
        <w:t>outside)</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Install</w:t>
      </w:r>
      <w:r>
        <w:rPr>
          <w:spacing w:val="-7"/>
          <w:sz w:val="22"/>
        </w:rPr>
        <w:t> </w:t>
      </w:r>
      <w:r>
        <w:rPr>
          <w:sz w:val="22"/>
        </w:rPr>
        <w:t>new</w:t>
      </w:r>
      <w:r>
        <w:rPr>
          <w:spacing w:val="-5"/>
          <w:sz w:val="22"/>
        </w:rPr>
        <w:t> </w:t>
      </w:r>
      <w:r>
        <w:rPr>
          <w:sz w:val="22"/>
        </w:rPr>
        <w:t>deadbolt</w:t>
      </w:r>
      <w:r>
        <w:rPr>
          <w:spacing w:val="-3"/>
          <w:sz w:val="22"/>
        </w:rPr>
        <w:t> </w:t>
      </w:r>
      <w:r>
        <w:rPr>
          <w:spacing w:val="-4"/>
          <w:sz w:val="22"/>
        </w:rPr>
        <w:t>locks</w:t>
      </w:r>
    </w:p>
    <w:p>
      <w:pPr>
        <w:pStyle w:val="ListParagraph"/>
        <w:numPr>
          <w:ilvl w:val="0"/>
          <w:numId w:val="7"/>
        </w:numPr>
        <w:tabs>
          <w:tab w:pos="840" w:val="left" w:leader="none"/>
          <w:tab w:pos="841" w:val="left" w:leader="none"/>
        </w:tabs>
        <w:spacing w:line="268" w:lineRule="exact" w:before="0" w:after="0"/>
        <w:ind w:left="841" w:right="0" w:hanging="361"/>
        <w:jc w:val="left"/>
        <w:rPr>
          <w:sz w:val="22"/>
        </w:rPr>
      </w:pPr>
      <w:r>
        <w:rPr>
          <w:sz w:val="22"/>
        </w:rPr>
        <w:t>Replace/repair</w:t>
      </w:r>
      <w:r>
        <w:rPr>
          <w:spacing w:val="-4"/>
          <w:sz w:val="22"/>
        </w:rPr>
        <w:t> </w:t>
      </w:r>
      <w:r>
        <w:rPr>
          <w:sz w:val="22"/>
        </w:rPr>
        <w:t>kitchen</w:t>
      </w:r>
      <w:r>
        <w:rPr>
          <w:spacing w:val="-5"/>
          <w:sz w:val="22"/>
        </w:rPr>
        <w:t> </w:t>
      </w:r>
      <w:r>
        <w:rPr>
          <w:sz w:val="22"/>
        </w:rPr>
        <w:t>or</w:t>
      </w:r>
      <w:r>
        <w:rPr>
          <w:spacing w:val="-6"/>
          <w:sz w:val="22"/>
        </w:rPr>
        <w:t> </w:t>
      </w:r>
      <w:r>
        <w:rPr>
          <w:sz w:val="22"/>
        </w:rPr>
        <w:t>bath</w:t>
      </w:r>
      <w:r>
        <w:rPr>
          <w:spacing w:val="-7"/>
          <w:sz w:val="22"/>
        </w:rPr>
        <w:t> </w:t>
      </w:r>
      <w:r>
        <w:rPr>
          <w:sz w:val="22"/>
        </w:rPr>
        <w:t>cabinets</w:t>
      </w:r>
      <w:r>
        <w:rPr>
          <w:spacing w:val="-7"/>
          <w:sz w:val="22"/>
        </w:rPr>
        <w:t> </w:t>
      </w:r>
      <w:r>
        <w:rPr>
          <w:sz w:val="22"/>
        </w:rPr>
        <w:t>and</w:t>
      </w:r>
      <w:r>
        <w:rPr>
          <w:spacing w:val="-5"/>
          <w:sz w:val="22"/>
        </w:rPr>
        <w:t> </w:t>
      </w:r>
      <w:r>
        <w:rPr>
          <w:spacing w:val="-2"/>
          <w:sz w:val="22"/>
        </w:rPr>
        <w:t>countertops</w:t>
      </w:r>
    </w:p>
    <w:p>
      <w:pPr>
        <w:pStyle w:val="ListParagraph"/>
        <w:numPr>
          <w:ilvl w:val="0"/>
          <w:numId w:val="7"/>
        </w:numPr>
        <w:tabs>
          <w:tab w:pos="841" w:val="left" w:leader="none"/>
          <w:tab w:pos="842" w:val="left" w:leader="none"/>
        </w:tabs>
        <w:spacing w:line="268" w:lineRule="exact" w:before="0" w:after="0"/>
        <w:ind w:left="841" w:right="0" w:hanging="361"/>
        <w:jc w:val="left"/>
        <w:rPr>
          <w:sz w:val="22"/>
        </w:rPr>
      </w:pPr>
      <w:r>
        <w:rPr>
          <w:sz w:val="22"/>
        </w:rPr>
        <w:t>Replace/repair</w:t>
      </w:r>
      <w:r>
        <w:rPr>
          <w:spacing w:val="-9"/>
          <w:sz w:val="22"/>
        </w:rPr>
        <w:t> </w:t>
      </w:r>
      <w:r>
        <w:rPr>
          <w:sz w:val="22"/>
        </w:rPr>
        <w:t>garage</w:t>
      </w:r>
      <w:r>
        <w:rPr>
          <w:spacing w:val="-9"/>
          <w:sz w:val="22"/>
        </w:rPr>
        <w:t> </w:t>
      </w:r>
      <w:r>
        <w:rPr>
          <w:spacing w:val="-4"/>
          <w:sz w:val="22"/>
        </w:rPr>
        <w:t>doors</w:t>
      </w:r>
    </w:p>
    <w:p>
      <w:pPr>
        <w:pStyle w:val="ListParagraph"/>
        <w:numPr>
          <w:ilvl w:val="0"/>
          <w:numId w:val="7"/>
        </w:numPr>
        <w:tabs>
          <w:tab w:pos="841" w:val="left" w:leader="none"/>
          <w:tab w:pos="842" w:val="left" w:leader="none"/>
        </w:tabs>
        <w:spacing w:line="237" w:lineRule="auto" w:before="1" w:after="0"/>
        <w:ind w:left="841" w:right="157" w:hanging="361"/>
        <w:jc w:val="left"/>
        <w:rPr>
          <w:sz w:val="22"/>
        </w:rPr>
      </w:pPr>
      <w:r>
        <w:rPr>
          <w:sz w:val="22"/>
        </w:rPr>
        <w:t>Structural repairs/modifications (only to correct existing structural code deficiencies or to provide accessibility to disabled persons)</w:t>
      </w:r>
    </w:p>
    <w:p>
      <w:pPr>
        <w:spacing w:after="0" w:line="237" w:lineRule="auto"/>
        <w:jc w:val="left"/>
        <w:rPr>
          <w:sz w:val="22"/>
        </w:rPr>
        <w:sectPr>
          <w:pgSz w:w="12240" w:h="15840"/>
          <w:pgMar w:header="0" w:footer="1738" w:top="1620" w:bottom="1920" w:left="1320" w:right="1280"/>
        </w:sectPr>
      </w:pPr>
    </w:p>
    <w:p>
      <w:pPr>
        <w:pStyle w:val="ListParagraph"/>
        <w:numPr>
          <w:ilvl w:val="0"/>
          <w:numId w:val="7"/>
        </w:numPr>
        <w:tabs>
          <w:tab w:pos="840" w:val="left" w:leader="none"/>
          <w:tab w:pos="841" w:val="left" w:leader="none"/>
        </w:tabs>
        <w:spacing w:line="268" w:lineRule="exact" w:before="82" w:after="0"/>
        <w:ind w:left="840" w:right="0" w:hanging="361"/>
        <w:jc w:val="left"/>
        <w:rPr>
          <w:sz w:val="22"/>
        </w:rPr>
      </w:pPr>
      <w:r>
        <w:rPr>
          <w:sz w:val="22"/>
        </w:rPr>
        <w:t>Foundation</w:t>
      </w:r>
      <w:r>
        <w:rPr>
          <w:spacing w:val="-8"/>
          <w:sz w:val="22"/>
        </w:rPr>
        <w:t> </w:t>
      </w:r>
      <w:r>
        <w:rPr>
          <w:spacing w:val="-2"/>
          <w:sz w:val="22"/>
        </w:rPr>
        <w:t>repairs</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sz w:val="22"/>
        </w:rPr>
        <w:t>Any</w:t>
      </w:r>
      <w:r>
        <w:rPr>
          <w:spacing w:val="-4"/>
          <w:sz w:val="22"/>
        </w:rPr>
        <w:t> </w:t>
      </w:r>
      <w:r>
        <w:rPr>
          <w:sz w:val="22"/>
        </w:rPr>
        <w:t>items</w:t>
      </w:r>
      <w:r>
        <w:rPr>
          <w:spacing w:val="-4"/>
          <w:sz w:val="22"/>
        </w:rPr>
        <w:t> </w:t>
      </w:r>
      <w:r>
        <w:rPr>
          <w:sz w:val="22"/>
        </w:rPr>
        <w:t>determined</w:t>
      </w:r>
      <w:r>
        <w:rPr>
          <w:spacing w:val="-5"/>
          <w:sz w:val="22"/>
        </w:rPr>
        <w:t> </w:t>
      </w:r>
      <w:r>
        <w:rPr>
          <w:sz w:val="22"/>
        </w:rPr>
        <w:t>eligible</w:t>
      </w:r>
      <w:r>
        <w:rPr>
          <w:spacing w:val="-4"/>
          <w:sz w:val="22"/>
        </w:rPr>
        <w:t> </w:t>
      </w:r>
      <w:r>
        <w:rPr>
          <w:sz w:val="22"/>
        </w:rPr>
        <w:t>by</w:t>
      </w:r>
      <w:r>
        <w:rPr>
          <w:spacing w:val="-4"/>
          <w:sz w:val="22"/>
        </w:rPr>
        <w:t> </w:t>
      </w:r>
      <w:r>
        <w:rPr>
          <w:sz w:val="22"/>
        </w:rPr>
        <w:t>the</w:t>
      </w:r>
      <w:r>
        <w:rPr>
          <w:spacing w:val="-6"/>
          <w:sz w:val="22"/>
        </w:rPr>
        <w:t> </w:t>
      </w:r>
      <w:r>
        <w:rPr>
          <w:spacing w:val="-2"/>
          <w:sz w:val="22"/>
        </w:rPr>
        <w:t>Director</w:t>
      </w:r>
    </w:p>
    <w:p>
      <w:pPr>
        <w:pStyle w:val="BodyText"/>
        <w:spacing w:before="10"/>
        <w:rPr>
          <w:sz w:val="21"/>
        </w:rPr>
      </w:pPr>
    </w:p>
    <w:p>
      <w:pPr>
        <w:pStyle w:val="Heading5"/>
      </w:pPr>
      <w:r>
        <w:rPr/>
        <w:t>Terms</w:t>
      </w:r>
      <w:r>
        <w:rPr>
          <w:spacing w:val="-3"/>
        </w:rPr>
        <w:t> </w:t>
      </w:r>
      <w:r>
        <w:rPr/>
        <w:t>of</w:t>
      </w:r>
      <w:r>
        <w:rPr>
          <w:spacing w:val="-3"/>
        </w:rPr>
        <w:t> </w:t>
      </w:r>
      <w:r>
        <w:rPr>
          <w:spacing w:val="-2"/>
        </w:rPr>
        <w:t>Assistance</w:t>
      </w:r>
    </w:p>
    <w:p>
      <w:pPr>
        <w:pStyle w:val="BodyText"/>
        <w:spacing w:before="49"/>
        <w:ind w:left="120" w:right="153"/>
        <w:jc w:val="both"/>
      </w:pPr>
      <w:r>
        <w:rPr/>
        <w:pict>
          <v:shape style="position:absolute;margin-left:90.065002pt;margin-top:45.054035pt;width:395.3pt;height:419pt;mso-position-horizontal-relative:page;mso-position-vertical-relative:paragraph;z-index:-17730560" id="docshape33" coordorigin="1801,901" coordsize="7906,8380" path="m4498,8165l4492,8091,4477,8013,4455,7930,4432,7861,4403,7789,4367,7714,4325,7636,4276,7556,4237,7497,4200,7446,4200,8132,4197,8188,4186,8245,4167,8302,4138,8362,4097,8425,4044,8491,3979,8560,3674,8865,2216,7408,2517,7107,2598,7031,2672,6971,2740,6928,2801,6901,2868,6886,2941,6882,3020,6889,3105,6907,3195,6936,3255,6962,3317,6994,3380,7033,3446,7078,3514,7129,3584,7187,3656,7252,3729,7323,3789,7385,3845,7445,3896,7504,3943,7562,3986,7619,4025,7674,4059,7728,4101,7802,4136,7875,4163,7944,4183,8011,4196,8075,4200,8132,4200,7446,4194,7437,4148,7377,4098,7316,4045,7255,3989,7194,3929,7132,3865,7070,3801,7012,3737,6957,3673,6905,3643,6882,3609,6857,3546,6813,3482,6771,3419,6734,3346,6696,3274,6663,3203,6636,3132,6614,3062,6597,2992,6585,2923,6578,2850,6576,2779,6583,2709,6598,2642,6621,2577,6651,2528,6680,2476,6717,2420,6762,2359,6816,2294,6879,1801,7372,3710,9280,4124,8865,4226,8764,4287,8699,4341,8633,4386,8567,4424,8501,4454,8434,4476,8368,4491,8301,4498,8233,4498,8165xm6418,6572l6056,6444,5650,6301,5561,6272,5475,6248,5393,6229,5365,6224,5314,6215,5239,6205,5193,6203,5143,6206,5089,6213,5030,6224,5073,6154,5109,6085,5136,6015,5154,5947,5164,5878,5165,5810,5157,5742,5139,5664,5111,5588,5075,5513,5030,5441,4976,5370,4956,5347,4913,5301,4872,5263,4872,5820,4868,5876,4854,5931,4830,5987,4794,6046,4747,6107,4687,6170,4280,6578,3649,5946,4102,5493,4166,5436,4229,5393,4293,5364,4358,5348,4422,5347,4501,5362,4577,5392,4649,5437,4718,5496,4761,5544,4797,5595,4827,5648,4851,5705,4867,5763,4872,5820,4872,5263,4849,5242,4782,5189,4713,5144,4641,5105,4566,5073,4474,5045,4386,5032,4303,5034,4225,5050,4163,5075,4098,5111,4030,5160,3958,5219,3883,5290,3248,5925,5157,7833,5346,7644,4499,6796,4718,6578,4753,6543,4783,6516,4810,6495,4833,6480,4863,6467,4896,6456,4932,6448,4971,6444,5014,6444,5066,6449,5125,6460,5194,6476,5256,6493,5328,6514,5407,6539,5496,6568,6180,6810,6418,6572xm7780,5209l7415,5014,6555,4560,6555,4867,6070,5352,6030,5281,5989,5209,5748,4779,5708,4707,5668,4635,5629,4570,5590,4505,5550,4441,5509,4378,5467,4316,5424,4255,5380,4194,5436,4230,5498,4267,5564,4307,5635,4349,5792,4440,6555,4867,6555,4560,5862,4194,5286,3887,5082,4091,5277,4442,5316,4512,5701,5209,6207,6128,6441,6549,6642,6348,6565,6214,6298,5746,6221,5613,6481,5352,6820,5014,7173,5209,7565,5425,7780,5209xm8131,4859l7264,3992,7936,3320,7711,3095,7039,3767,6448,3176,7224,2400,6999,2174,6033,3140,7941,5048,8131,4859xm9707,3283l8024,1600,8497,1126,8272,901,7138,2036,7363,2261,7834,1789,9517,3472,9707,3283xe" filled="true" fillcolor="#c0c0c0" stroked="false">
            <v:path arrowok="t"/>
            <v:fill opacity="32896f" type="solid"/>
            <w10:wrap type="none"/>
          </v:shape>
        </w:pict>
      </w:r>
      <w:r>
        <w:rPr/>
        <w:t>The</w:t>
      </w:r>
      <w:r>
        <w:rPr>
          <w:spacing w:val="-1"/>
        </w:rPr>
        <w:t> </w:t>
      </w:r>
      <w:r>
        <w:rPr/>
        <w:t>Rental</w:t>
      </w:r>
      <w:r>
        <w:rPr>
          <w:spacing w:val="-4"/>
        </w:rPr>
        <w:t> </w:t>
      </w:r>
      <w:r>
        <w:rPr/>
        <w:t>Rehabilitation</w:t>
      </w:r>
      <w:r>
        <w:rPr>
          <w:spacing w:val="-1"/>
        </w:rPr>
        <w:t> </w:t>
      </w:r>
      <w:r>
        <w:rPr/>
        <w:t>Program</w:t>
      </w:r>
      <w:r>
        <w:rPr>
          <w:spacing w:val="-1"/>
        </w:rPr>
        <w:t> </w:t>
      </w:r>
      <w:r>
        <w:rPr/>
        <w:t>assistance</w:t>
      </w:r>
      <w:r>
        <w:rPr>
          <w:spacing w:val="-4"/>
        </w:rPr>
        <w:t> </w:t>
      </w:r>
      <w:r>
        <w:rPr/>
        <w:t>is</w:t>
      </w:r>
      <w:r>
        <w:rPr>
          <w:spacing w:val="-3"/>
        </w:rPr>
        <w:t> </w:t>
      </w:r>
      <w:r>
        <w:rPr/>
        <w:t>an</w:t>
      </w:r>
      <w:r>
        <w:rPr>
          <w:spacing w:val="-1"/>
        </w:rPr>
        <w:t> </w:t>
      </w:r>
      <w:r>
        <w:rPr/>
        <w:t>interest-free,</w:t>
      </w:r>
      <w:r>
        <w:rPr>
          <w:spacing w:val="-5"/>
        </w:rPr>
        <w:t> </w:t>
      </w:r>
      <w:r>
        <w:rPr/>
        <w:t>forgivable,</w:t>
      </w:r>
      <w:r>
        <w:rPr>
          <w:spacing w:val="-2"/>
        </w:rPr>
        <w:t> </w:t>
      </w:r>
      <w:r>
        <w:rPr/>
        <w:t>self-amortizing</w:t>
      </w:r>
      <w:r>
        <w:rPr>
          <w:spacing w:val="-1"/>
        </w:rPr>
        <w:t> </w:t>
      </w:r>
      <w:r>
        <w:rPr/>
        <w:t>loan in</w:t>
      </w:r>
      <w:r>
        <w:rPr>
          <w:spacing w:val="-2"/>
        </w:rPr>
        <w:t> </w:t>
      </w:r>
      <w:r>
        <w:rPr/>
        <w:t>an</w:t>
      </w:r>
      <w:r>
        <w:rPr>
          <w:spacing w:val="-2"/>
        </w:rPr>
        <w:t> </w:t>
      </w:r>
      <w:r>
        <w:rPr/>
        <w:t>amount subject</w:t>
      </w:r>
      <w:r>
        <w:rPr>
          <w:spacing w:val="-3"/>
        </w:rPr>
        <w:t> </w:t>
      </w:r>
      <w:r>
        <w:rPr/>
        <w:t>to</w:t>
      </w:r>
      <w:r>
        <w:rPr>
          <w:spacing w:val="-4"/>
        </w:rPr>
        <w:t> </w:t>
      </w:r>
      <w:r>
        <w:rPr/>
        <w:t>the</w:t>
      </w:r>
      <w:r>
        <w:rPr>
          <w:spacing w:val="-2"/>
        </w:rPr>
        <w:t> </w:t>
      </w:r>
      <w:r>
        <w:rPr/>
        <w:t>City’s</w:t>
      </w:r>
      <w:r>
        <w:rPr>
          <w:spacing w:val="-1"/>
        </w:rPr>
        <w:t> </w:t>
      </w:r>
      <w:r>
        <w:rPr/>
        <w:t>assessment of</w:t>
      </w:r>
      <w:r>
        <w:rPr>
          <w:spacing w:val="-3"/>
        </w:rPr>
        <w:t> </w:t>
      </w:r>
      <w:r>
        <w:rPr/>
        <w:t>needs. The</w:t>
      </w:r>
      <w:r>
        <w:rPr>
          <w:spacing w:val="-4"/>
        </w:rPr>
        <w:t> </w:t>
      </w:r>
      <w:r>
        <w:rPr/>
        <w:t>City</w:t>
      </w:r>
      <w:r>
        <w:rPr>
          <w:spacing w:val="-1"/>
        </w:rPr>
        <w:t> </w:t>
      </w:r>
      <w:r>
        <w:rPr/>
        <w:t>loan</w:t>
      </w:r>
      <w:r>
        <w:rPr>
          <w:spacing w:val="-2"/>
        </w:rPr>
        <w:t> </w:t>
      </w:r>
      <w:r>
        <w:rPr/>
        <w:t>shall</w:t>
      </w:r>
      <w:r>
        <w:rPr>
          <w:spacing w:val="-2"/>
        </w:rPr>
        <w:t> </w:t>
      </w:r>
      <w:r>
        <w:rPr/>
        <w:t>be</w:t>
      </w:r>
      <w:r>
        <w:rPr>
          <w:spacing w:val="-2"/>
        </w:rPr>
        <w:t> </w:t>
      </w:r>
      <w:r>
        <w:rPr/>
        <w:t>secured</w:t>
      </w:r>
      <w:r>
        <w:rPr>
          <w:spacing w:val="-2"/>
        </w:rPr>
        <w:t> </w:t>
      </w:r>
      <w:r>
        <w:rPr/>
        <w:t>by</w:t>
      </w:r>
      <w:r>
        <w:rPr>
          <w:spacing w:val="-1"/>
        </w:rPr>
        <w:t> </w:t>
      </w:r>
      <w:r>
        <w:rPr/>
        <w:t>a</w:t>
      </w:r>
      <w:r>
        <w:rPr>
          <w:spacing w:val="-4"/>
        </w:rPr>
        <w:t> </w:t>
      </w:r>
      <w:r>
        <w:rPr/>
        <w:t>first or second lien on the property, signed by Applicant as the owner of the property. Landlord must rent to an income eligible renter for the duration of the affordability period. Landlord must certify annually</w:t>
      </w:r>
      <w:r>
        <w:rPr>
          <w:spacing w:val="-6"/>
        </w:rPr>
        <w:t> </w:t>
      </w:r>
      <w:r>
        <w:rPr/>
        <w:t>that</w:t>
      </w:r>
      <w:r>
        <w:rPr>
          <w:spacing w:val="-7"/>
        </w:rPr>
        <w:t> </w:t>
      </w:r>
      <w:r>
        <w:rPr/>
        <w:t>it</w:t>
      </w:r>
      <w:r>
        <w:rPr>
          <w:spacing w:val="-7"/>
        </w:rPr>
        <w:t> </w:t>
      </w:r>
      <w:r>
        <w:rPr/>
        <w:t>is</w:t>
      </w:r>
      <w:r>
        <w:rPr>
          <w:spacing w:val="-6"/>
        </w:rPr>
        <w:t> </w:t>
      </w:r>
      <w:r>
        <w:rPr/>
        <w:t>in</w:t>
      </w:r>
      <w:r>
        <w:rPr>
          <w:spacing w:val="-9"/>
        </w:rPr>
        <w:t> </w:t>
      </w:r>
      <w:r>
        <w:rPr/>
        <w:t>compliance</w:t>
      </w:r>
      <w:r>
        <w:rPr>
          <w:spacing w:val="-6"/>
        </w:rPr>
        <w:t> </w:t>
      </w:r>
      <w:r>
        <w:rPr/>
        <w:t>with</w:t>
      </w:r>
      <w:r>
        <w:rPr>
          <w:spacing w:val="-6"/>
        </w:rPr>
        <w:t> </w:t>
      </w:r>
      <w:r>
        <w:rPr/>
        <w:t>the</w:t>
      </w:r>
      <w:r>
        <w:rPr>
          <w:spacing w:val="-11"/>
        </w:rPr>
        <w:t> </w:t>
      </w:r>
      <w:r>
        <w:rPr/>
        <w:t>terms</w:t>
      </w:r>
      <w:r>
        <w:rPr>
          <w:spacing w:val="-8"/>
        </w:rPr>
        <w:t> </w:t>
      </w:r>
      <w:r>
        <w:rPr/>
        <w:t>until</w:t>
      </w:r>
      <w:r>
        <w:rPr>
          <w:spacing w:val="-7"/>
        </w:rPr>
        <w:t> </w:t>
      </w:r>
      <w:r>
        <w:rPr/>
        <w:t>the</w:t>
      </w:r>
      <w:r>
        <w:rPr>
          <w:spacing w:val="-9"/>
        </w:rPr>
        <w:t> </w:t>
      </w:r>
      <w:r>
        <w:rPr/>
        <w:t>loan</w:t>
      </w:r>
      <w:r>
        <w:rPr>
          <w:spacing w:val="-6"/>
        </w:rPr>
        <w:t> </w:t>
      </w:r>
      <w:r>
        <w:rPr/>
        <w:t>is</w:t>
      </w:r>
      <w:r>
        <w:rPr>
          <w:spacing w:val="-8"/>
        </w:rPr>
        <w:t> </w:t>
      </w:r>
      <w:r>
        <w:rPr/>
        <w:t>repaid</w:t>
      </w:r>
      <w:r>
        <w:rPr>
          <w:spacing w:val="-9"/>
        </w:rPr>
        <w:t> </w:t>
      </w:r>
      <w:r>
        <w:rPr/>
        <w:t>to</w:t>
      </w:r>
      <w:r>
        <w:rPr>
          <w:spacing w:val="-11"/>
        </w:rPr>
        <w:t> </w:t>
      </w:r>
      <w:r>
        <w:rPr/>
        <w:t>the</w:t>
      </w:r>
      <w:r>
        <w:rPr>
          <w:spacing w:val="-9"/>
        </w:rPr>
        <w:t> </w:t>
      </w:r>
      <w:r>
        <w:rPr/>
        <w:t>City</w:t>
      </w:r>
      <w:r>
        <w:rPr>
          <w:spacing w:val="-6"/>
        </w:rPr>
        <w:t> </w:t>
      </w:r>
      <w:r>
        <w:rPr/>
        <w:t>in</w:t>
      </w:r>
      <w:r>
        <w:rPr>
          <w:spacing w:val="-9"/>
        </w:rPr>
        <w:t> </w:t>
      </w:r>
      <w:r>
        <w:rPr/>
        <w:t>full</w:t>
      </w:r>
      <w:r>
        <w:rPr>
          <w:spacing w:val="-7"/>
        </w:rPr>
        <w:t> </w:t>
      </w:r>
      <w:r>
        <w:rPr/>
        <w:t>or</w:t>
      </w:r>
      <w:r>
        <w:rPr>
          <w:spacing w:val="-8"/>
        </w:rPr>
        <w:t> </w:t>
      </w:r>
      <w:r>
        <w:rPr/>
        <w:t>forgiven, as detailed below. Landlord must also correct all code violations that exist on the property. The maximum loan assistance amount not to exceed 27% of HOME Homeownership Value Limits and not to exceed 80% of the Appraisal District Improvement Value, not to exceed 4 units per </w:t>
      </w:r>
      <w:r>
        <w:rPr>
          <w:spacing w:val="-2"/>
        </w:rPr>
        <w:t>address.</w:t>
      </w:r>
    </w:p>
    <w:p>
      <w:pPr>
        <w:pStyle w:val="BodyText"/>
        <w:spacing w:before="11"/>
        <w:rPr>
          <w:sz w:val="21"/>
        </w:rPr>
      </w:pPr>
    </w:p>
    <w:p>
      <w:pPr>
        <w:pStyle w:val="BodyText"/>
        <w:ind w:left="119" w:right="155"/>
        <w:jc w:val="both"/>
      </w:pPr>
      <w:r>
        <w:rPr/>
        <w:t>Loan payments are self-amortized over the ten-year loan term and forgiven annually at the rate of one-tenth of the loan amount for every year the Applicant leases to low-income households, the Applicant remains the owner of the property, and complies with the terms and conditions of the</w:t>
      </w:r>
      <w:r>
        <w:rPr>
          <w:spacing w:val="-11"/>
        </w:rPr>
        <w:t> </w:t>
      </w:r>
      <w:r>
        <w:rPr/>
        <w:t>contract.</w:t>
      </w:r>
      <w:r>
        <w:rPr>
          <w:spacing w:val="-10"/>
        </w:rPr>
        <w:t> </w:t>
      </w:r>
      <w:r>
        <w:rPr/>
        <w:t>The</w:t>
      </w:r>
      <w:r>
        <w:rPr>
          <w:spacing w:val="-14"/>
        </w:rPr>
        <w:t> </w:t>
      </w:r>
      <w:r>
        <w:rPr/>
        <w:t>deed</w:t>
      </w:r>
      <w:r>
        <w:rPr>
          <w:spacing w:val="-14"/>
        </w:rPr>
        <w:t> </w:t>
      </w:r>
      <w:r>
        <w:rPr/>
        <w:t>restrictions</w:t>
      </w:r>
      <w:r>
        <w:rPr>
          <w:spacing w:val="-13"/>
        </w:rPr>
        <w:t> </w:t>
      </w:r>
      <w:r>
        <w:rPr/>
        <w:t>and</w:t>
      </w:r>
      <w:r>
        <w:rPr>
          <w:spacing w:val="-14"/>
        </w:rPr>
        <w:t> </w:t>
      </w:r>
      <w:r>
        <w:rPr/>
        <w:t>the</w:t>
      </w:r>
      <w:r>
        <w:rPr>
          <w:spacing w:val="-14"/>
        </w:rPr>
        <w:t> </w:t>
      </w:r>
      <w:r>
        <w:rPr/>
        <w:t>deed</w:t>
      </w:r>
      <w:r>
        <w:rPr>
          <w:spacing w:val="-11"/>
        </w:rPr>
        <w:t> </w:t>
      </w:r>
      <w:r>
        <w:rPr/>
        <w:t>of</w:t>
      </w:r>
      <w:r>
        <w:rPr>
          <w:spacing w:val="-12"/>
        </w:rPr>
        <w:t> </w:t>
      </w:r>
      <w:r>
        <w:rPr/>
        <w:t>trust</w:t>
      </w:r>
      <w:r>
        <w:rPr>
          <w:spacing w:val="-12"/>
        </w:rPr>
        <w:t> </w:t>
      </w:r>
      <w:r>
        <w:rPr/>
        <w:t>may</w:t>
      </w:r>
      <w:r>
        <w:rPr>
          <w:spacing w:val="-11"/>
        </w:rPr>
        <w:t> </w:t>
      </w:r>
      <w:r>
        <w:rPr/>
        <w:t>be</w:t>
      </w:r>
      <w:r>
        <w:rPr>
          <w:spacing w:val="-14"/>
        </w:rPr>
        <w:t> </w:t>
      </w:r>
      <w:r>
        <w:rPr/>
        <w:t>released</w:t>
      </w:r>
      <w:r>
        <w:rPr>
          <w:spacing w:val="-14"/>
        </w:rPr>
        <w:t> </w:t>
      </w:r>
      <w:r>
        <w:rPr/>
        <w:t>on</w:t>
      </w:r>
      <w:r>
        <w:rPr>
          <w:spacing w:val="-14"/>
        </w:rPr>
        <w:t> </w:t>
      </w:r>
      <w:r>
        <w:rPr/>
        <w:t>the</w:t>
      </w:r>
      <w:r>
        <w:rPr>
          <w:spacing w:val="-14"/>
        </w:rPr>
        <w:t> </w:t>
      </w:r>
      <w:r>
        <w:rPr/>
        <w:t>tenth</w:t>
      </w:r>
      <w:r>
        <w:rPr>
          <w:spacing w:val="-11"/>
        </w:rPr>
        <w:t> </w:t>
      </w:r>
      <w:r>
        <w:rPr/>
        <w:t>anniversary of</w:t>
      </w:r>
      <w:r>
        <w:rPr>
          <w:spacing w:val="-15"/>
        </w:rPr>
        <w:t> </w:t>
      </w:r>
      <w:r>
        <w:rPr/>
        <w:t>the</w:t>
      </w:r>
      <w:r>
        <w:rPr>
          <w:spacing w:val="-15"/>
        </w:rPr>
        <w:t> </w:t>
      </w:r>
      <w:r>
        <w:rPr/>
        <w:t>making</w:t>
      </w:r>
      <w:r>
        <w:rPr>
          <w:spacing w:val="-14"/>
        </w:rPr>
        <w:t> </w:t>
      </w:r>
      <w:r>
        <w:rPr/>
        <w:t>of</w:t>
      </w:r>
      <w:r>
        <w:rPr>
          <w:spacing w:val="-15"/>
        </w:rPr>
        <w:t> </w:t>
      </w:r>
      <w:r>
        <w:rPr/>
        <w:t>the</w:t>
      </w:r>
      <w:r>
        <w:rPr>
          <w:spacing w:val="-14"/>
        </w:rPr>
        <w:t> </w:t>
      </w:r>
      <w:r>
        <w:rPr/>
        <w:t>loan,</w:t>
      </w:r>
      <w:r>
        <w:rPr>
          <w:spacing w:val="-15"/>
        </w:rPr>
        <w:t> </w:t>
      </w:r>
      <w:r>
        <w:rPr/>
        <w:t>so</w:t>
      </w:r>
      <w:r>
        <w:rPr>
          <w:spacing w:val="-14"/>
        </w:rPr>
        <w:t> </w:t>
      </w:r>
      <w:r>
        <w:rPr/>
        <w:t>long</w:t>
      </w:r>
      <w:r>
        <w:rPr>
          <w:spacing w:val="-14"/>
        </w:rPr>
        <w:t> </w:t>
      </w:r>
      <w:r>
        <w:rPr/>
        <w:t>as</w:t>
      </w:r>
      <w:r>
        <w:rPr>
          <w:spacing w:val="-15"/>
        </w:rPr>
        <w:t> </w:t>
      </w:r>
      <w:r>
        <w:rPr/>
        <w:t>the</w:t>
      </w:r>
      <w:r>
        <w:rPr>
          <w:spacing w:val="-14"/>
        </w:rPr>
        <w:t> </w:t>
      </w:r>
      <w:r>
        <w:rPr/>
        <w:t>Applicant</w:t>
      </w:r>
      <w:r>
        <w:rPr>
          <w:spacing w:val="-16"/>
        </w:rPr>
        <w:t> </w:t>
      </w:r>
      <w:r>
        <w:rPr/>
        <w:t>has</w:t>
      </w:r>
      <w:r>
        <w:rPr>
          <w:spacing w:val="-12"/>
        </w:rPr>
        <w:t> </w:t>
      </w:r>
      <w:r>
        <w:rPr/>
        <w:t>met</w:t>
      </w:r>
      <w:r>
        <w:rPr>
          <w:spacing w:val="-15"/>
        </w:rPr>
        <w:t> </w:t>
      </w:r>
      <w:r>
        <w:rPr/>
        <w:t>the</w:t>
      </w:r>
      <w:r>
        <w:rPr>
          <w:spacing w:val="-15"/>
        </w:rPr>
        <w:t> </w:t>
      </w:r>
      <w:r>
        <w:rPr/>
        <w:t>conditions</w:t>
      </w:r>
      <w:r>
        <w:rPr>
          <w:spacing w:val="-13"/>
        </w:rPr>
        <w:t> </w:t>
      </w:r>
      <w:r>
        <w:rPr/>
        <w:t>of</w:t>
      </w:r>
      <w:r>
        <w:rPr>
          <w:spacing w:val="-15"/>
        </w:rPr>
        <w:t> </w:t>
      </w:r>
      <w:r>
        <w:rPr/>
        <w:t>the</w:t>
      </w:r>
      <w:r>
        <w:rPr>
          <w:spacing w:val="-14"/>
        </w:rPr>
        <w:t> </w:t>
      </w:r>
      <w:r>
        <w:rPr/>
        <w:t>loan,</w:t>
      </w:r>
      <w:r>
        <w:rPr>
          <w:spacing w:val="-15"/>
        </w:rPr>
        <w:t> </w:t>
      </w:r>
      <w:r>
        <w:rPr/>
        <w:t>as</w:t>
      </w:r>
      <w:r>
        <w:rPr>
          <w:spacing w:val="-15"/>
        </w:rPr>
        <w:t> </w:t>
      </w:r>
      <w:r>
        <w:rPr/>
        <w:t>described under these program requirements, for the entire term, as determined by the City. Failure of Applicant</w:t>
      </w:r>
      <w:r>
        <w:rPr>
          <w:spacing w:val="-3"/>
        </w:rPr>
        <w:t> </w:t>
      </w:r>
      <w:r>
        <w:rPr/>
        <w:t>to</w:t>
      </w:r>
      <w:r>
        <w:rPr>
          <w:spacing w:val="-9"/>
        </w:rPr>
        <w:t> </w:t>
      </w:r>
      <w:r>
        <w:rPr/>
        <w:t>rent</w:t>
      </w:r>
      <w:r>
        <w:rPr>
          <w:spacing w:val="-5"/>
        </w:rPr>
        <w:t> </w:t>
      </w:r>
      <w:r>
        <w:rPr/>
        <w:t>the</w:t>
      </w:r>
      <w:r>
        <w:rPr>
          <w:spacing w:val="-6"/>
        </w:rPr>
        <w:t> </w:t>
      </w:r>
      <w:r>
        <w:rPr/>
        <w:t>property</w:t>
      </w:r>
      <w:r>
        <w:rPr>
          <w:spacing w:val="-6"/>
        </w:rPr>
        <w:t> </w:t>
      </w:r>
      <w:r>
        <w:rPr/>
        <w:t>continuously</w:t>
      </w:r>
      <w:r>
        <w:rPr>
          <w:spacing w:val="-6"/>
        </w:rPr>
        <w:t> </w:t>
      </w:r>
      <w:r>
        <w:rPr/>
        <w:t>to</w:t>
      </w:r>
      <w:r>
        <w:rPr>
          <w:spacing w:val="-6"/>
        </w:rPr>
        <w:t> </w:t>
      </w:r>
      <w:r>
        <w:rPr/>
        <w:t>income</w:t>
      </w:r>
      <w:r>
        <w:rPr>
          <w:spacing w:val="-4"/>
        </w:rPr>
        <w:t> </w:t>
      </w:r>
      <w:r>
        <w:rPr/>
        <w:t>qualified</w:t>
      </w:r>
      <w:r>
        <w:rPr>
          <w:spacing w:val="-4"/>
        </w:rPr>
        <w:t> </w:t>
      </w:r>
      <w:r>
        <w:rPr/>
        <w:t>residents</w:t>
      </w:r>
      <w:r>
        <w:rPr>
          <w:spacing w:val="-6"/>
        </w:rPr>
        <w:t> </w:t>
      </w:r>
      <w:r>
        <w:rPr/>
        <w:t>or</w:t>
      </w:r>
      <w:r>
        <w:rPr>
          <w:spacing w:val="-8"/>
        </w:rPr>
        <w:t> </w:t>
      </w:r>
      <w:r>
        <w:rPr/>
        <w:t>comply</w:t>
      </w:r>
      <w:r>
        <w:rPr>
          <w:spacing w:val="-4"/>
        </w:rPr>
        <w:t> </w:t>
      </w:r>
      <w:r>
        <w:rPr/>
        <w:t>with</w:t>
      </w:r>
      <w:r>
        <w:rPr>
          <w:spacing w:val="-9"/>
        </w:rPr>
        <w:t> </w:t>
      </w:r>
      <w:r>
        <w:rPr/>
        <w:t>the</w:t>
      </w:r>
      <w:r>
        <w:rPr>
          <w:spacing w:val="-6"/>
        </w:rPr>
        <w:t> </w:t>
      </w:r>
      <w:r>
        <w:rPr/>
        <w:t>terms and conditions of the contract for the entire term, shall result in repayment of the unamortized balance of the loan. Short term vacancies between tenants may be allowed, as determined by the City, on a case-by-case basis.</w:t>
      </w:r>
    </w:p>
    <w:p>
      <w:pPr>
        <w:pStyle w:val="BodyText"/>
        <w:spacing w:before="1"/>
      </w:pPr>
    </w:p>
    <w:p>
      <w:pPr>
        <w:pStyle w:val="BodyText"/>
        <w:ind w:left="120" w:right="157"/>
        <w:jc w:val="both"/>
      </w:pPr>
      <w:r>
        <w:rPr/>
        <w:t>The City shall perform required monitoring during the ten-year period of affordability. Applicant shall</w:t>
      </w:r>
      <w:r>
        <w:rPr>
          <w:spacing w:val="-9"/>
        </w:rPr>
        <w:t> </w:t>
      </w:r>
      <w:r>
        <w:rPr/>
        <w:t>also</w:t>
      </w:r>
      <w:r>
        <w:rPr>
          <w:spacing w:val="-9"/>
        </w:rPr>
        <w:t> </w:t>
      </w:r>
      <w:r>
        <w:rPr/>
        <w:t>be</w:t>
      </w:r>
      <w:r>
        <w:rPr>
          <w:spacing w:val="-11"/>
        </w:rPr>
        <w:t> </w:t>
      </w:r>
      <w:r>
        <w:rPr/>
        <w:t>required</w:t>
      </w:r>
      <w:r>
        <w:rPr>
          <w:spacing w:val="-14"/>
        </w:rPr>
        <w:t> </w:t>
      </w:r>
      <w:r>
        <w:rPr/>
        <w:t>to</w:t>
      </w:r>
      <w:r>
        <w:rPr>
          <w:spacing w:val="-14"/>
        </w:rPr>
        <w:t> </w:t>
      </w:r>
      <w:r>
        <w:rPr/>
        <w:t>provide</w:t>
      </w:r>
      <w:r>
        <w:rPr>
          <w:spacing w:val="-9"/>
        </w:rPr>
        <w:t> </w:t>
      </w:r>
      <w:r>
        <w:rPr/>
        <w:t>on-going</w:t>
      </w:r>
      <w:r>
        <w:rPr>
          <w:spacing w:val="-9"/>
        </w:rPr>
        <w:t> </w:t>
      </w:r>
      <w:r>
        <w:rPr/>
        <w:t>proof</w:t>
      </w:r>
      <w:r>
        <w:rPr>
          <w:spacing w:val="-10"/>
        </w:rPr>
        <w:t> </w:t>
      </w:r>
      <w:r>
        <w:rPr/>
        <w:t>of</w:t>
      </w:r>
      <w:r>
        <w:rPr>
          <w:spacing w:val="-10"/>
        </w:rPr>
        <w:t> </w:t>
      </w:r>
      <w:r>
        <w:rPr/>
        <w:t>insurance</w:t>
      </w:r>
      <w:r>
        <w:rPr>
          <w:spacing w:val="-14"/>
        </w:rPr>
        <w:t> </w:t>
      </w:r>
      <w:r>
        <w:rPr/>
        <w:t>to</w:t>
      </w:r>
      <w:r>
        <w:rPr>
          <w:spacing w:val="-11"/>
        </w:rPr>
        <w:t> </w:t>
      </w:r>
      <w:r>
        <w:rPr/>
        <w:t>the</w:t>
      </w:r>
      <w:r>
        <w:rPr>
          <w:spacing w:val="-11"/>
        </w:rPr>
        <w:t> </w:t>
      </w:r>
      <w:r>
        <w:rPr/>
        <w:t>City,</w:t>
      </w:r>
      <w:r>
        <w:rPr>
          <w:spacing w:val="-7"/>
        </w:rPr>
        <w:t> </w:t>
      </w:r>
      <w:r>
        <w:rPr/>
        <w:t>with</w:t>
      </w:r>
      <w:r>
        <w:rPr>
          <w:spacing w:val="-9"/>
        </w:rPr>
        <w:t> </w:t>
      </w:r>
      <w:r>
        <w:rPr/>
        <w:t>the</w:t>
      </w:r>
      <w:r>
        <w:rPr>
          <w:spacing w:val="-11"/>
        </w:rPr>
        <w:t> </w:t>
      </w:r>
      <w:r>
        <w:rPr/>
        <w:t>City</w:t>
      </w:r>
      <w:r>
        <w:rPr>
          <w:spacing w:val="-11"/>
        </w:rPr>
        <w:t> </w:t>
      </w:r>
      <w:r>
        <w:rPr/>
        <w:t>as</w:t>
      </w:r>
      <w:r>
        <w:rPr>
          <w:spacing w:val="-11"/>
        </w:rPr>
        <w:t> </w:t>
      </w:r>
      <w:r>
        <w:rPr/>
        <w:t>an</w:t>
      </w:r>
      <w:r>
        <w:rPr>
          <w:spacing w:val="-11"/>
        </w:rPr>
        <w:t> </w:t>
      </w:r>
      <w:r>
        <w:rPr/>
        <w:t>added insured. Applicant must certify annually that the home is not for sale, the Applicant is leasing to low-income households, and Applicant remains the owner of the property, and any other certifications</w:t>
      </w:r>
      <w:r>
        <w:rPr>
          <w:spacing w:val="-4"/>
        </w:rPr>
        <w:t> </w:t>
      </w:r>
      <w:r>
        <w:rPr/>
        <w:t>required</w:t>
      </w:r>
      <w:r>
        <w:rPr>
          <w:spacing w:val="-6"/>
        </w:rPr>
        <w:t> </w:t>
      </w:r>
      <w:r>
        <w:rPr/>
        <w:t>by</w:t>
      </w:r>
      <w:r>
        <w:rPr>
          <w:spacing w:val="-6"/>
        </w:rPr>
        <w:t> </w:t>
      </w:r>
      <w:r>
        <w:rPr/>
        <w:t>the</w:t>
      </w:r>
      <w:r>
        <w:rPr>
          <w:spacing w:val="-4"/>
        </w:rPr>
        <w:t> </w:t>
      </w:r>
      <w:r>
        <w:rPr/>
        <w:t>City</w:t>
      </w:r>
      <w:r>
        <w:rPr>
          <w:spacing w:val="-4"/>
        </w:rPr>
        <w:t> </w:t>
      </w:r>
      <w:r>
        <w:rPr/>
        <w:t>in</w:t>
      </w:r>
      <w:r>
        <w:rPr>
          <w:spacing w:val="-7"/>
        </w:rPr>
        <w:t> </w:t>
      </w:r>
      <w:r>
        <w:rPr/>
        <w:t>the</w:t>
      </w:r>
      <w:r>
        <w:rPr>
          <w:spacing w:val="-4"/>
        </w:rPr>
        <w:t> </w:t>
      </w:r>
      <w:r>
        <w:rPr/>
        <w:t>contract,</w:t>
      </w:r>
      <w:r>
        <w:rPr>
          <w:spacing w:val="-5"/>
        </w:rPr>
        <w:t> </w:t>
      </w:r>
      <w:r>
        <w:rPr/>
        <w:t>until</w:t>
      </w:r>
      <w:r>
        <w:rPr>
          <w:spacing w:val="-5"/>
        </w:rPr>
        <w:t> </w:t>
      </w:r>
      <w:r>
        <w:rPr/>
        <w:t>the</w:t>
      </w:r>
      <w:r>
        <w:rPr>
          <w:spacing w:val="-4"/>
        </w:rPr>
        <w:t> </w:t>
      </w:r>
      <w:r>
        <w:rPr/>
        <w:t>balance</w:t>
      </w:r>
      <w:r>
        <w:rPr>
          <w:spacing w:val="-4"/>
        </w:rPr>
        <w:t> </w:t>
      </w:r>
      <w:r>
        <w:rPr/>
        <w:t>of</w:t>
      </w:r>
      <w:r>
        <w:rPr>
          <w:spacing w:val="-3"/>
        </w:rPr>
        <w:t> </w:t>
      </w:r>
      <w:r>
        <w:rPr/>
        <w:t>the</w:t>
      </w:r>
      <w:r>
        <w:rPr>
          <w:spacing w:val="-6"/>
        </w:rPr>
        <w:t> </w:t>
      </w:r>
      <w:r>
        <w:rPr/>
        <w:t>loan</w:t>
      </w:r>
      <w:r>
        <w:rPr>
          <w:spacing w:val="-4"/>
        </w:rPr>
        <w:t> </w:t>
      </w:r>
      <w:r>
        <w:rPr/>
        <w:t>is</w:t>
      </w:r>
      <w:r>
        <w:rPr>
          <w:spacing w:val="-4"/>
        </w:rPr>
        <w:t> </w:t>
      </w:r>
      <w:r>
        <w:rPr/>
        <w:t>repaid</w:t>
      </w:r>
      <w:r>
        <w:rPr>
          <w:spacing w:val="-4"/>
        </w:rPr>
        <w:t> </w:t>
      </w:r>
      <w:r>
        <w:rPr/>
        <w:t>to</w:t>
      </w:r>
      <w:r>
        <w:rPr>
          <w:spacing w:val="-6"/>
        </w:rPr>
        <w:t> </w:t>
      </w:r>
      <w:r>
        <w:rPr/>
        <w:t>the</w:t>
      </w:r>
      <w:r>
        <w:rPr>
          <w:spacing w:val="-4"/>
        </w:rPr>
        <w:t> </w:t>
      </w:r>
      <w:r>
        <w:rPr/>
        <w:t>City or until the full amount of the loan is forgiven.</w:t>
      </w:r>
    </w:p>
    <w:p>
      <w:pPr>
        <w:pStyle w:val="BodyText"/>
        <w:spacing w:before="9"/>
        <w:rPr>
          <w:sz w:val="21"/>
        </w:rPr>
      </w:pPr>
    </w:p>
    <w:p>
      <w:pPr>
        <w:pStyle w:val="BodyText"/>
        <w:ind w:left="119" w:right="156"/>
        <w:jc w:val="both"/>
      </w:pPr>
      <w:r>
        <w:rPr/>
        <w:t>The affordability period for the Rental Rehabilitation Program shall be ten (10) years. In addition to execution of a loan agreement, execution and recordation of a deed of trust, deed restriction, and a note will be required.</w:t>
      </w:r>
    </w:p>
    <w:p>
      <w:pPr>
        <w:pStyle w:val="BodyText"/>
      </w:pPr>
    </w:p>
    <w:p>
      <w:pPr>
        <w:pStyle w:val="BodyText"/>
        <w:ind w:left="119" w:right="157"/>
        <w:jc w:val="both"/>
      </w:pPr>
      <w:r>
        <w:rPr/>
        <w:t>Applicant</w:t>
      </w:r>
      <w:r>
        <w:rPr>
          <w:spacing w:val="-8"/>
        </w:rPr>
        <w:t> </w:t>
      </w:r>
      <w:r>
        <w:rPr/>
        <w:t>may</w:t>
      </w:r>
      <w:r>
        <w:rPr>
          <w:spacing w:val="-12"/>
        </w:rPr>
        <w:t> </w:t>
      </w:r>
      <w:r>
        <w:rPr/>
        <w:t>repay</w:t>
      </w:r>
      <w:r>
        <w:rPr>
          <w:spacing w:val="-12"/>
        </w:rPr>
        <w:t> </w:t>
      </w:r>
      <w:r>
        <w:rPr/>
        <w:t>the</w:t>
      </w:r>
      <w:r>
        <w:rPr>
          <w:spacing w:val="-11"/>
        </w:rPr>
        <w:t> </w:t>
      </w:r>
      <w:r>
        <w:rPr/>
        <w:t>Rental</w:t>
      </w:r>
      <w:r>
        <w:rPr>
          <w:spacing w:val="-10"/>
        </w:rPr>
        <w:t> </w:t>
      </w:r>
      <w:r>
        <w:rPr/>
        <w:t>Rehabilitation</w:t>
      </w:r>
      <w:r>
        <w:rPr>
          <w:spacing w:val="-10"/>
        </w:rPr>
        <w:t> </w:t>
      </w:r>
      <w:r>
        <w:rPr/>
        <w:t>Program</w:t>
      </w:r>
      <w:r>
        <w:rPr>
          <w:spacing w:val="-7"/>
        </w:rPr>
        <w:t> </w:t>
      </w:r>
      <w:r>
        <w:rPr/>
        <w:t>loan</w:t>
      </w:r>
      <w:r>
        <w:rPr>
          <w:spacing w:val="-10"/>
        </w:rPr>
        <w:t> </w:t>
      </w:r>
      <w:r>
        <w:rPr/>
        <w:t>at</w:t>
      </w:r>
      <w:r>
        <w:rPr>
          <w:spacing w:val="-8"/>
        </w:rPr>
        <w:t> </w:t>
      </w:r>
      <w:r>
        <w:rPr/>
        <w:t>any</w:t>
      </w:r>
      <w:r>
        <w:rPr>
          <w:spacing w:val="-12"/>
        </w:rPr>
        <w:t> </w:t>
      </w:r>
      <w:r>
        <w:rPr/>
        <w:t>time</w:t>
      </w:r>
      <w:r>
        <w:rPr>
          <w:spacing w:val="-10"/>
        </w:rPr>
        <w:t> </w:t>
      </w:r>
      <w:r>
        <w:rPr/>
        <w:t>without</w:t>
      </w:r>
      <w:r>
        <w:rPr>
          <w:spacing w:val="-8"/>
        </w:rPr>
        <w:t> </w:t>
      </w:r>
      <w:r>
        <w:rPr/>
        <w:t>penalty.</w:t>
      </w:r>
      <w:r>
        <w:rPr>
          <w:spacing w:val="-8"/>
        </w:rPr>
        <w:t> </w:t>
      </w:r>
      <w:r>
        <w:rPr/>
        <w:t>All</w:t>
      </w:r>
      <w:r>
        <w:rPr>
          <w:spacing w:val="-10"/>
        </w:rPr>
        <w:t> </w:t>
      </w:r>
      <w:r>
        <w:rPr/>
        <w:t>loans are immediately payable upon the earlier of:</w:t>
      </w:r>
    </w:p>
    <w:p>
      <w:pPr>
        <w:pStyle w:val="BodyText"/>
        <w:spacing w:before="4"/>
      </w:pPr>
    </w:p>
    <w:p>
      <w:pPr>
        <w:pStyle w:val="ListParagraph"/>
        <w:numPr>
          <w:ilvl w:val="0"/>
          <w:numId w:val="7"/>
        </w:numPr>
        <w:tabs>
          <w:tab w:pos="839" w:val="left" w:leader="none"/>
          <w:tab w:pos="840" w:val="left" w:leader="none"/>
        </w:tabs>
        <w:spacing w:line="237" w:lineRule="auto" w:before="0" w:after="0"/>
        <w:ind w:left="839" w:right="156" w:hanging="361"/>
        <w:jc w:val="left"/>
        <w:rPr>
          <w:sz w:val="22"/>
        </w:rPr>
      </w:pPr>
      <w:r>
        <w:rPr>
          <w:sz w:val="22"/>
        </w:rPr>
        <w:t>Upon</w:t>
      </w:r>
      <w:r>
        <w:rPr>
          <w:spacing w:val="-10"/>
          <w:sz w:val="22"/>
        </w:rPr>
        <w:t> </w:t>
      </w:r>
      <w:r>
        <w:rPr>
          <w:sz w:val="22"/>
        </w:rPr>
        <w:t>transfer</w:t>
      </w:r>
      <w:r>
        <w:rPr>
          <w:spacing w:val="-9"/>
          <w:sz w:val="22"/>
        </w:rPr>
        <w:t> </w:t>
      </w:r>
      <w:r>
        <w:rPr>
          <w:sz w:val="22"/>
        </w:rPr>
        <w:t>of</w:t>
      </w:r>
      <w:r>
        <w:rPr>
          <w:spacing w:val="-8"/>
          <w:sz w:val="22"/>
        </w:rPr>
        <w:t> </w:t>
      </w:r>
      <w:r>
        <w:rPr>
          <w:sz w:val="22"/>
        </w:rPr>
        <w:t>the</w:t>
      </w:r>
      <w:r>
        <w:rPr>
          <w:spacing w:val="-10"/>
          <w:sz w:val="22"/>
        </w:rPr>
        <w:t> </w:t>
      </w:r>
      <w:r>
        <w:rPr>
          <w:sz w:val="22"/>
        </w:rPr>
        <w:t>property,</w:t>
      </w:r>
      <w:r>
        <w:rPr>
          <w:spacing w:val="-8"/>
          <w:sz w:val="22"/>
        </w:rPr>
        <w:t> </w:t>
      </w:r>
      <w:r>
        <w:rPr>
          <w:sz w:val="22"/>
        </w:rPr>
        <w:t>whether</w:t>
      </w:r>
      <w:r>
        <w:rPr>
          <w:spacing w:val="-9"/>
          <w:sz w:val="22"/>
        </w:rPr>
        <w:t> </w:t>
      </w:r>
      <w:r>
        <w:rPr>
          <w:sz w:val="22"/>
        </w:rPr>
        <w:t>voluntary</w:t>
      </w:r>
      <w:r>
        <w:rPr>
          <w:spacing w:val="-9"/>
          <w:sz w:val="22"/>
        </w:rPr>
        <w:t> </w:t>
      </w:r>
      <w:r>
        <w:rPr>
          <w:sz w:val="22"/>
        </w:rPr>
        <w:t>or</w:t>
      </w:r>
      <w:r>
        <w:rPr>
          <w:spacing w:val="-9"/>
          <w:sz w:val="22"/>
        </w:rPr>
        <w:t> </w:t>
      </w:r>
      <w:r>
        <w:rPr>
          <w:sz w:val="22"/>
        </w:rPr>
        <w:t>involuntary,</w:t>
      </w:r>
      <w:r>
        <w:rPr>
          <w:spacing w:val="-8"/>
          <w:sz w:val="22"/>
        </w:rPr>
        <w:t> </w:t>
      </w:r>
      <w:r>
        <w:rPr>
          <w:sz w:val="22"/>
        </w:rPr>
        <w:t>including</w:t>
      </w:r>
      <w:r>
        <w:rPr>
          <w:spacing w:val="-10"/>
          <w:sz w:val="22"/>
        </w:rPr>
        <w:t> </w:t>
      </w:r>
      <w:r>
        <w:rPr>
          <w:sz w:val="22"/>
        </w:rPr>
        <w:t>but</w:t>
      </w:r>
      <w:r>
        <w:rPr>
          <w:spacing w:val="-8"/>
          <w:sz w:val="22"/>
        </w:rPr>
        <w:t> </w:t>
      </w:r>
      <w:r>
        <w:rPr>
          <w:sz w:val="22"/>
        </w:rPr>
        <w:t>not</w:t>
      </w:r>
      <w:r>
        <w:rPr>
          <w:spacing w:val="-8"/>
          <w:sz w:val="22"/>
        </w:rPr>
        <w:t> </w:t>
      </w:r>
      <w:r>
        <w:rPr>
          <w:sz w:val="22"/>
        </w:rPr>
        <w:t>limited</w:t>
      </w:r>
      <w:r>
        <w:rPr>
          <w:spacing w:val="-12"/>
          <w:sz w:val="22"/>
        </w:rPr>
        <w:t> </w:t>
      </w:r>
      <w:r>
        <w:rPr>
          <w:sz w:val="22"/>
        </w:rPr>
        <w:t>to the sale, conveyance, transfer, or hypothecation of the security; or</w:t>
      </w:r>
    </w:p>
    <w:p>
      <w:pPr>
        <w:pStyle w:val="ListParagraph"/>
        <w:numPr>
          <w:ilvl w:val="0"/>
          <w:numId w:val="7"/>
        </w:numPr>
        <w:tabs>
          <w:tab w:pos="840" w:val="left" w:leader="none"/>
          <w:tab w:pos="841" w:val="left" w:leader="none"/>
        </w:tabs>
        <w:spacing w:line="237" w:lineRule="auto" w:before="3" w:after="0"/>
        <w:ind w:left="840" w:right="156" w:hanging="361"/>
        <w:jc w:val="left"/>
        <w:rPr>
          <w:sz w:val="22"/>
        </w:rPr>
      </w:pPr>
      <w:r>
        <w:rPr>
          <w:sz w:val="22"/>
        </w:rPr>
        <w:t>If the home is vacated during the term of the loan, in excess of the short-term vacancies approved by the City, or if it is not rented to an income eligible tenant; or</w:t>
      </w:r>
    </w:p>
    <w:p>
      <w:pPr>
        <w:pStyle w:val="ListParagraph"/>
        <w:numPr>
          <w:ilvl w:val="0"/>
          <w:numId w:val="7"/>
        </w:numPr>
        <w:tabs>
          <w:tab w:pos="840" w:val="left" w:leader="none"/>
          <w:tab w:pos="841" w:val="left" w:leader="none"/>
        </w:tabs>
        <w:spacing w:line="268" w:lineRule="exact" w:before="1" w:after="0"/>
        <w:ind w:left="840" w:right="0" w:hanging="361"/>
        <w:jc w:val="left"/>
        <w:rPr>
          <w:sz w:val="22"/>
        </w:rPr>
      </w:pPr>
      <w:r>
        <w:rPr>
          <w:sz w:val="22"/>
        </w:rPr>
        <w:t>Failure</w:t>
      </w:r>
      <w:r>
        <w:rPr>
          <w:spacing w:val="-4"/>
          <w:sz w:val="22"/>
        </w:rPr>
        <w:t> </w:t>
      </w:r>
      <w:r>
        <w:rPr>
          <w:sz w:val="22"/>
        </w:rPr>
        <w:t>to</w:t>
      </w:r>
      <w:r>
        <w:rPr>
          <w:spacing w:val="-3"/>
          <w:sz w:val="22"/>
        </w:rPr>
        <w:t> </w:t>
      </w:r>
      <w:r>
        <w:rPr>
          <w:sz w:val="22"/>
        </w:rPr>
        <w:t>adhere</w:t>
      </w:r>
      <w:r>
        <w:rPr>
          <w:spacing w:val="-5"/>
          <w:sz w:val="22"/>
        </w:rPr>
        <w:t> </w:t>
      </w:r>
      <w:r>
        <w:rPr>
          <w:sz w:val="22"/>
        </w:rPr>
        <w:t>to</w:t>
      </w:r>
      <w:r>
        <w:rPr>
          <w:spacing w:val="-6"/>
          <w:sz w:val="22"/>
        </w:rPr>
        <w:t> </w:t>
      </w:r>
      <w:r>
        <w:rPr>
          <w:sz w:val="22"/>
        </w:rPr>
        <w:t>the</w:t>
      </w:r>
      <w:r>
        <w:rPr>
          <w:spacing w:val="-7"/>
          <w:sz w:val="22"/>
        </w:rPr>
        <w:t> </w:t>
      </w:r>
      <w:r>
        <w:rPr>
          <w:sz w:val="22"/>
        </w:rPr>
        <w:t>provisions</w:t>
      </w:r>
      <w:r>
        <w:rPr>
          <w:spacing w:val="-2"/>
          <w:sz w:val="22"/>
        </w:rPr>
        <w:t> </w:t>
      </w:r>
      <w:r>
        <w:rPr>
          <w:sz w:val="22"/>
        </w:rPr>
        <w:t>of</w:t>
      </w:r>
      <w:r>
        <w:rPr>
          <w:spacing w:val="-5"/>
          <w:sz w:val="22"/>
        </w:rPr>
        <w:t> </w:t>
      </w:r>
      <w:r>
        <w:rPr>
          <w:sz w:val="22"/>
        </w:rPr>
        <w:t>the</w:t>
      </w:r>
      <w:r>
        <w:rPr>
          <w:spacing w:val="-5"/>
          <w:sz w:val="22"/>
        </w:rPr>
        <w:t> </w:t>
      </w:r>
      <w:r>
        <w:rPr>
          <w:sz w:val="22"/>
        </w:rPr>
        <w:t>loan</w:t>
      </w:r>
      <w:r>
        <w:rPr>
          <w:spacing w:val="-3"/>
          <w:sz w:val="22"/>
        </w:rPr>
        <w:t> </w:t>
      </w:r>
      <w:r>
        <w:rPr>
          <w:sz w:val="22"/>
        </w:rPr>
        <w:t>agreements;</w:t>
      </w:r>
      <w:r>
        <w:rPr>
          <w:spacing w:val="-3"/>
          <w:sz w:val="22"/>
        </w:rPr>
        <w:t> </w:t>
      </w:r>
      <w:r>
        <w:rPr>
          <w:spacing w:val="-5"/>
          <w:sz w:val="22"/>
        </w:rPr>
        <w:t>or</w:t>
      </w:r>
    </w:p>
    <w:p>
      <w:pPr>
        <w:pStyle w:val="ListParagraph"/>
        <w:numPr>
          <w:ilvl w:val="0"/>
          <w:numId w:val="7"/>
        </w:numPr>
        <w:tabs>
          <w:tab w:pos="840" w:val="left" w:leader="none"/>
          <w:tab w:pos="841" w:val="left" w:leader="none"/>
        </w:tabs>
        <w:spacing w:line="237" w:lineRule="auto" w:before="1" w:after="0"/>
        <w:ind w:left="840" w:right="159" w:hanging="361"/>
        <w:jc w:val="left"/>
        <w:rPr>
          <w:sz w:val="22"/>
        </w:rPr>
      </w:pPr>
      <w:r>
        <w:rPr>
          <w:sz w:val="22"/>
        </w:rPr>
        <w:t>If standard</w:t>
      </w:r>
      <w:r>
        <w:rPr>
          <w:spacing w:val="-2"/>
          <w:sz w:val="22"/>
        </w:rPr>
        <w:t> </w:t>
      </w:r>
      <w:r>
        <w:rPr>
          <w:sz w:val="22"/>
        </w:rPr>
        <w:t>property insurance, satisfactory</w:t>
      </w:r>
      <w:r>
        <w:rPr>
          <w:spacing w:val="-1"/>
          <w:sz w:val="22"/>
        </w:rPr>
        <w:t> </w:t>
      </w:r>
      <w:r>
        <w:rPr>
          <w:sz w:val="22"/>
        </w:rPr>
        <w:t>to</w:t>
      </w:r>
      <w:r>
        <w:rPr>
          <w:spacing w:val="-2"/>
          <w:sz w:val="22"/>
        </w:rPr>
        <w:t> </w:t>
      </w:r>
      <w:r>
        <w:rPr>
          <w:sz w:val="22"/>
        </w:rPr>
        <w:t>the</w:t>
      </w:r>
      <w:r>
        <w:rPr>
          <w:spacing w:val="-2"/>
          <w:sz w:val="22"/>
        </w:rPr>
        <w:t> </w:t>
      </w:r>
      <w:r>
        <w:rPr>
          <w:sz w:val="22"/>
        </w:rPr>
        <w:t>City, is not maintained on the property; </w:t>
      </w:r>
      <w:r>
        <w:rPr>
          <w:spacing w:val="-6"/>
          <w:sz w:val="22"/>
        </w:rPr>
        <w:t>or</w:t>
      </w:r>
    </w:p>
    <w:p>
      <w:pPr>
        <w:spacing w:after="0" w:line="237" w:lineRule="auto"/>
        <w:jc w:val="left"/>
        <w:rPr>
          <w:sz w:val="22"/>
        </w:rPr>
        <w:sectPr>
          <w:pgSz w:w="12240" w:h="15840"/>
          <w:pgMar w:header="0" w:footer="1738" w:top="1360" w:bottom="1920" w:left="1320" w:right="1280"/>
        </w:sectPr>
      </w:pPr>
    </w:p>
    <w:p>
      <w:pPr>
        <w:pStyle w:val="ListParagraph"/>
        <w:numPr>
          <w:ilvl w:val="0"/>
          <w:numId w:val="7"/>
        </w:numPr>
        <w:tabs>
          <w:tab w:pos="840" w:val="left" w:leader="none"/>
          <w:tab w:pos="841" w:val="left" w:leader="none"/>
        </w:tabs>
        <w:spacing w:line="237" w:lineRule="auto" w:before="84" w:after="0"/>
        <w:ind w:left="839" w:right="158" w:hanging="360"/>
        <w:jc w:val="left"/>
        <w:rPr>
          <w:sz w:val="22"/>
        </w:rPr>
      </w:pPr>
      <w:r>
        <w:rPr>
          <w:sz w:val="22"/>
        </w:rPr>
        <w:t>Failure to adhere to the provisions under the City’s contract, deed restrictions, deed of</w:t>
      </w:r>
      <w:r>
        <w:rPr>
          <w:spacing w:val="40"/>
          <w:sz w:val="22"/>
        </w:rPr>
        <w:t> </w:t>
      </w:r>
      <w:r>
        <w:rPr>
          <w:sz w:val="22"/>
        </w:rPr>
        <w:t>trust and/or the note.</w:t>
      </w:r>
    </w:p>
    <w:p>
      <w:pPr>
        <w:pStyle w:val="BodyText"/>
        <w:rPr>
          <w:sz w:val="21"/>
        </w:rPr>
      </w:pPr>
    </w:p>
    <w:p>
      <w:pPr>
        <w:pStyle w:val="BodyText"/>
        <w:ind w:left="160"/>
        <w:jc w:val="both"/>
      </w:pPr>
      <w:r>
        <w:rPr/>
        <w:t>Rental</w:t>
      </w:r>
      <w:r>
        <w:rPr>
          <w:spacing w:val="-9"/>
        </w:rPr>
        <w:t> </w:t>
      </w:r>
      <w:r>
        <w:rPr/>
        <w:t>Rehabilitation</w:t>
      </w:r>
      <w:r>
        <w:rPr>
          <w:spacing w:val="-6"/>
        </w:rPr>
        <w:t> </w:t>
      </w:r>
      <w:r>
        <w:rPr/>
        <w:t>loans</w:t>
      </w:r>
      <w:r>
        <w:rPr>
          <w:spacing w:val="-5"/>
        </w:rPr>
        <w:t> </w:t>
      </w:r>
      <w:r>
        <w:rPr/>
        <w:t>are</w:t>
      </w:r>
      <w:r>
        <w:rPr>
          <w:spacing w:val="-8"/>
        </w:rPr>
        <w:t> </w:t>
      </w:r>
      <w:r>
        <w:rPr/>
        <w:t>not</w:t>
      </w:r>
      <w:r>
        <w:rPr>
          <w:spacing w:val="-7"/>
        </w:rPr>
        <w:t> </w:t>
      </w:r>
      <w:r>
        <w:rPr/>
        <w:t>assumable</w:t>
      </w:r>
      <w:r>
        <w:rPr>
          <w:spacing w:val="-8"/>
        </w:rPr>
        <w:t> </w:t>
      </w:r>
      <w:r>
        <w:rPr/>
        <w:t>except</w:t>
      </w:r>
      <w:r>
        <w:rPr>
          <w:spacing w:val="-7"/>
        </w:rPr>
        <w:t> </w:t>
      </w:r>
      <w:r>
        <w:rPr/>
        <w:t>under</w:t>
      </w:r>
      <w:r>
        <w:rPr>
          <w:spacing w:val="-9"/>
        </w:rPr>
        <w:t> </w:t>
      </w:r>
      <w:r>
        <w:rPr/>
        <w:t>the</w:t>
      </w:r>
      <w:r>
        <w:rPr>
          <w:spacing w:val="-8"/>
        </w:rPr>
        <w:t> </w:t>
      </w:r>
      <w:r>
        <w:rPr/>
        <w:t>following</w:t>
      </w:r>
      <w:r>
        <w:rPr>
          <w:spacing w:val="-6"/>
        </w:rPr>
        <w:t> </w:t>
      </w:r>
      <w:r>
        <w:rPr/>
        <w:t>limited</w:t>
      </w:r>
      <w:r>
        <w:rPr>
          <w:spacing w:val="-6"/>
        </w:rPr>
        <w:t> </w:t>
      </w:r>
      <w:r>
        <w:rPr>
          <w:spacing w:val="-2"/>
        </w:rPr>
        <w:t>circumstances:</w:t>
      </w:r>
    </w:p>
    <w:p>
      <w:pPr>
        <w:pStyle w:val="BodyText"/>
        <w:rPr>
          <w:sz w:val="24"/>
        </w:rPr>
      </w:pPr>
    </w:p>
    <w:p>
      <w:pPr>
        <w:pStyle w:val="BodyText"/>
        <w:spacing w:before="4"/>
        <w:rPr>
          <w:sz w:val="20"/>
        </w:rPr>
      </w:pPr>
    </w:p>
    <w:p>
      <w:pPr>
        <w:pStyle w:val="ListParagraph"/>
        <w:numPr>
          <w:ilvl w:val="0"/>
          <w:numId w:val="7"/>
        </w:numPr>
        <w:tabs>
          <w:tab w:pos="839" w:val="left" w:leader="none"/>
          <w:tab w:pos="840" w:val="left" w:leader="none"/>
        </w:tabs>
        <w:spacing w:line="268" w:lineRule="exact" w:before="0" w:after="0"/>
        <w:ind w:left="839" w:right="0" w:hanging="361"/>
        <w:jc w:val="left"/>
        <w:rPr>
          <w:sz w:val="22"/>
        </w:rPr>
      </w:pPr>
      <w:r>
        <w:rPr>
          <w:sz w:val="22"/>
        </w:rPr>
        <w:t>Transfer</w:t>
      </w:r>
      <w:r>
        <w:rPr>
          <w:spacing w:val="-2"/>
          <w:sz w:val="22"/>
        </w:rPr>
        <w:t> </w:t>
      </w:r>
      <w:r>
        <w:rPr>
          <w:sz w:val="22"/>
        </w:rPr>
        <w:t>of</w:t>
      </w:r>
      <w:r>
        <w:rPr>
          <w:spacing w:val="-2"/>
          <w:sz w:val="22"/>
        </w:rPr>
        <w:t> </w:t>
      </w:r>
      <w:r>
        <w:rPr>
          <w:sz w:val="22"/>
        </w:rPr>
        <w:t>property</w:t>
      </w:r>
      <w:r>
        <w:rPr>
          <w:spacing w:val="-5"/>
          <w:sz w:val="22"/>
        </w:rPr>
        <w:t> </w:t>
      </w:r>
      <w:r>
        <w:rPr>
          <w:sz w:val="22"/>
        </w:rPr>
        <w:t>to</w:t>
      </w:r>
      <w:r>
        <w:rPr>
          <w:spacing w:val="-6"/>
          <w:sz w:val="22"/>
        </w:rPr>
        <w:t> </w:t>
      </w:r>
      <w:r>
        <w:rPr>
          <w:sz w:val="22"/>
        </w:rPr>
        <w:t>a</w:t>
      </w:r>
      <w:r>
        <w:rPr>
          <w:spacing w:val="-5"/>
          <w:sz w:val="22"/>
        </w:rPr>
        <w:t> </w:t>
      </w:r>
      <w:r>
        <w:rPr>
          <w:sz w:val="22"/>
        </w:rPr>
        <w:t>surviving</w:t>
      </w:r>
      <w:r>
        <w:rPr>
          <w:spacing w:val="-3"/>
          <w:sz w:val="22"/>
        </w:rPr>
        <w:t> </w:t>
      </w:r>
      <w:r>
        <w:rPr>
          <w:spacing w:val="-2"/>
          <w:sz w:val="22"/>
        </w:rPr>
        <w:t>spouse;</w:t>
      </w:r>
    </w:p>
    <w:p>
      <w:pPr>
        <w:pStyle w:val="ListParagraph"/>
        <w:numPr>
          <w:ilvl w:val="0"/>
          <w:numId w:val="7"/>
        </w:numPr>
        <w:tabs>
          <w:tab w:pos="840" w:val="left" w:leader="none"/>
          <w:tab w:pos="841" w:val="left" w:leader="none"/>
        </w:tabs>
        <w:spacing w:line="268" w:lineRule="exact" w:before="0" w:after="0"/>
        <w:ind w:left="840" w:right="0" w:hanging="361"/>
        <w:jc w:val="left"/>
        <w:rPr>
          <w:sz w:val="22"/>
        </w:rPr>
      </w:pPr>
      <w:r>
        <w:rPr/>
        <w:pict>
          <v:shape style="position:absolute;margin-left:90.065002pt;margin-top:7.522341pt;width:395.3pt;height:419pt;mso-position-horizontal-relative:page;mso-position-vertical-relative:paragraph;z-index:-17730048" id="docshape34" coordorigin="1801,150" coordsize="7906,8380" path="m4498,7414l4492,7341,4477,7263,4455,7180,4432,7111,4403,7039,4367,6964,4325,6886,4276,6805,4237,6746,4200,6695,4200,7381,4197,7437,4186,7494,4167,7552,4138,7611,4097,7674,4044,7740,3979,7809,3674,8115,2216,6657,2517,6356,2598,6280,2672,6220,2740,6177,2801,6150,2868,6136,2941,6132,3020,6138,3105,6156,3195,6185,3255,6211,3317,6243,3380,6282,3446,6327,3514,6379,3584,6437,3656,6502,3729,6573,3789,6634,3845,6694,3896,6754,3943,6811,3986,6868,4025,6923,4059,6977,4101,7052,4136,7124,4163,7194,4183,7260,4196,7325,4200,7381,4200,6695,4194,6686,4148,6626,4098,6566,4045,6505,3989,6443,3929,6382,3865,6319,3801,6261,3737,6206,3673,6154,3643,6132,3609,6106,3546,6062,3482,6021,3419,5983,3346,5945,3274,5913,3203,5886,3132,5864,3062,5847,2992,5835,2923,5827,2850,5826,2779,5833,2709,5847,2642,5870,2577,5901,2528,5929,2476,5966,2420,6012,2359,6066,2294,6128,1801,6621,3710,8530,4124,8115,4226,8013,4287,7948,4341,7883,4386,7817,4424,7750,4454,7684,4476,7617,4491,7550,4498,7483,4498,7414xm6418,5821l6056,5693,5650,5551,5561,5521,5475,5497,5393,5478,5365,5473,5314,5464,5239,5454,5193,5452,5143,5455,5089,5462,5030,5473,5073,5403,5109,5334,5136,5265,5154,5196,5164,5127,5165,5059,5157,4991,5139,4913,5111,4837,5075,4763,5030,4690,4976,4619,4956,4596,4913,4550,4872,4512,4872,5070,4868,5125,4854,5180,4830,5237,4794,5295,4747,5356,4687,5420,4280,5827,3649,5196,4102,4743,4166,4686,4229,4642,4293,4613,4358,4598,4422,4596,4501,4612,4577,4641,4649,4686,4718,4746,4761,4793,4797,4844,4827,4898,4851,4954,4867,5013,4872,5070,4872,4512,4849,4491,4782,4438,4713,4393,4641,4354,4566,4322,4474,4294,4386,4281,4303,4283,4225,4299,4163,4324,4098,4361,4030,4409,3958,4469,3883,4540,3248,5174,5157,7082,5346,6893,4499,6046,4718,5827,4753,5792,4783,5765,4810,5744,4833,5730,4863,5716,4896,5705,4932,5698,4971,5693,5014,5693,5066,5699,5125,5709,5194,5725,5256,5743,5328,5764,5407,5789,5496,5818,6180,6059,6418,5821xm7780,4459l7415,4264,6555,3810,6555,4117,6070,4602,6030,4530,5989,4459,5748,4028,5708,3956,5668,3885,5629,3819,5590,3755,5550,3691,5509,3628,5467,3565,5424,3504,5380,3443,5436,3479,5498,3517,5564,3557,5635,3599,5792,3689,6555,4117,6555,3810,5862,3443,5286,3136,5082,3340,5277,3691,5316,3761,5701,4459,6207,5378,6441,5798,6642,5597,6565,5464,6298,4996,6221,4862,6481,4602,6820,4264,7173,4459,7565,4675,7780,4459xm8131,4108l7264,3241,7936,2570,7711,2344,7039,3016,6448,2425,7224,1649,6999,1424,6033,2389,7941,4298,8131,4108xm9707,2532l8024,849,8497,376,8272,150,7138,1285,7363,1510,7834,1039,9517,2722,9707,2532xe" filled="true" fillcolor="#c0c0c0" stroked="false">
            <v:path arrowok="t"/>
            <v:fill opacity="32896f" type="solid"/>
            <w10:wrap type="none"/>
          </v:shape>
        </w:pict>
      </w:r>
      <w:r>
        <w:rPr>
          <w:sz w:val="22"/>
        </w:rPr>
        <w:t>Transfer</w:t>
      </w:r>
      <w:r>
        <w:rPr>
          <w:spacing w:val="-2"/>
          <w:sz w:val="22"/>
        </w:rPr>
        <w:t> </w:t>
      </w:r>
      <w:r>
        <w:rPr>
          <w:sz w:val="22"/>
        </w:rPr>
        <w:t>of</w:t>
      </w:r>
      <w:r>
        <w:rPr>
          <w:spacing w:val="-2"/>
          <w:sz w:val="22"/>
        </w:rPr>
        <w:t> </w:t>
      </w:r>
      <w:r>
        <w:rPr>
          <w:sz w:val="22"/>
        </w:rPr>
        <w:t>property</w:t>
      </w:r>
      <w:r>
        <w:rPr>
          <w:spacing w:val="-5"/>
          <w:sz w:val="22"/>
        </w:rPr>
        <w:t> </w:t>
      </w:r>
      <w:r>
        <w:rPr>
          <w:sz w:val="22"/>
        </w:rPr>
        <w:t>to</w:t>
      </w:r>
      <w:r>
        <w:rPr>
          <w:spacing w:val="-6"/>
          <w:sz w:val="22"/>
        </w:rPr>
        <w:t> </w:t>
      </w:r>
      <w:r>
        <w:rPr>
          <w:sz w:val="22"/>
        </w:rPr>
        <w:t>an</w:t>
      </w:r>
      <w:r>
        <w:rPr>
          <w:spacing w:val="-3"/>
          <w:sz w:val="22"/>
        </w:rPr>
        <w:t> </w:t>
      </w:r>
      <w:r>
        <w:rPr>
          <w:spacing w:val="-2"/>
          <w:sz w:val="22"/>
        </w:rPr>
        <w:t>heir(s);</w:t>
      </w:r>
    </w:p>
    <w:p>
      <w:pPr>
        <w:pStyle w:val="ListParagraph"/>
        <w:numPr>
          <w:ilvl w:val="0"/>
          <w:numId w:val="7"/>
        </w:numPr>
        <w:tabs>
          <w:tab w:pos="840" w:val="left" w:leader="none"/>
          <w:tab w:pos="841" w:val="left" w:leader="none"/>
        </w:tabs>
        <w:spacing w:line="269" w:lineRule="exact" w:before="0" w:after="0"/>
        <w:ind w:left="840" w:right="0" w:hanging="361"/>
        <w:jc w:val="left"/>
        <w:rPr>
          <w:sz w:val="22"/>
        </w:rPr>
      </w:pPr>
      <w:r>
        <w:rPr>
          <w:sz w:val="22"/>
        </w:rPr>
        <w:t>Transfer</w:t>
      </w:r>
      <w:r>
        <w:rPr>
          <w:spacing w:val="-4"/>
          <w:sz w:val="22"/>
        </w:rPr>
        <w:t> </w:t>
      </w:r>
      <w:r>
        <w:rPr>
          <w:sz w:val="22"/>
        </w:rPr>
        <w:t>of</w:t>
      </w:r>
      <w:r>
        <w:rPr>
          <w:spacing w:val="-2"/>
          <w:sz w:val="22"/>
        </w:rPr>
        <w:t> </w:t>
      </w:r>
      <w:r>
        <w:rPr>
          <w:sz w:val="22"/>
        </w:rPr>
        <w:t>property</w:t>
      </w:r>
      <w:r>
        <w:rPr>
          <w:spacing w:val="-6"/>
          <w:sz w:val="22"/>
        </w:rPr>
        <w:t> </w:t>
      </w:r>
      <w:r>
        <w:rPr>
          <w:sz w:val="22"/>
        </w:rPr>
        <w:t>where</w:t>
      </w:r>
      <w:r>
        <w:rPr>
          <w:spacing w:val="-3"/>
          <w:sz w:val="22"/>
        </w:rPr>
        <w:t> </w:t>
      </w:r>
      <w:r>
        <w:rPr>
          <w:sz w:val="22"/>
        </w:rPr>
        <w:t>a</w:t>
      </w:r>
      <w:r>
        <w:rPr>
          <w:spacing w:val="-6"/>
          <w:sz w:val="22"/>
        </w:rPr>
        <w:t> </w:t>
      </w:r>
      <w:r>
        <w:rPr>
          <w:sz w:val="22"/>
        </w:rPr>
        <w:t>spouse</w:t>
      </w:r>
      <w:r>
        <w:rPr>
          <w:spacing w:val="-4"/>
          <w:sz w:val="22"/>
        </w:rPr>
        <w:t> </w:t>
      </w:r>
      <w:r>
        <w:rPr>
          <w:sz w:val="22"/>
        </w:rPr>
        <w:t>becomes</w:t>
      </w:r>
      <w:r>
        <w:rPr>
          <w:spacing w:val="-5"/>
          <w:sz w:val="22"/>
        </w:rPr>
        <w:t> </w:t>
      </w:r>
      <w:r>
        <w:rPr>
          <w:sz w:val="22"/>
        </w:rPr>
        <w:t>the</w:t>
      </w:r>
      <w:r>
        <w:rPr>
          <w:spacing w:val="-4"/>
          <w:sz w:val="22"/>
        </w:rPr>
        <w:t> </w:t>
      </w:r>
      <w:r>
        <w:rPr>
          <w:sz w:val="22"/>
        </w:rPr>
        <w:t>sole</w:t>
      </w:r>
      <w:r>
        <w:rPr>
          <w:spacing w:val="-4"/>
          <w:sz w:val="22"/>
        </w:rPr>
        <w:t> </w:t>
      </w:r>
      <w:r>
        <w:rPr>
          <w:sz w:val="22"/>
        </w:rPr>
        <w:t>owner</w:t>
      </w:r>
      <w:r>
        <w:rPr>
          <w:spacing w:val="-4"/>
          <w:sz w:val="22"/>
        </w:rPr>
        <w:t> </w:t>
      </w:r>
      <w:r>
        <w:rPr>
          <w:sz w:val="22"/>
        </w:rPr>
        <w:t>of</w:t>
      </w:r>
      <w:r>
        <w:rPr>
          <w:spacing w:val="-5"/>
          <w:sz w:val="22"/>
        </w:rPr>
        <w:t> </w:t>
      </w:r>
      <w:r>
        <w:rPr>
          <w:sz w:val="22"/>
        </w:rPr>
        <w:t>the</w:t>
      </w:r>
      <w:r>
        <w:rPr>
          <w:spacing w:val="-5"/>
          <w:sz w:val="22"/>
        </w:rPr>
        <w:t> </w:t>
      </w:r>
      <w:r>
        <w:rPr>
          <w:spacing w:val="-2"/>
          <w:sz w:val="22"/>
        </w:rPr>
        <w:t>property;</w:t>
      </w:r>
    </w:p>
    <w:p>
      <w:pPr>
        <w:pStyle w:val="ListParagraph"/>
        <w:numPr>
          <w:ilvl w:val="0"/>
          <w:numId w:val="7"/>
        </w:numPr>
        <w:tabs>
          <w:tab w:pos="840" w:val="left" w:leader="none"/>
          <w:tab w:pos="841" w:val="left" w:leader="none"/>
        </w:tabs>
        <w:spacing w:line="237" w:lineRule="auto" w:before="2" w:after="0"/>
        <w:ind w:left="840" w:right="158" w:hanging="361"/>
        <w:jc w:val="left"/>
        <w:rPr>
          <w:sz w:val="22"/>
        </w:rPr>
      </w:pPr>
      <w:r>
        <w:rPr>
          <w:sz w:val="22"/>
        </w:rPr>
        <w:t>Transfer</w:t>
      </w:r>
      <w:r>
        <w:rPr>
          <w:spacing w:val="-7"/>
          <w:sz w:val="22"/>
        </w:rPr>
        <w:t> </w:t>
      </w:r>
      <w:r>
        <w:rPr>
          <w:sz w:val="22"/>
        </w:rPr>
        <w:t>of</w:t>
      </w:r>
      <w:r>
        <w:rPr>
          <w:spacing w:val="-7"/>
          <w:sz w:val="22"/>
        </w:rPr>
        <w:t> </w:t>
      </w:r>
      <w:r>
        <w:rPr>
          <w:sz w:val="22"/>
        </w:rPr>
        <w:t>property</w:t>
      </w:r>
      <w:r>
        <w:rPr>
          <w:spacing w:val="-10"/>
          <w:sz w:val="22"/>
        </w:rPr>
        <w:t> </w:t>
      </w:r>
      <w:r>
        <w:rPr>
          <w:sz w:val="22"/>
        </w:rPr>
        <w:t>resulting</w:t>
      </w:r>
      <w:r>
        <w:rPr>
          <w:spacing w:val="-8"/>
          <w:sz w:val="22"/>
        </w:rPr>
        <w:t> </w:t>
      </w:r>
      <w:r>
        <w:rPr>
          <w:sz w:val="22"/>
        </w:rPr>
        <w:t>from</w:t>
      </w:r>
      <w:r>
        <w:rPr>
          <w:spacing w:val="-7"/>
          <w:sz w:val="22"/>
        </w:rPr>
        <w:t> </w:t>
      </w:r>
      <w:r>
        <w:rPr>
          <w:sz w:val="22"/>
        </w:rPr>
        <w:t>a</w:t>
      </w:r>
      <w:r>
        <w:rPr>
          <w:spacing w:val="-8"/>
          <w:sz w:val="22"/>
        </w:rPr>
        <w:t> </w:t>
      </w:r>
      <w:r>
        <w:rPr>
          <w:sz w:val="22"/>
        </w:rPr>
        <w:t>decree</w:t>
      </w:r>
      <w:r>
        <w:rPr>
          <w:spacing w:val="-8"/>
          <w:sz w:val="22"/>
        </w:rPr>
        <w:t> </w:t>
      </w:r>
      <w:r>
        <w:rPr>
          <w:sz w:val="22"/>
        </w:rPr>
        <w:t>of</w:t>
      </w:r>
      <w:r>
        <w:rPr>
          <w:spacing w:val="-7"/>
          <w:sz w:val="22"/>
        </w:rPr>
        <w:t> </w:t>
      </w:r>
      <w:r>
        <w:rPr>
          <w:sz w:val="22"/>
        </w:rPr>
        <w:t>dissolution</w:t>
      </w:r>
      <w:r>
        <w:rPr>
          <w:spacing w:val="-8"/>
          <w:sz w:val="22"/>
        </w:rPr>
        <w:t> </w:t>
      </w:r>
      <w:r>
        <w:rPr>
          <w:sz w:val="22"/>
        </w:rPr>
        <w:t>of</w:t>
      </w:r>
      <w:r>
        <w:rPr>
          <w:spacing w:val="-9"/>
          <w:sz w:val="22"/>
        </w:rPr>
        <w:t> </w:t>
      </w:r>
      <w:r>
        <w:rPr>
          <w:sz w:val="22"/>
        </w:rPr>
        <w:t>marriage,</w:t>
      </w:r>
      <w:r>
        <w:rPr>
          <w:spacing w:val="-7"/>
          <w:sz w:val="22"/>
        </w:rPr>
        <w:t> </w:t>
      </w:r>
      <w:r>
        <w:rPr>
          <w:sz w:val="22"/>
        </w:rPr>
        <w:t>legal</w:t>
      </w:r>
      <w:r>
        <w:rPr>
          <w:spacing w:val="-9"/>
          <w:sz w:val="22"/>
        </w:rPr>
        <w:t> </w:t>
      </w:r>
      <w:r>
        <w:rPr>
          <w:sz w:val="22"/>
        </w:rPr>
        <w:t>separation</w:t>
      </w:r>
      <w:r>
        <w:rPr>
          <w:spacing w:val="-8"/>
          <w:sz w:val="22"/>
        </w:rPr>
        <w:t> </w:t>
      </w:r>
      <w:r>
        <w:rPr>
          <w:sz w:val="22"/>
        </w:rPr>
        <w:t>or from incidental property settlement agreement;</w:t>
      </w:r>
    </w:p>
    <w:p>
      <w:pPr>
        <w:pStyle w:val="ListParagraph"/>
        <w:numPr>
          <w:ilvl w:val="0"/>
          <w:numId w:val="7"/>
        </w:numPr>
        <w:tabs>
          <w:tab w:pos="840" w:val="left" w:leader="none"/>
          <w:tab w:pos="841" w:val="left" w:leader="none"/>
        </w:tabs>
        <w:spacing w:line="237" w:lineRule="auto" w:before="3" w:after="0"/>
        <w:ind w:left="840" w:right="155" w:hanging="361"/>
        <w:jc w:val="left"/>
        <w:rPr>
          <w:sz w:val="22"/>
        </w:rPr>
      </w:pPr>
      <w:r>
        <w:rPr>
          <w:sz w:val="22"/>
        </w:rPr>
        <w:t>Transfer</w:t>
      </w:r>
      <w:r>
        <w:rPr>
          <w:spacing w:val="-3"/>
          <w:sz w:val="22"/>
        </w:rPr>
        <w:t> </w:t>
      </w:r>
      <w:r>
        <w:rPr>
          <w:sz w:val="22"/>
        </w:rPr>
        <w:t>to</w:t>
      </w:r>
      <w:r>
        <w:rPr>
          <w:spacing w:val="-2"/>
          <w:sz w:val="22"/>
        </w:rPr>
        <w:t> </w:t>
      </w:r>
      <w:r>
        <w:rPr>
          <w:sz w:val="22"/>
        </w:rPr>
        <w:t>a</w:t>
      </w:r>
      <w:r>
        <w:rPr>
          <w:spacing w:val="-2"/>
          <w:sz w:val="22"/>
        </w:rPr>
        <w:t> </w:t>
      </w:r>
      <w:r>
        <w:rPr>
          <w:sz w:val="22"/>
        </w:rPr>
        <w:t>Family</w:t>
      </w:r>
      <w:r>
        <w:rPr>
          <w:spacing w:val="-1"/>
          <w:sz w:val="22"/>
        </w:rPr>
        <w:t> </w:t>
      </w:r>
      <w:r>
        <w:rPr>
          <w:sz w:val="22"/>
        </w:rPr>
        <w:t>Trust in</w:t>
      </w:r>
      <w:r>
        <w:rPr>
          <w:spacing w:val="-2"/>
          <w:sz w:val="22"/>
        </w:rPr>
        <w:t> </w:t>
      </w:r>
      <w:r>
        <w:rPr>
          <w:sz w:val="22"/>
        </w:rPr>
        <w:t>which</w:t>
      </w:r>
      <w:r>
        <w:rPr>
          <w:spacing w:val="-2"/>
          <w:sz w:val="22"/>
        </w:rPr>
        <w:t> </w:t>
      </w:r>
      <w:r>
        <w:rPr>
          <w:sz w:val="22"/>
        </w:rPr>
        <w:t>the</w:t>
      </w:r>
      <w:r>
        <w:rPr>
          <w:spacing w:val="-4"/>
          <w:sz w:val="22"/>
        </w:rPr>
        <w:t> </w:t>
      </w:r>
      <w:r>
        <w:rPr>
          <w:sz w:val="22"/>
        </w:rPr>
        <w:t>borrower</w:t>
      </w:r>
      <w:r>
        <w:rPr>
          <w:spacing w:val="-3"/>
          <w:sz w:val="22"/>
        </w:rPr>
        <w:t> </w:t>
      </w:r>
      <w:r>
        <w:rPr>
          <w:sz w:val="22"/>
        </w:rPr>
        <w:t>remains</w:t>
      </w:r>
      <w:r>
        <w:rPr>
          <w:spacing w:val="-4"/>
          <w:sz w:val="22"/>
        </w:rPr>
        <w:t> </w:t>
      </w:r>
      <w:r>
        <w:rPr>
          <w:sz w:val="22"/>
        </w:rPr>
        <w:t>the</w:t>
      </w:r>
      <w:r>
        <w:rPr>
          <w:spacing w:val="-2"/>
          <w:sz w:val="22"/>
        </w:rPr>
        <w:t> </w:t>
      </w:r>
      <w:r>
        <w:rPr>
          <w:sz w:val="22"/>
        </w:rPr>
        <w:t>beneficiary</w:t>
      </w:r>
      <w:r>
        <w:rPr>
          <w:spacing w:val="-4"/>
          <w:sz w:val="22"/>
        </w:rPr>
        <w:t> </w:t>
      </w:r>
      <w:r>
        <w:rPr>
          <w:sz w:val="22"/>
        </w:rPr>
        <w:t>and</w:t>
      </w:r>
      <w:r>
        <w:rPr>
          <w:spacing w:val="-2"/>
          <w:sz w:val="22"/>
        </w:rPr>
        <w:t> </w:t>
      </w:r>
      <w:r>
        <w:rPr>
          <w:sz w:val="22"/>
        </w:rPr>
        <w:t>occupant</w:t>
      </w:r>
      <w:r>
        <w:rPr>
          <w:spacing w:val="-3"/>
          <w:sz w:val="22"/>
        </w:rPr>
        <w:t> </w:t>
      </w:r>
      <w:r>
        <w:rPr>
          <w:sz w:val="22"/>
        </w:rPr>
        <w:t>of </w:t>
      </w:r>
      <w:r>
        <w:rPr>
          <w:spacing w:val="-2"/>
          <w:sz w:val="22"/>
        </w:rPr>
        <w:t>property.</w:t>
      </w:r>
    </w:p>
    <w:p>
      <w:pPr>
        <w:pStyle w:val="BodyText"/>
        <w:spacing w:before="9"/>
        <w:rPr>
          <w:sz w:val="21"/>
        </w:rPr>
      </w:pPr>
    </w:p>
    <w:p>
      <w:pPr>
        <w:pStyle w:val="BodyText"/>
        <w:spacing w:before="1"/>
        <w:ind w:left="120"/>
        <w:jc w:val="both"/>
      </w:pPr>
      <w:r>
        <w:rPr/>
        <w:t>All</w:t>
      </w:r>
      <w:r>
        <w:rPr>
          <w:spacing w:val="-4"/>
        </w:rPr>
        <w:t> </w:t>
      </w:r>
      <w:r>
        <w:rPr/>
        <w:t>transfers</w:t>
      </w:r>
      <w:r>
        <w:rPr>
          <w:spacing w:val="-4"/>
        </w:rPr>
        <w:t> </w:t>
      </w:r>
      <w:r>
        <w:rPr/>
        <w:t>must</w:t>
      </w:r>
      <w:r>
        <w:rPr>
          <w:spacing w:val="-2"/>
        </w:rPr>
        <w:t> </w:t>
      </w:r>
      <w:r>
        <w:rPr/>
        <w:t>be</w:t>
      </w:r>
      <w:r>
        <w:rPr>
          <w:spacing w:val="-5"/>
        </w:rPr>
        <w:t> </w:t>
      </w:r>
      <w:r>
        <w:rPr/>
        <w:t>approved</w:t>
      </w:r>
      <w:r>
        <w:rPr>
          <w:spacing w:val="-3"/>
        </w:rPr>
        <w:t> </w:t>
      </w:r>
      <w:r>
        <w:rPr/>
        <w:t>by</w:t>
      </w:r>
      <w:r>
        <w:rPr>
          <w:spacing w:val="-5"/>
        </w:rPr>
        <w:t> </w:t>
      </w:r>
      <w:r>
        <w:rPr/>
        <w:t>the</w:t>
      </w:r>
      <w:r>
        <w:rPr>
          <w:spacing w:val="-4"/>
        </w:rPr>
        <w:t> City.</w:t>
      </w:r>
    </w:p>
    <w:p>
      <w:pPr>
        <w:pStyle w:val="BodyText"/>
      </w:pPr>
    </w:p>
    <w:p>
      <w:pPr>
        <w:pStyle w:val="BodyText"/>
        <w:ind w:left="120" w:right="155"/>
        <w:jc w:val="both"/>
      </w:pPr>
      <w:r>
        <w:rPr/>
        <w:t>The level of assistance</w:t>
      </w:r>
      <w:r>
        <w:rPr>
          <w:spacing w:val="-2"/>
        </w:rPr>
        <w:t> </w:t>
      </w:r>
      <w:r>
        <w:rPr/>
        <w:t>shall be limited to</w:t>
      </w:r>
      <w:r>
        <w:rPr>
          <w:spacing w:val="-2"/>
        </w:rPr>
        <w:t> </w:t>
      </w:r>
      <w:r>
        <w:rPr/>
        <w:t>the amount required</w:t>
      </w:r>
      <w:r>
        <w:rPr>
          <w:spacing w:val="-2"/>
        </w:rPr>
        <w:t> </w:t>
      </w:r>
      <w:r>
        <w:rPr/>
        <w:t>to address</w:t>
      </w:r>
      <w:r>
        <w:rPr>
          <w:spacing w:val="-1"/>
        </w:rPr>
        <w:t> </w:t>
      </w:r>
      <w:r>
        <w:rPr/>
        <w:t>the</w:t>
      </w:r>
      <w:r>
        <w:rPr>
          <w:spacing w:val="-2"/>
        </w:rPr>
        <w:t> </w:t>
      </w:r>
      <w:r>
        <w:rPr/>
        <w:t>rehabilitation work scope,</w:t>
      </w:r>
      <w:r>
        <w:rPr>
          <w:spacing w:val="-3"/>
        </w:rPr>
        <w:t> </w:t>
      </w:r>
      <w:r>
        <w:rPr/>
        <w:t>as</w:t>
      </w:r>
      <w:r>
        <w:rPr>
          <w:spacing w:val="-4"/>
        </w:rPr>
        <w:t> </w:t>
      </w:r>
      <w:r>
        <w:rPr/>
        <w:t>defined</w:t>
      </w:r>
      <w:r>
        <w:rPr>
          <w:spacing w:val="-4"/>
        </w:rPr>
        <w:t> </w:t>
      </w:r>
      <w:r>
        <w:rPr/>
        <w:t>by</w:t>
      </w:r>
      <w:r>
        <w:rPr>
          <w:spacing w:val="-4"/>
        </w:rPr>
        <w:t> </w:t>
      </w:r>
      <w:r>
        <w:rPr/>
        <w:t>the</w:t>
      </w:r>
      <w:r>
        <w:rPr>
          <w:spacing w:val="-6"/>
        </w:rPr>
        <w:t> </w:t>
      </w:r>
      <w:r>
        <w:rPr/>
        <w:t>City, and</w:t>
      </w:r>
      <w:r>
        <w:rPr>
          <w:spacing w:val="-4"/>
        </w:rPr>
        <w:t> </w:t>
      </w:r>
      <w:r>
        <w:rPr/>
        <w:t>shall</w:t>
      </w:r>
      <w:r>
        <w:rPr>
          <w:spacing w:val="-2"/>
        </w:rPr>
        <w:t> </w:t>
      </w:r>
      <w:r>
        <w:rPr/>
        <w:t>not</w:t>
      </w:r>
      <w:r>
        <w:rPr>
          <w:spacing w:val="-2"/>
        </w:rPr>
        <w:t> </w:t>
      </w:r>
      <w:r>
        <w:rPr/>
        <w:t>exceed</w:t>
      </w:r>
      <w:r>
        <w:rPr>
          <w:spacing w:val="-2"/>
        </w:rPr>
        <w:t> </w:t>
      </w:r>
      <w:r>
        <w:rPr/>
        <w:t>the</w:t>
      </w:r>
      <w:r>
        <w:rPr>
          <w:spacing w:val="-6"/>
        </w:rPr>
        <w:t> </w:t>
      </w:r>
      <w:r>
        <w:rPr/>
        <w:t>maximum</w:t>
      </w:r>
      <w:r>
        <w:rPr>
          <w:spacing w:val="-3"/>
        </w:rPr>
        <w:t> </w:t>
      </w:r>
      <w:r>
        <w:rPr/>
        <w:t>allowable</w:t>
      </w:r>
      <w:r>
        <w:rPr>
          <w:spacing w:val="-2"/>
        </w:rPr>
        <w:t> </w:t>
      </w:r>
      <w:r>
        <w:rPr/>
        <w:t>funding</w:t>
      </w:r>
      <w:r>
        <w:rPr>
          <w:spacing w:val="-4"/>
        </w:rPr>
        <w:t> </w:t>
      </w:r>
      <w:r>
        <w:rPr/>
        <w:t>level</w:t>
      </w:r>
      <w:r>
        <w:rPr>
          <w:spacing w:val="-2"/>
        </w:rPr>
        <w:t> </w:t>
      </w:r>
      <w:r>
        <w:rPr/>
        <w:t>of</w:t>
      </w:r>
      <w:r>
        <w:rPr>
          <w:spacing w:val="-3"/>
        </w:rPr>
        <w:t> </w:t>
      </w:r>
      <w:r>
        <w:rPr/>
        <w:t>27% of HOME Homeownership Value Limits per property. The City Manager or designee may on a case by case basis administratively approve (without City Council approval or City Council Committee approval) additional assistance not to exceed 10% above the maximum limit for the Rental Rehabilitation Program under the following circumstances:</w:t>
      </w:r>
    </w:p>
    <w:p>
      <w:pPr>
        <w:pStyle w:val="ListParagraph"/>
        <w:numPr>
          <w:ilvl w:val="0"/>
          <w:numId w:val="7"/>
        </w:numPr>
        <w:tabs>
          <w:tab w:pos="840" w:val="left" w:leader="none"/>
          <w:tab w:pos="841" w:val="left" w:leader="none"/>
        </w:tabs>
        <w:spacing w:line="269" w:lineRule="exact" w:before="0" w:after="0"/>
        <w:ind w:left="840" w:right="0" w:hanging="361"/>
        <w:jc w:val="left"/>
        <w:rPr>
          <w:sz w:val="22"/>
        </w:rPr>
      </w:pPr>
      <w:r>
        <w:rPr>
          <w:sz w:val="22"/>
        </w:rPr>
        <w:t>To</w:t>
      </w:r>
      <w:r>
        <w:rPr>
          <w:spacing w:val="-6"/>
          <w:sz w:val="22"/>
        </w:rPr>
        <w:t> </w:t>
      </w:r>
      <w:r>
        <w:rPr>
          <w:sz w:val="22"/>
        </w:rPr>
        <w:t>address</w:t>
      </w:r>
      <w:r>
        <w:rPr>
          <w:spacing w:val="-6"/>
          <w:sz w:val="22"/>
        </w:rPr>
        <w:t> </w:t>
      </w:r>
      <w:r>
        <w:rPr>
          <w:sz w:val="22"/>
        </w:rPr>
        <w:t>outstanding</w:t>
      </w:r>
      <w:r>
        <w:rPr>
          <w:spacing w:val="-6"/>
          <w:sz w:val="22"/>
        </w:rPr>
        <w:t> </w:t>
      </w:r>
      <w:r>
        <w:rPr>
          <w:sz w:val="22"/>
        </w:rPr>
        <w:t>repairs</w:t>
      </w:r>
      <w:r>
        <w:rPr>
          <w:spacing w:val="-3"/>
          <w:sz w:val="22"/>
        </w:rPr>
        <w:t> </w:t>
      </w:r>
      <w:r>
        <w:rPr>
          <w:sz w:val="22"/>
        </w:rPr>
        <w:t>or</w:t>
      </w:r>
      <w:r>
        <w:rPr>
          <w:spacing w:val="-5"/>
          <w:sz w:val="22"/>
        </w:rPr>
        <w:t> </w:t>
      </w:r>
      <w:r>
        <w:rPr>
          <w:sz w:val="22"/>
        </w:rPr>
        <w:t>necessary</w:t>
      </w:r>
      <w:r>
        <w:rPr>
          <w:spacing w:val="-6"/>
          <w:sz w:val="22"/>
        </w:rPr>
        <w:t> </w:t>
      </w:r>
      <w:r>
        <w:rPr>
          <w:sz w:val="22"/>
        </w:rPr>
        <w:t>work</w:t>
      </w:r>
      <w:r>
        <w:rPr>
          <w:spacing w:val="-6"/>
          <w:sz w:val="22"/>
        </w:rPr>
        <w:t> </w:t>
      </w:r>
      <w:r>
        <w:rPr>
          <w:sz w:val="22"/>
        </w:rPr>
        <w:t>to</w:t>
      </w:r>
      <w:r>
        <w:rPr>
          <w:spacing w:val="-5"/>
          <w:sz w:val="22"/>
        </w:rPr>
        <w:t> </w:t>
      </w:r>
      <w:r>
        <w:rPr>
          <w:sz w:val="22"/>
        </w:rPr>
        <w:t>close</w:t>
      </w:r>
      <w:r>
        <w:rPr>
          <w:spacing w:val="-4"/>
          <w:sz w:val="22"/>
        </w:rPr>
        <w:t> </w:t>
      </w:r>
      <w:r>
        <w:rPr>
          <w:sz w:val="22"/>
        </w:rPr>
        <w:t>out</w:t>
      </w:r>
      <w:r>
        <w:rPr>
          <w:spacing w:val="-2"/>
          <w:sz w:val="22"/>
        </w:rPr>
        <w:t> </w:t>
      </w:r>
      <w:r>
        <w:rPr>
          <w:sz w:val="22"/>
        </w:rPr>
        <w:t>an</w:t>
      </w:r>
      <w:r>
        <w:rPr>
          <w:spacing w:val="-6"/>
          <w:sz w:val="22"/>
        </w:rPr>
        <w:t> </w:t>
      </w:r>
      <w:r>
        <w:rPr>
          <w:sz w:val="22"/>
        </w:rPr>
        <w:t>existing</w:t>
      </w:r>
      <w:r>
        <w:rPr>
          <w:spacing w:val="-6"/>
          <w:sz w:val="22"/>
        </w:rPr>
        <w:t> </w:t>
      </w:r>
      <w:r>
        <w:rPr>
          <w:spacing w:val="-2"/>
          <w:sz w:val="22"/>
        </w:rPr>
        <w:t>project.</w:t>
      </w:r>
    </w:p>
    <w:p>
      <w:pPr>
        <w:pStyle w:val="ListParagraph"/>
        <w:numPr>
          <w:ilvl w:val="0"/>
          <w:numId w:val="7"/>
        </w:numPr>
        <w:tabs>
          <w:tab w:pos="840" w:val="left" w:leader="none"/>
          <w:tab w:pos="841" w:val="left" w:leader="none"/>
        </w:tabs>
        <w:spacing w:line="237" w:lineRule="auto" w:before="2" w:after="0"/>
        <w:ind w:left="841" w:right="154" w:hanging="361"/>
        <w:jc w:val="left"/>
        <w:rPr>
          <w:sz w:val="22"/>
        </w:rPr>
      </w:pPr>
      <w:r>
        <w:rPr>
          <w:sz w:val="22"/>
        </w:rPr>
        <w:t>The</w:t>
      </w:r>
      <w:r>
        <w:rPr>
          <w:spacing w:val="-2"/>
          <w:sz w:val="22"/>
        </w:rPr>
        <w:t> </w:t>
      </w:r>
      <w:r>
        <w:rPr>
          <w:sz w:val="22"/>
        </w:rPr>
        <w:t>need</w:t>
      </w:r>
      <w:r>
        <w:rPr>
          <w:spacing w:val="-2"/>
          <w:sz w:val="22"/>
        </w:rPr>
        <w:t> </w:t>
      </w:r>
      <w:r>
        <w:rPr>
          <w:sz w:val="22"/>
        </w:rPr>
        <w:t>to</w:t>
      </w:r>
      <w:r>
        <w:rPr>
          <w:spacing w:val="-4"/>
          <w:sz w:val="22"/>
        </w:rPr>
        <w:t> </w:t>
      </w:r>
      <w:r>
        <w:rPr>
          <w:sz w:val="22"/>
        </w:rPr>
        <w:t>provide</w:t>
      </w:r>
      <w:r>
        <w:rPr>
          <w:spacing w:val="-4"/>
          <w:sz w:val="22"/>
        </w:rPr>
        <w:t> </w:t>
      </w:r>
      <w:r>
        <w:rPr>
          <w:sz w:val="22"/>
        </w:rPr>
        <w:t>reasonable</w:t>
      </w:r>
      <w:r>
        <w:rPr>
          <w:spacing w:val="-2"/>
          <w:sz w:val="22"/>
        </w:rPr>
        <w:t> </w:t>
      </w:r>
      <w:r>
        <w:rPr>
          <w:sz w:val="22"/>
        </w:rPr>
        <w:t>accommodations</w:t>
      </w:r>
      <w:r>
        <w:rPr>
          <w:spacing w:val="-4"/>
          <w:sz w:val="22"/>
        </w:rPr>
        <w:t> </w:t>
      </w:r>
      <w:r>
        <w:rPr>
          <w:sz w:val="22"/>
        </w:rPr>
        <w:t>in</w:t>
      </w:r>
      <w:r>
        <w:rPr>
          <w:spacing w:val="-2"/>
          <w:sz w:val="22"/>
        </w:rPr>
        <w:t> </w:t>
      </w:r>
      <w:r>
        <w:rPr>
          <w:sz w:val="22"/>
        </w:rPr>
        <w:t>accordance</w:t>
      </w:r>
      <w:r>
        <w:rPr>
          <w:spacing w:val="-2"/>
          <w:sz w:val="22"/>
        </w:rPr>
        <w:t> </w:t>
      </w:r>
      <w:r>
        <w:rPr>
          <w:sz w:val="22"/>
        </w:rPr>
        <w:t>with</w:t>
      </w:r>
      <w:r>
        <w:rPr>
          <w:spacing w:val="-4"/>
          <w:sz w:val="22"/>
        </w:rPr>
        <w:t> </w:t>
      </w:r>
      <w:r>
        <w:rPr>
          <w:sz w:val="22"/>
        </w:rPr>
        <w:t>the</w:t>
      </w:r>
      <w:r>
        <w:rPr>
          <w:spacing w:val="-2"/>
          <w:sz w:val="22"/>
        </w:rPr>
        <w:t> </w:t>
      </w:r>
      <w:r>
        <w:rPr>
          <w:sz w:val="22"/>
        </w:rPr>
        <w:t>Americans</w:t>
      </w:r>
      <w:r>
        <w:rPr>
          <w:spacing w:val="-2"/>
          <w:sz w:val="22"/>
        </w:rPr>
        <w:t> </w:t>
      </w:r>
      <w:r>
        <w:rPr>
          <w:sz w:val="22"/>
        </w:rPr>
        <w:t>with Disabilities Act or other local, state or federal law;</w:t>
      </w:r>
    </w:p>
    <w:p>
      <w:pPr>
        <w:pStyle w:val="ListParagraph"/>
        <w:numPr>
          <w:ilvl w:val="0"/>
          <w:numId w:val="7"/>
        </w:numPr>
        <w:tabs>
          <w:tab w:pos="841" w:val="left" w:leader="none"/>
          <w:tab w:pos="842" w:val="left" w:leader="none"/>
        </w:tabs>
        <w:spacing w:line="268" w:lineRule="exact" w:before="1" w:after="0"/>
        <w:ind w:left="841" w:right="0" w:hanging="361"/>
        <w:jc w:val="left"/>
        <w:rPr>
          <w:sz w:val="22"/>
        </w:rPr>
      </w:pPr>
      <w:r>
        <w:rPr>
          <w:sz w:val="22"/>
        </w:rPr>
        <w:t>Unanticipated</w:t>
      </w:r>
      <w:r>
        <w:rPr>
          <w:spacing w:val="-8"/>
          <w:sz w:val="22"/>
        </w:rPr>
        <w:t> </w:t>
      </w:r>
      <w:r>
        <w:rPr>
          <w:sz w:val="22"/>
        </w:rPr>
        <w:t>costs</w:t>
      </w:r>
      <w:r>
        <w:rPr>
          <w:spacing w:val="-7"/>
          <w:sz w:val="22"/>
        </w:rPr>
        <w:t> </w:t>
      </w:r>
      <w:r>
        <w:rPr>
          <w:sz w:val="22"/>
        </w:rPr>
        <w:t>deemed</w:t>
      </w:r>
      <w:r>
        <w:rPr>
          <w:spacing w:val="-6"/>
          <w:sz w:val="22"/>
        </w:rPr>
        <w:t> </w:t>
      </w:r>
      <w:r>
        <w:rPr>
          <w:sz w:val="22"/>
        </w:rPr>
        <w:t>necessary</w:t>
      </w:r>
      <w:r>
        <w:rPr>
          <w:spacing w:val="-7"/>
          <w:sz w:val="22"/>
        </w:rPr>
        <w:t> </w:t>
      </w:r>
      <w:r>
        <w:rPr>
          <w:sz w:val="22"/>
        </w:rPr>
        <w:t>to</w:t>
      </w:r>
      <w:r>
        <w:rPr>
          <w:spacing w:val="-9"/>
          <w:sz w:val="22"/>
        </w:rPr>
        <w:t> </w:t>
      </w:r>
      <w:r>
        <w:rPr>
          <w:sz w:val="22"/>
        </w:rPr>
        <w:t>meet</w:t>
      </w:r>
      <w:r>
        <w:rPr>
          <w:spacing w:val="-8"/>
          <w:sz w:val="22"/>
        </w:rPr>
        <w:t> </w:t>
      </w:r>
      <w:r>
        <w:rPr>
          <w:sz w:val="22"/>
        </w:rPr>
        <w:t>applicable</w:t>
      </w:r>
      <w:r>
        <w:rPr>
          <w:spacing w:val="-6"/>
          <w:sz w:val="22"/>
        </w:rPr>
        <w:t> </w:t>
      </w:r>
      <w:r>
        <w:rPr>
          <w:sz w:val="22"/>
        </w:rPr>
        <w:t>City</w:t>
      </w:r>
      <w:r>
        <w:rPr>
          <w:spacing w:val="-4"/>
          <w:sz w:val="22"/>
        </w:rPr>
        <w:t> </w:t>
      </w:r>
      <w:r>
        <w:rPr>
          <w:spacing w:val="-2"/>
          <w:sz w:val="22"/>
        </w:rPr>
        <w:t>Codes;</w:t>
      </w:r>
    </w:p>
    <w:p>
      <w:pPr>
        <w:pStyle w:val="ListParagraph"/>
        <w:numPr>
          <w:ilvl w:val="0"/>
          <w:numId w:val="7"/>
        </w:numPr>
        <w:tabs>
          <w:tab w:pos="841" w:val="left" w:leader="none"/>
          <w:tab w:pos="842" w:val="left" w:leader="none"/>
        </w:tabs>
        <w:spacing w:line="268" w:lineRule="exact" w:before="0" w:after="0"/>
        <w:ind w:left="841" w:right="0" w:hanging="361"/>
        <w:jc w:val="left"/>
        <w:rPr>
          <w:sz w:val="22"/>
        </w:rPr>
      </w:pPr>
      <w:r>
        <w:rPr>
          <w:sz w:val="22"/>
        </w:rPr>
        <w:t>Unforeseen</w:t>
      </w:r>
      <w:r>
        <w:rPr>
          <w:spacing w:val="-11"/>
          <w:sz w:val="22"/>
        </w:rPr>
        <w:t> </w:t>
      </w:r>
      <w:r>
        <w:rPr>
          <w:sz w:val="22"/>
        </w:rPr>
        <w:t>environmental</w:t>
      </w:r>
      <w:r>
        <w:rPr>
          <w:spacing w:val="-9"/>
          <w:sz w:val="22"/>
        </w:rPr>
        <w:t> </w:t>
      </w:r>
      <w:r>
        <w:rPr>
          <w:sz w:val="22"/>
        </w:rPr>
        <w:t>issues;</w:t>
      </w:r>
      <w:r>
        <w:rPr>
          <w:spacing w:val="-7"/>
          <w:sz w:val="22"/>
        </w:rPr>
        <w:t> </w:t>
      </w:r>
      <w:r>
        <w:rPr>
          <w:spacing w:val="-5"/>
          <w:sz w:val="22"/>
        </w:rPr>
        <w:t>and</w:t>
      </w:r>
    </w:p>
    <w:p>
      <w:pPr>
        <w:pStyle w:val="ListParagraph"/>
        <w:numPr>
          <w:ilvl w:val="0"/>
          <w:numId w:val="7"/>
        </w:numPr>
        <w:tabs>
          <w:tab w:pos="841" w:val="left" w:leader="none"/>
          <w:tab w:pos="842" w:val="left" w:leader="none"/>
        </w:tabs>
        <w:spacing w:line="269" w:lineRule="exact" w:before="0" w:after="0"/>
        <w:ind w:left="841" w:right="0" w:hanging="361"/>
        <w:jc w:val="left"/>
        <w:rPr>
          <w:sz w:val="22"/>
        </w:rPr>
      </w:pPr>
      <w:r>
        <w:rPr>
          <w:sz w:val="22"/>
        </w:rPr>
        <w:t>To</w:t>
      </w:r>
      <w:r>
        <w:rPr>
          <w:spacing w:val="-5"/>
          <w:sz w:val="22"/>
        </w:rPr>
        <w:t> </w:t>
      </w:r>
      <w:r>
        <w:rPr>
          <w:sz w:val="22"/>
        </w:rPr>
        <w:t>address</w:t>
      </w:r>
      <w:r>
        <w:rPr>
          <w:spacing w:val="-6"/>
          <w:sz w:val="22"/>
        </w:rPr>
        <w:t> </w:t>
      </w:r>
      <w:r>
        <w:rPr>
          <w:sz w:val="22"/>
        </w:rPr>
        <w:t>issues</w:t>
      </w:r>
      <w:r>
        <w:rPr>
          <w:spacing w:val="-6"/>
          <w:sz w:val="22"/>
        </w:rPr>
        <w:t> </w:t>
      </w:r>
      <w:r>
        <w:rPr>
          <w:sz w:val="22"/>
        </w:rPr>
        <w:t>that</w:t>
      </w:r>
      <w:r>
        <w:rPr>
          <w:spacing w:val="-5"/>
          <w:sz w:val="22"/>
        </w:rPr>
        <w:t> </w:t>
      </w:r>
      <w:r>
        <w:rPr>
          <w:sz w:val="22"/>
        </w:rPr>
        <w:t>threaten</w:t>
      </w:r>
      <w:r>
        <w:rPr>
          <w:spacing w:val="-6"/>
          <w:sz w:val="22"/>
        </w:rPr>
        <w:t> </w:t>
      </w:r>
      <w:r>
        <w:rPr>
          <w:sz w:val="22"/>
        </w:rPr>
        <w:t>life,</w:t>
      </w:r>
      <w:r>
        <w:rPr>
          <w:spacing w:val="-2"/>
          <w:sz w:val="22"/>
        </w:rPr>
        <w:t> </w:t>
      </w:r>
      <w:r>
        <w:rPr>
          <w:sz w:val="22"/>
        </w:rPr>
        <w:t>health,</w:t>
      </w:r>
      <w:r>
        <w:rPr>
          <w:spacing w:val="-5"/>
          <w:sz w:val="22"/>
        </w:rPr>
        <w:t> </w:t>
      </w:r>
      <w:r>
        <w:rPr>
          <w:sz w:val="22"/>
        </w:rPr>
        <w:t>safety</w:t>
      </w:r>
      <w:r>
        <w:rPr>
          <w:spacing w:val="-3"/>
          <w:sz w:val="22"/>
        </w:rPr>
        <w:t> </w:t>
      </w:r>
      <w:r>
        <w:rPr>
          <w:sz w:val="22"/>
        </w:rPr>
        <w:t>and</w:t>
      </w:r>
      <w:r>
        <w:rPr>
          <w:spacing w:val="-4"/>
          <w:sz w:val="22"/>
        </w:rPr>
        <w:t> </w:t>
      </w:r>
      <w:r>
        <w:rPr>
          <w:sz w:val="22"/>
        </w:rPr>
        <w:t>welfare</w:t>
      </w:r>
      <w:r>
        <w:rPr>
          <w:spacing w:val="-4"/>
          <w:sz w:val="22"/>
        </w:rPr>
        <w:t> </w:t>
      </w:r>
      <w:r>
        <w:rPr>
          <w:sz w:val="22"/>
        </w:rPr>
        <w:t>of</w:t>
      </w:r>
      <w:r>
        <w:rPr>
          <w:spacing w:val="-5"/>
          <w:sz w:val="22"/>
        </w:rPr>
        <w:t> </w:t>
      </w:r>
      <w:r>
        <w:rPr>
          <w:sz w:val="22"/>
        </w:rPr>
        <w:t>the</w:t>
      </w:r>
      <w:r>
        <w:rPr>
          <w:spacing w:val="-3"/>
          <w:sz w:val="22"/>
        </w:rPr>
        <w:t> </w:t>
      </w:r>
      <w:r>
        <w:rPr>
          <w:spacing w:val="-2"/>
          <w:sz w:val="22"/>
        </w:rPr>
        <w:t>public.</w:t>
      </w:r>
    </w:p>
    <w:p>
      <w:pPr>
        <w:pStyle w:val="BodyText"/>
        <w:spacing w:before="8"/>
        <w:rPr>
          <w:sz w:val="21"/>
        </w:rPr>
      </w:pPr>
    </w:p>
    <w:p>
      <w:pPr>
        <w:pStyle w:val="BodyText"/>
        <w:ind w:left="121" w:right="156"/>
        <w:jc w:val="both"/>
      </w:pPr>
      <w:r>
        <w:rPr/>
        <w:t>Applicant</w:t>
      </w:r>
      <w:r>
        <w:rPr>
          <w:spacing w:val="-1"/>
        </w:rPr>
        <w:t> </w:t>
      </w:r>
      <w:r>
        <w:rPr/>
        <w:t>is</w:t>
      </w:r>
      <w:r>
        <w:rPr>
          <w:spacing w:val="-5"/>
        </w:rPr>
        <w:t> </w:t>
      </w:r>
      <w:r>
        <w:rPr/>
        <w:t>required</w:t>
      </w:r>
      <w:r>
        <w:rPr>
          <w:spacing w:val="-5"/>
        </w:rPr>
        <w:t> </w:t>
      </w:r>
      <w:r>
        <w:rPr/>
        <w:t>to</w:t>
      </w:r>
      <w:r>
        <w:rPr>
          <w:spacing w:val="-5"/>
        </w:rPr>
        <w:t> </w:t>
      </w:r>
      <w:r>
        <w:rPr/>
        <w:t>ensure</w:t>
      </w:r>
      <w:r>
        <w:rPr>
          <w:spacing w:val="-5"/>
        </w:rPr>
        <w:t> </w:t>
      </w:r>
      <w:r>
        <w:rPr/>
        <w:t>that</w:t>
      </w:r>
      <w:r>
        <w:rPr>
          <w:spacing w:val="-1"/>
        </w:rPr>
        <w:t> </w:t>
      </w:r>
      <w:r>
        <w:rPr/>
        <w:t>occupancy</w:t>
      </w:r>
      <w:r>
        <w:rPr>
          <w:spacing w:val="-5"/>
        </w:rPr>
        <w:t> </w:t>
      </w:r>
      <w:r>
        <w:rPr/>
        <w:t>for</w:t>
      </w:r>
      <w:r>
        <w:rPr>
          <w:spacing w:val="-4"/>
        </w:rPr>
        <w:t> </w:t>
      </w:r>
      <w:r>
        <w:rPr/>
        <w:t>all</w:t>
      </w:r>
      <w:r>
        <w:rPr>
          <w:spacing w:val="-3"/>
        </w:rPr>
        <w:t> </w:t>
      </w:r>
      <w:r>
        <w:rPr/>
        <w:t>assisted</w:t>
      </w:r>
      <w:r>
        <w:rPr>
          <w:spacing w:val="-5"/>
        </w:rPr>
        <w:t> </w:t>
      </w:r>
      <w:r>
        <w:rPr/>
        <w:t>units</w:t>
      </w:r>
      <w:r>
        <w:rPr>
          <w:spacing w:val="-2"/>
        </w:rPr>
        <w:t> </w:t>
      </w:r>
      <w:r>
        <w:rPr/>
        <w:t>is</w:t>
      </w:r>
      <w:r>
        <w:rPr>
          <w:spacing w:val="-5"/>
        </w:rPr>
        <w:t> </w:t>
      </w:r>
      <w:r>
        <w:rPr/>
        <w:t>maintained</w:t>
      </w:r>
      <w:r>
        <w:rPr>
          <w:spacing w:val="-3"/>
        </w:rPr>
        <w:t> </w:t>
      </w:r>
      <w:r>
        <w:rPr/>
        <w:t>by</w:t>
      </w:r>
      <w:r>
        <w:rPr>
          <w:spacing w:val="-5"/>
        </w:rPr>
        <w:t> </w:t>
      </w:r>
      <w:r>
        <w:rPr/>
        <w:t>tenants</w:t>
      </w:r>
      <w:r>
        <w:rPr>
          <w:spacing w:val="-5"/>
        </w:rPr>
        <w:t> </w:t>
      </w:r>
      <w:r>
        <w:rPr/>
        <w:t>that are</w:t>
      </w:r>
      <w:r>
        <w:rPr>
          <w:spacing w:val="-15"/>
        </w:rPr>
        <w:t> </w:t>
      </w:r>
      <w:r>
        <w:rPr/>
        <w:t>income</w:t>
      </w:r>
      <w:r>
        <w:rPr>
          <w:spacing w:val="-15"/>
        </w:rPr>
        <w:t> </w:t>
      </w:r>
      <w:r>
        <w:rPr/>
        <w:t>qualified</w:t>
      </w:r>
      <w:r>
        <w:rPr>
          <w:spacing w:val="-14"/>
        </w:rPr>
        <w:t> </w:t>
      </w:r>
      <w:r>
        <w:rPr/>
        <w:t>at</w:t>
      </w:r>
      <w:r>
        <w:rPr>
          <w:spacing w:val="-12"/>
        </w:rPr>
        <w:t> </w:t>
      </w:r>
      <w:r>
        <w:rPr/>
        <w:t>80%</w:t>
      </w:r>
      <w:r>
        <w:rPr>
          <w:spacing w:val="-13"/>
        </w:rPr>
        <w:t> </w:t>
      </w:r>
      <w:r>
        <w:rPr/>
        <w:t>of</w:t>
      </w:r>
      <w:r>
        <w:rPr>
          <w:spacing w:val="-12"/>
        </w:rPr>
        <w:t> </w:t>
      </w:r>
      <w:r>
        <w:rPr/>
        <w:t>AMI</w:t>
      </w:r>
      <w:r>
        <w:rPr>
          <w:spacing w:val="-15"/>
        </w:rPr>
        <w:t> </w:t>
      </w:r>
      <w:r>
        <w:rPr/>
        <w:t>or</w:t>
      </w:r>
      <w:r>
        <w:rPr>
          <w:spacing w:val="-15"/>
        </w:rPr>
        <w:t> </w:t>
      </w:r>
      <w:r>
        <w:rPr/>
        <w:t>lower,</w:t>
      </w:r>
      <w:r>
        <w:rPr>
          <w:spacing w:val="-15"/>
        </w:rPr>
        <w:t> </w:t>
      </w:r>
      <w:r>
        <w:rPr/>
        <w:t>and</w:t>
      </w:r>
      <w:r>
        <w:rPr>
          <w:spacing w:val="-16"/>
        </w:rPr>
        <w:t> </w:t>
      </w:r>
      <w:r>
        <w:rPr/>
        <w:t>at</w:t>
      </w:r>
      <w:r>
        <w:rPr>
          <w:spacing w:val="-14"/>
        </w:rPr>
        <w:t> </w:t>
      </w:r>
      <w:r>
        <w:rPr/>
        <w:t>rental</w:t>
      </w:r>
      <w:r>
        <w:rPr>
          <w:spacing w:val="-16"/>
        </w:rPr>
        <w:t> </w:t>
      </w:r>
      <w:r>
        <w:rPr/>
        <w:t>rates</w:t>
      </w:r>
      <w:r>
        <w:rPr>
          <w:spacing w:val="-15"/>
        </w:rPr>
        <w:t> </w:t>
      </w:r>
      <w:r>
        <w:rPr/>
        <w:t>that</w:t>
      </w:r>
      <w:r>
        <w:rPr>
          <w:spacing w:val="-14"/>
        </w:rPr>
        <w:t> </w:t>
      </w:r>
      <w:r>
        <w:rPr/>
        <w:t>are</w:t>
      </w:r>
      <w:r>
        <w:rPr>
          <w:spacing w:val="-16"/>
        </w:rPr>
        <w:t> </w:t>
      </w:r>
      <w:r>
        <w:rPr/>
        <w:t>consistent</w:t>
      </w:r>
      <w:r>
        <w:rPr>
          <w:spacing w:val="-14"/>
        </w:rPr>
        <w:t> </w:t>
      </w:r>
      <w:r>
        <w:rPr/>
        <w:t>with</w:t>
      </w:r>
      <w:r>
        <w:rPr>
          <w:spacing w:val="-16"/>
        </w:rPr>
        <w:t> </w:t>
      </w:r>
      <w:r>
        <w:rPr/>
        <w:t>the</w:t>
      </w:r>
      <w:r>
        <w:rPr>
          <w:spacing w:val="-13"/>
        </w:rPr>
        <w:t> </w:t>
      </w:r>
      <w:r>
        <w:rPr/>
        <w:t>current HOME Fair Market Rent.</w:t>
      </w:r>
    </w:p>
    <w:p>
      <w:pPr>
        <w:pStyle w:val="BodyText"/>
        <w:spacing w:before="1"/>
      </w:pPr>
    </w:p>
    <w:p>
      <w:pPr>
        <w:pStyle w:val="Heading5"/>
        <w:ind w:left="121"/>
      </w:pPr>
      <w:r>
        <w:rPr/>
        <w:t>Mortgage</w:t>
      </w:r>
      <w:r>
        <w:rPr>
          <w:spacing w:val="-5"/>
        </w:rPr>
        <w:t> </w:t>
      </w:r>
      <w:r>
        <w:rPr/>
        <w:t>and</w:t>
      </w:r>
      <w:r>
        <w:rPr>
          <w:spacing w:val="-5"/>
        </w:rPr>
        <w:t> </w:t>
      </w:r>
      <w:r>
        <w:rPr>
          <w:spacing w:val="-2"/>
        </w:rPr>
        <w:t>Refinancing</w:t>
      </w:r>
    </w:p>
    <w:p>
      <w:pPr>
        <w:pStyle w:val="BodyText"/>
        <w:spacing w:before="52"/>
        <w:ind w:left="121"/>
        <w:jc w:val="both"/>
      </w:pPr>
      <w:r>
        <w:rPr/>
        <w:t>The</w:t>
      </w:r>
      <w:r>
        <w:rPr>
          <w:spacing w:val="-7"/>
        </w:rPr>
        <w:t> </w:t>
      </w:r>
      <w:r>
        <w:rPr/>
        <w:t>following</w:t>
      </w:r>
      <w:r>
        <w:rPr>
          <w:spacing w:val="-6"/>
        </w:rPr>
        <w:t> </w:t>
      </w:r>
      <w:r>
        <w:rPr/>
        <w:t>are</w:t>
      </w:r>
      <w:r>
        <w:rPr>
          <w:spacing w:val="-7"/>
        </w:rPr>
        <w:t> </w:t>
      </w:r>
      <w:r>
        <w:rPr/>
        <w:t>the</w:t>
      </w:r>
      <w:r>
        <w:rPr>
          <w:spacing w:val="-8"/>
        </w:rPr>
        <w:t> </w:t>
      </w:r>
      <w:r>
        <w:rPr/>
        <w:t>credit</w:t>
      </w:r>
      <w:r>
        <w:rPr>
          <w:spacing w:val="-4"/>
        </w:rPr>
        <w:t> </w:t>
      </w:r>
      <w:r>
        <w:rPr/>
        <w:t>and</w:t>
      </w:r>
      <w:r>
        <w:rPr>
          <w:spacing w:val="-5"/>
        </w:rPr>
        <w:t> </w:t>
      </w:r>
      <w:r>
        <w:rPr/>
        <w:t>underwriting</w:t>
      </w:r>
      <w:r>
        <w:rPr>
          <w:spacing w:val="-8"/>
        </w:rPr>
        <w:t> </w:t>
      </w:r>
      <w:r>
        <w:rPr/>
        <w:t>standards</w:t>
      </w:r>
      <w:r>
        <w:rPr>
          <w:spacing w:val="-7"/>
        </w:rPr>
        <w:t> </w:t>
      </w:r>
      <w:r>
        <w:rPr/>
        <w:t>for</w:t>
      </w:r>
      <w:r>
        <w:rPr>
          <w:spacing w:val="-7"/>
        </w:rPr>
        <w:t> </w:t>
      </w:r>
      <w:r>
        <w:rPr/>
        <w:t>Rental</w:t>
      </w:r>
      <w:r>
        <w:rPr>
          <w:spacing w:val="-6"/>
        </w:rPr>
        <w:t> </w:t>
      </w:r>
      <w:r>
        <w:rPr/>
        <w:t>Rehabilitation</w:t>
      </w:r>
      <w:r>
        <w:rPr>
          <w:spacing w:val="-5"/>
        </w:rPr>
        <w:t> </w:t>
      </w:r>
      <w:r>
        <w:rPr/>
        <w:t>Program</w:t>
      </w:r>
      <w:r>
        <w:rPr>
          <w:spacing w:val="-2"/>
        </w:rPr>
        <w:t> loans:</w:t>
      </w:r>
    </w:p>
    <w:p>
      <w:pPr>
        <w:pStyle w:val="ListParagraph"/>
        <w:numPr>
          <w:ilvl w:val="0"/>
          <w:numId w:val="7"/>
        </w:numPr>
        <w:tabs>
          <w:tab w:pos="842" w:val="left" w:leader="none"/>
        </w:tabs>
        <w:spacing w:line="237" w:lineRule="auto" w:before="3" w:after="0"/>
        <w:ind w:left="841" w:right="157" w:hanging="361"/>
        <w:jc w:val="both"/>
        <w:rPr>
          <w:sz w:val="22"/>
        </w:rPr>
      </w:pPr>
      <w:r>
        <w:rPr>
          <w:sz w:val="22"/>
        </w:rPr>
        <w:t>Chapter</w:t>
      </w:r>
      <w:r>
        <w:rPr>
          <w:spacing w:val="-1"/>
          <w:sz w:val="22"/>
        </w:rPr>
        <w:t> </w:t>
      </w:r>
      <w:r>
        <w:rPr>
          <w:sz w:val="22"/>
        </w:rPr>
        <w:t>7</w:t>
      </w:r>
      <w:r>
        <w:rPr>
          <w:spacing w:val="-5"/>
          <w:sz w:val="22"/>
        </w:rPr>
        <w:t> </w:t>
      </w:r>
      <w:r>
        <w:rPr>
          <w:sz w:val="22"/>
        </w:rPr>
        <w:t>or</w:t>
      </w:r>
      <w:r>
        <w:rPr>
          <w:spacing w:val="-1"/>
          <w:sz w:val="22"/>
        </w:rPr>
        <w:t> </w:t>
      </w:r>
      <w:r>
        <w:rPr>
          <w:sz w:val="22"/>
        </w:rPr>
        <w:t>Chapter</w:t>
      </w:r>
      <w:r>
        <w:rPr>
          <w:spacing w:val="-4"/>
          <w:sz w:val="22"/>
        </w:rPr>
        <w:t> </w:t>
      </w:r>
      <w:r>
        <w:rPr>
          <w:sz w:val="22"/>
        </w:rPr>
        <w:t>13</w:t>
      </w:r>
      <w:r>
        <w:rPr>
          <w:spacing w:val="-5"/>
          <w:sz w:val="22"/>
        </w:rPr>
        <w:t> </w:t>
      </w:r>
      <w:r>
        <w:rPr>
          <w:sz w:val="22"/>
        </w:rPr>
        <w:t>bankruptcy</w:t>
      </w:r>
      <w:r>
        <w:rPr>
          <w:spacing w:val="-2"/>
          <w:sz w:val="22"/>
        </w:rPr>
        <w:t> </w:t>
      </w:r>
      <w:r>
        <w:rPr>
          <w:sz w:val="22"/>
        </w:rPr>
        <w:t>is</w:t>
      </w:r>
      <w:r>
        <w:rPr>
          <w:spacing w:val="-2"/>
          <w:sz w:val="22"/>
        </w:rPr>
        <w:t> </w:t>
      </w:r>
      <w:r>
        <w:rPr>
          <w:sz w:val="22"/>
        </w:rPr>
        <w:t>not</w:t>
      </w:r>
      <w:r>
        <w:rPr>
          <w:spacing w:val="-1"/>
          <w:sz w:val="22"/>
        </w:rPr>
        <w:t> </w:t>
      </w:r>
      <w:r>
        <w:rPr>
          <w:sz w:val="22"/>
        </w:rPr>
        <w:t>allowed</w:t>
      </w:r>
      <w:r>
        <w:rPr>
          <w:spacing w:val="-3"/>
          <w:sz w:val="22"/>
        </w:rPr>
        <w:t> </w:t>
      </w:r>
      <w:r>
        <w:rPr>
          <w:sz w:val="22"/>
        </w:rPr>
        <w:t>if</w:t>
      </w:r>
      <w:r>
        <w:rPr>
          <w:spacing w:val="-1"/>
          <w:sz w:val="22"/>
        </w:rPr>
        <w:t> </w:t>
      </w:r>
      <w:r>
        <w:rPr>
          <w:sz w:val="22"/>
        </w:rPr>
        <w:t>primary</w:t>
      </w:r>
      <w:r>
        <w:rPr>
          <w:spacing w:val="-5"/>
          <w:sz w:val="22"/>
        </w:rPr>
        <w:t> </w:t>
      </w:r>
      <w:r>
        <w:rPr>
          <w:sz w:val="22"/>
        </w:rPr>
        <w:t>or</w:t>
      </w:r>
      <w:r>
        <w:rPr>
          <w:spacing w:val="-1"/>
          <w:sz w:val="22"/>
        </w:rPr>
        <w:t> </w:t>
      </w:r>
      <w:r>
        <w:rPr>
          <w:sz w:val="22"/>
        </w:rPr>
        <w:t>any</w:t>
      </w:r>
      <w:r>
        <w:rPr>
          <w:spacing w:val="-5"/>
          <w:sz w:val="22"/>
        </w:rPr>
        <w:t> </w:t>
      </w:r>
      <w:r>
        <w:rPr>
          <w:sz w:val="22"/>
        </w:rPr>
        <w:t>mortgage</w:t>
      </w:r>
      <w:r>
        <w:rPr>
          <w:spacing w:val="-3"/>
          <w:sz w:val="22"/>
        </w:rPr>
        <w:t> </w:t>
      </w:r>
      <w:r>
        <w:rPr>
          <w:sz w:val="22"/>
        </w:rPr>
        <w:t>is</w:t>
      </w:r>
      <w:r>
        <w:rPr>
          <w:spacing w:val="-2"/>
          <w:sz w:val="22"/>
        </w:rPr>
        <w:t> </w:t>
      </w:r>
      <w:r>
        <w:rPr>
          <w:sz w:val="22"/>
        </w:rPr>
        <w:t>included as a secured creditor on the subject property for which the City will place a lien securing the loan.</w:t>
      </w:r>
    </w:p>
    <w:p>
      <w:pPr>
        <w:pStyle w:val="ListParagraph"/>
        <w:numPr>
          <w:ilvl w:val="0"/>
          <w:numId w:val="7"/>
        </w:numPr>
        <w:tabs>
          <w:tab w:pos="843" w:val="left" w:leader="none"/>
        </w:tabs>
        <w:spacing w:line="237" w:lineRule="auto" w:before="5" w:after="0"/>
        <w:ind w:left="842" w:right="156" w:hanging="361"/>
        <w:jc w:val="both"/>
        <w:rPr>
          <w:sz w:val="22"/>
        </w:rPr>
      </w:pPr>
      <w:r>
        <w:rPr>
          <w:sz w:val="22"/>
        </w:rPr>
        <w:t>Properties may not have more than one outstanding loan on the property.</w:t>
      </w:r>
      <w:r>
        <w:rPr>
          <w:spacing w:val="40"/>
          <w:sz w:val="22"/>
        </w:rPr>
        <w:t> </w:t>
      </w:r>
      <w:r>
        <w:rPr>
          <w:sz w:val="22"/>
        </w:rPr>
        <w:t>The City will not accept a lien position lower than a second lien.</w:t>
      </w:r>
    </w:p>
    <w:p>
      <w:pPr>
        <w:pStyle w:val="ListParagraph"/>
        <w:numPr>
          <w:ilvl w:val="0"/>
          <w:numId w:val="7"/>
        </w:numPr>
        <w:tabs>
          <w:tab w:pos="843" w:val="left" w:leader="none"/>
        </w:tabs>
        <w:spacing w:line="269" w:lineRule="exact" w:before="1" w:after="0"/>
        <w:ind w:left="842" w:right="0" w:hanging="361"/>
        <w:jc w:val="both"/>
        <w:rPr>
          <w:sz w:val="22"/>
        </w:rPr>
      </w:pPr>
      <w:r>
        <w:rPr>
          <w:sz w:val="22"/>
        </w:rPr>
        <w:t>Property</w:t>
      </w:r>
      <w:r>
        <w:rPr>
          <w:spacing w:val="-6"/>
          <w:sz w:val="22"/>
        </w:rPr>
        <w:t> </w:t>
      </w:r>
      <w:r>
        <w:rPr>
          <w:sz w:val="22"/>
        </w:rPr>
        <w:t>taxes</w:t>
      </w:r>
      <w:r>
        <w:rPr>
          <w:spacing w:val="-5"/>
          <w:sz w:val="22"/>
        </w:rPr>
        <w:t> </w:t>
      </w:r>
      <w:r>
        <w:rPr>
          <w:sz w:val="22"/>
        </w:rPr>
        <w:t>must</w:t>
      </w:r>
      <w:r>
        <w:rPr>
          <w:spacing w:val="-1"/>
          <w:sz w:val="22"/>
        </w:rPr>
        <w:t> </w:t>
      </w:r>
      <w:r>
        <w:rPr>
          <w:sz w:val="22"/>
        </w:rPr>
        <w:t>be</w:t>
      </w:r>
      <w:r>
        <w:rPr>
          <w:spacing w:val="-5"/>
          <w:sz w:val="22"/>
        </w:rPr>
        <w:t> </w:t>
      </w:r>
      <w:r>
        <w:rPr>
          <w:spacing w:val="-2"/>
          <w:sz w:val="22"/>
        </w:rPr>
        <w:t>current</w:t>
      </w:r>
    </w:p>
    <w:p>
      <w:pPr>
        <w:pStyle w:val="ListParagraph"/>
        <w:numPr>
          <w:ilvl w:val="0"/>
          <w:numId w:val="7"/>
        </w:numPr>
        <w:tabs>
          <w:tab w:pos="843" w:val="left" w:leader="none"/>
        </w:tabs>
        <w:spacing w:line="237" w:lineRule="auto" w:before="1" w:after="0"/>
        <w:ind w:left="842" w:right="153" w:hanging="361"/>
        <w:jc w:val="both"/>
        <w:rPr>
          <w:sz w:val="22"/>
        </w:rPr>
      </w:pPr>
      <w:r>
        <w:rPr>
          <w:sz w:val="22"/>
        </w:rPr>
        <w:t>Applicants must be current on mortgage payments and shall not be in default under the mortgage documents associated with the property.</w:t>
      </w:r>
    </w:p>
    <w:p>
      <w:pPr>
        <w:pStyle w:val="ListParagraph"/>
        <w:numPr>
          <w:ilvl w:val="0"/>
          <w:numId w:val="7"/>
        </w:numPr>
        <w:tabs>
          <w:tab w:pos="843" w:val="left" w:leader="none"/>
        </w:tabs>
        <w:spacing w:line="237" w:lineRule="auto" w:before="4" w:after="0"/>
        <w:ind w:left="842" w:right="155" w:hanging="361"/>
        <w:jc w:val="both"/>
        <w:rPr>
          <w:sz w:val="22"/>
        </w:rPr>
      </w:pPr>
      <w:r>
        <w:rPr>
          <w:sz w:val="22"/>
        </w:rPr>
        <w:t>Properties with a reverse mortgage are not eligible for Rental Rehabilitation Program </w:t>
      </w:r>
      <w:r>
        <w:rPr>
          <w:spacing w:val="-2"/>
          <w:sz w:val="22"/>
        </w:rPr>
        <w:t>funding.</w:t>
      </w:r>
    </w:p>
    <w:p>
      <w:pPr>
        <w:pStyle w:val="BodyText"/>
        <w:spacing w:before="2"/>
        <w:rPr>
          <w:sz w:val="26"/>
        </w:rPr>
      </w:pPr>
    </w:p>
    <w:p>
      <w:pPr>
        <w:pStyle w:val="Heading5"/>
        <w:spacing w:before="1"/>
        <w:ind w:left="122"/>
      </w:pPr>
      <w:r>
        <w:rPr/>
        <w:t>Tenant</w:t>
      </w:r>
      <w:r>
        <w:rPr>
          <w:spacing w:val="-5"/>
        </w:rPr>
        <w:t> </w:t>
      </w:r>
      <w:r>
        <w:rPr/>
        <w:t>Relocation</w:t>
      </w:r>
      <w:r>
        <w:rPr>
          <w:spacing w:val="-9"/>
        </w:rPr>
        <w:t> </w:t>
      </w:r>
      <w:r>
        <w:rPr/>
        <w:t>During</w:t>
      </w:r>
      <w:r>
        <w:rPr>
          <w:spacing w:val="-5"/>
        </w:rPr>
        <w:t> </w:t>
      </w:r>
      <w:r>
        <w:rPr/>
        <w:t>the</w:t>
      </w:r>
      <w:r>
        <w:rPr>
          <w:spacing w:val="-9"/>
        </w:rPr>
        <w:t> </w:t>
      </w:r>
      <w:r>
        <w:rPr/>
        <w:t>Affordability</w:t>
      </w:r>
      <w:r>
        <w:rPr>
          <w:spacing w:val="-6"/>
        </w:rPr>
        <w:t> </w:t>
      </w:r>
      <w:r>
        <w:rPr>
          <w:spacing w:val="-2"/>
        </w:rPr>
        <w:t>Period</w:t>
      </w:r>
    </w:p>
    <w:p>
      <w:pPr>
        <w:spacing w:after="0"/>
        <w:sectPr>
          <w:pgSz w:w="12240" w:h="15840"/>
          <w:pgMar w:header="0" w:footer="1738" w:top="1360" w:bottom="1920" w:left="1320" w:right="1280"/>
        </w:sectPr>
      </w:pPr>
    </w:p>
    <w:p>
      <w:pPr>
        <w:pStyle w:val="BodyText"/>
        <w:spacing w:before="80"/>
        <w:ind w:left="120" w:right="155"/>
        <w:jc w:val="both"/>
      </w:pPr>
      <w:r>
        <w:rPr/>
        <w:t>If a tenant relocates for any reason during the affordability period, the Applicant shall have the responsibility</w:t>
      </w:r>
      <w:r>
        <w:rPr>
          <w:spacing w:val="-16"/>
        </w:rPr>
        <w:t> </w:t>
      </w:r>
      <w:r>
        <w:rPr/>
        <w:t>of</w:t>
      </w:r>
      <w:r>
        <w:rPr>
          <w:spacing w:val="-15"/>
        </w:rPr>
        <w:t> </w:t>
      </w:r>
      <w:r>
        <w:rPr/>
        <w:t>obtaining</w:t>
      </w:r>
      <w:r>
        <w:rPr>
          <w:spacing w:val="-15"/>
        </w:rPr>
        <w:t> </w:t>
      </w:r>
      <w:r>
        <w:rPr/>
        <w:t>a</w:t>
      </w:r>
      <w:r>
        <w:rPr>
          <w:spacing w:val="-15"/>
        </w:rPr>
        <w:t> </w:t>
      </w:r>
      <w:r>
        <w:rPr/>
        <w:t>new</w:t>
      </w:r>
      <w:r>
        <w:rPr>
          <w:spacing w:val="-16"/>
        </w:rPr>
        <w:t> </w:t>
      </w:r>
      <w:r>
        <w:rPr/>
        <w:t>tenant</w:t>
      </w:r>
      <w:r>
        <w:rPr>
          <w:spacing w:val="-15"/>
        </w:rPr>
        <w:t> </w:t>
      </w:r>
      <w:r>
        <w:rPr/>
        <w:t>that</w:t>
      </w:r>
      <w:r>
        <w:rPr>
          <w:spacing w:val="-15"/>
        </w:rPr>
        <w:t> </w:t>
      </w:r>
      <w:r>
        <w:rPr/>
        <w:t>meets</w:t>
      </w:r>
      <w:r>
        <w:rPr>
          <w:spacing w:val="-15"/>
        </w:rPr>
        <w:t> </w:t>
      </w:r>
      <w:r>
        <w:rPr/>
        <w:t>all</w:t>
      </w:r>
      <w:r>
        <w:rPr>
          <w:spacing w:val="-14"/>
        </w:rPr>
        <w:t> </w:t>
      </w:r>
      <w:r>
        <w:rPr/>
        <w:t>Rental</w:t>
      </w:r>
      <w:r>
        <w:rPr>
          <w:spacing w:val="-15"/>
        </w:rPr>
        <w:t> </w:t>
      </w:r>
      <w:r>
        <w:rPr/>
        <w:t>Rehabilitation</w:t>
      </w:r>
      <w:r>
        <w:rPr>
          <w:spacing w:val="-15"/>
        </w:rPr>
        <w:t> </w:t>
      </w:r>
      <w:r>
        <w:rPr/>
        <w:t>Program</w:t>
      </w:r>
      <w:r>
        <w:rPr>
          <w:spacing w:val="-13"/>
        </w:rPr>
        <w:t> </w:t>
      </w:r>
      <w:r>
        <w:rPr/>
        <w:t>requirements within the timeframe specified by the City.</w:t>
      </w:r>
    </w:p>
    <w:p>
      <w:pPr>
        <w:pStyle w:val="BodyText"/>
      </w:pPr>
    </w:p>
    <w:p>
      <w:pPr>
        <w:pStyle w:val="Heading5"/>
      </w:pPr>
      <w:r>
        <w:rPr/>
        <w:t>Temporary</w:t>
      </w:r>
      <w:r>
        <w:rPr>
          <w:spacing w:val="-8"/>
        </w:rPr>
        <w:t> </w:t>
      </w:r>
      <w:r>
        <w:rPr/>
        <w:t>Relocation</w:t>
      </w:r>
      <w:r>
        <w:rPr>
          <w:spacing w:val="-9"/>
        </w:rPr>
        <w:t> </w:t>
      </w:r>
      <w:r>
        <w:rPr/>
        <w:t>During</w:t>
      </w:r>
      <w:r>
        <w:rPr>
          <w:spacing w:val="-4"/>
        </w:rPr>
        <w:t> </w:t>
      </w:r>
      <w:r>
        <w:rPr>
          <w:spacing w:val="-2"/>
        </w:rPr>
        <w:t>Rehabilitation</w:t>
      </w:r>
    </w:p>
    <w:p>
      <w:pPr>
        <w:pStyle w:val="BodyText"/>
        <w:spacing w:before="50"/>
        <w:ind w:left="119" w:right="153"/>
        <w:jc w:val="both"/>
      </w:pPr>
      <w:r>
        <w:rPr/>
        <w:pict>
          <v:shape style="position:absolute;margin-left:90.065002pt;margin-top:33.954624pt;width:395.3pt;height:419pt;mso-position-horizontal-relative:page;mso-position-vertical-relative:paragraph;z-index:-17729536" id="docshape35" coordorigin="1801,679" coordsize="7906,8380" path="m4498,7943l4492,7869,4477,7791,4455,7708,4432,7639,4403,7567,4367,7492,4325,7414,4276,7334,4237,7275,4200,7224,4200,7910,4197,7966,4186,8023,4167,8080,4138,8140,4097,8203,4044,8269,3979,8338,3674,8643,2216,7186,2517,6885,2598,6809,2672,6749,2740,6706,2801,6679,2868,6664,2941,6660,3020,6667,3105,6685,3195,6714,3255,6740,3317,6772,3380,6811,3446,6856,3514,6907,3584,6965,3656,7030,3729,7101,3789,7163,3845,7223,3896,7282,3943,7340,3986,7397,4025,7452,4059,7506,4101,7580,4136,7653,4163,7722,4183,7789,4196,7853,4200,7910,4200,7224,4194,7215,4148,7155,4098,7094,4045,7033,3989,6972,3929,6910,3865,6848,3801,6790,3737,6735,3673,6683,3643,6660,3609,6635,3546,6591,3482,6549,3419,6512,3346,6474,3274,6441,3203,6414,3132,6392,3062,6375,2992,6363,2923,6356,2850,6354,2779,6361,2709,6376,2642,6399,2577,6429,2528,6458,2476,6495,2420,6540,2359,6594,2294,6657,1801,7150,3710,9058,4124,8643,4226,8542,4287,8477,4341,8411,4386,8345,4424,8279,4454,8212,4476,8146,4491,8079,4498,8011,4498,7943xm6418,6350l6056,6222,5650,6079,5561,6050,5475,6026,5393,6007,5365,6002,5314,5993,5239,5983,5193,5981,5143,5984,5089,5991,5030,6002,5073,5932,5109,5863,5136,5793,5154,5725,5164,5656,5165,5588,5157,5520,5139,5442,5111,5366,5075,5291,5030,5219,4976,5148,4956,5125,4913,5079,4872,5041,4872,5598,4868,5654,4854,5709,4830,5765,4794,5824,4747,5885,4687,5948,4280,6356,3649,5724,4102,5271,4166,5214,4229,5171,4293,5142,4358,5126,4422,5125,4501,5140,4577,5170,4649,5215,4718,5274,4761,5322,4797,5373,4827,5426,4851,5483,4867,5541,4872,5598,4872,5041,4849,5020,4782,4967,4713,4922,4641,4883,4566,4851,4474,4823,4386,4810,4303,4812,4225,4828,4163,4853,4098,4889,4030,4938,3958,4997,3883,5068,3248,5703,5157,7611,5346,7422,4499,6574,4718,6356,4753,6321,4783,6294,4810,6273,4833,6258,4863,6245,4896,6234,4932,6226,4971,6222,5014,6222,5066,6227,5125,6238,5194,6254,5256,6271,5328,6292,5407,6317,5496,6346,6180,6588,6418,6350xm7780,4987l7415,4792,6555,4338,6555,4645,6070,5130,6030,5059,5989,4987,5748,4557,5708,4485,5668,4413,5629,4348,5590,4283,5550,4219,5509,4156,5467,4094,5424,4033,5380,3972,5436,4008,5498,4045,5564,4085,5635,4127,5792,4218,6555,4645,6555,4338,5862,3972,5286,3665,5082,3869,5277,4220,5316,4290,5701,4987,6207,5906,6441,6327,6642,6126,6565,5992,6298,5524,6221,5391,6481,5130,6820,4792,7173,4987,7565,5203,7780,4987xm8131,4637l7264,3770,7936,3098,7711,2873,7039,3545,6448,2954,7224,2178,6999,1952,6033,2918,7941,4826,8131,4637xm9707,3061l8024,1378,8497,904,8272,679,7138,1814,7363,2039,7834,1567,9517,3250,9707,3061xe" filled="true" fillcolor="#c0c0c0" stroked="false">
            <v:path arrowok="t"/>
            <v:fill opacity="32896f" type="solid"/>
            <w10:wrap type="none"/>
          </v:shape>
        </w:pict>
      </w:r>
      <w:r>
        <w:rPr/>
        <w:t>Relocation is not contemplated for rehabilitation activities, however if an unanticipated event occurs which requires temporary relocation, Applicant shall be responsible for the relocation- related</w:t>
      </w:r>
      <w:r>
        <w:rPr>
          <w:spacing w:val="-11"/>
        </w:rPr>
        <w:t> </w:t>
      </w:r>
      <w:r>
        <w:rPr/>
        <w:t>expenses</w:t>
      </w:r>
      <w:r>
        <w:rPr>
          <w:spacing w:val="-12"/>
        </w:rPr>
        <w:t> </w:t>
      </w:r>
      <w:r>
        <w:rPr/>
        <w:t>and</w:t>
      </w:r>
      <w:r>
        <w:rPr>
          <w:spacing w:val="-12"/>
        </w:rPr>
        <w:t> </w:t>
      </w:r>
      <w:r>
        <w:rPr/>
        <w:t>fees.</w:t>
      </w:r>
      <w:r>
        <w:rPr>
          <w:spacing w:val="-9"/>
        </w:rPr>
        <w:t> </w:t>
      </w:r>
      <w:r>
        <w:rPr/>
        <w:t>Applicant</w:t>
      </w:r>
      <w:r>
        <w:rPr>
          <w:spacing w:val="-11"/>
        </w:rPr>
        <w:t> </w:t>
      </w:r>
      <w:r>
        <w:rPr/>
        <w:t>shall</w:t>
      </w:r>
      <w:r>
        <w:rPr>
          <w:spacing w:val="-11"/>
        </w:rPr>
        <w:t> </w:t>
      </w:r>
      <w:r>
        <w:rPr/>
        <w:t>perform</w:t>
      </w:r>
      <w:r>
        <w:rPr>
          <w:spacing w:val="-11"/>
        </w:rPr>
        <w:t> </w:t>
      </w:r>
      <w:r>
        <w:rPr/>
        <w:t>such</w:t>
      </w:r>
      <w:r>
        <w:rPr>
          <w:spacing w:val="-12"/>
        </w:rPr>
        <w:t> </w:t>
      </w:r>
      <w:r>
        <w:rPr/>
        <w:t>relocation</w:t>
      </w:r>
      <w:r>
        <w:rPr>
          <w:spacing w:val="-9"/>
        </w:rPr>
        <w:t> </w:t>
      </w:r>
      <w:r>
        <w:rPr/>
        <w:t>obligations</w:t>
      </w:r>
      <w:r>
        <w:rPr>
          <w:spacing w:val="-10"/>
        </w:rPr>
        <w:t> </w:t>
      </w:r>
      <w:r>
        <w:rPr/>
        <w:t>in</w:t>
      </w:r>
      <w:r>
        <w:rPr>
          <w:spacing w:val="-12"/>
        </w:rPr>
        <w:t> </w:t>
      </w:r>
      <w:r>
        <w:rPr/>
        <w:t>compliance</w:t>
      </w:r>
      <w:r>
        <w:rPr>
          <w:spacing w:val="-11"/>
        </w:rPr>
        <w:t> </w:t>
      </w:r>
      <w:r>
        <w:rPr/>
        <w:t>with the provisions of the Uniform Relocation Assistance and Real Property Acquisitions Policies Act of 1970 and Section 104(d) and any other applicable state, federal, or local laws/regulations.</w:t>
      </w:r>
    </w:p>
    <w:p>
      <w:pPr>
        <w:pStyle w:val="BodyText"/>
        <w:spacing w:before="1"/>
      </w:pPr>
    </w:p>
    <w:p>
      <w:pPr>
        <w:pStyle w:val="Heading5"/>
        <w:ind w:left="119"/>
      </w:pPr>
      <w:r>
        <w:rPr/>
        <w:t>Program</w:t>
      </w:r>
      <w:r>
        <w:rPr>
          <w:spacing w:val="-5"/>
        </w:rPr>
        <w:t> </w:t>
      </w:r>
      <w:r>
        <w:rPr>
          <w:spacing w:val="-2"/>
        </w:rPr>
        <w:t>Administration</w:t>
      </w:r>
    </w:p>
    <w:p>
      <w:pPr>
        <w:pStyle w:val="BodyText"/>
        <w:spacing w:line="218" w:lineRule="auto" w:before="49"/>
        <w:ind w:left="119" w:right="155"/>
        <w:jc w:val="both"/>
      </w:pPr>
      <w:r>
        <w:rPr/>
        <w:t>Staff shall administer the Rental Rehabilitation Program. The administration of the</w:t>
      </w:r>
      <w:r>
        <w:rPr>
          <w:spacing w:val="40"/>
        </w:rPr>
        <w:t> </w:t>
      </w:r>
      <w:r>
        <w:rPr/>
        <w:t>Rental Rehabilitation Program includes application evaluation procedures, rehabilitation assessments, cost</w:t>
      </w:r>
      <w:r>
        <w:rPr>
          <w:spacing w:val="-16"/>
        </w:rPr>
        <w:t> </w:t>
      </w:r>
      <w:r>
        <w:rPr/>
        <w:t>estimation,</w:t>
      </w:r>
      <w:r>
        <w:rPr>
          <w:spacing w:val="-15"/>
        </w:rPr>
        <w:t> </w:t>
      </w:r>
      <w:r>
        <w:rPr/>
        <w:t>bid</w:t>
      </w:r>
      <w:r>
        <w:rPr>
          <w:spacing w:val="-15"/>
        </w:rPr>
        <w:t> </w:t>
      </w:r>
      <w:r>
        <w:rPr/>
        <w:t>solicitation,</w:t>
      </w:r>
      <w:r>
        <w:rPr>
          <w:spacing w:val="-16"/>
        </w:rPr>
        <w:t> </w:t>
      </w:r>
      <w:r>
        <w:rPr/>
        <w:t>contractor</w:t>
      </w:r>
      <w:r>
        <w:rPr>
          <w:spacing w:val="-15"/>
        </w:rPr>
        <w:t> </w:t>
      </w:r>
      <w:r>
        <w:rPr/>
        <w:t>selection,</w:t>
      </w:r>
      <w:r>
        <w:rPr>
          <w:spacing w:val="-15"/>
        </w:rPr>
        <w:t> </w:t>
      </w:r>
      <w:r>
        <w:rPr/>
        <w:t>management</w:t>
      </w:r>
      <w:r>
        <w:rPr>
          <w:spacing w:val="-15"/>
        </w:rPr>
        <w:t> </w:t>
      </w:r>
      <w:r>
        <w:rPr/>
        <w:t>of</w:t>
      </w:r>
      <w:r>
        <w:rPr>
          <w:spacing w:val="-16"/>
        </w:rPr>
        <w:t> </w:t>
      </w:r>
      <w:r>
        <w:rPr/>
        <w:t>the</w:t>
      </w:r>
      <w:r>
        <w:rPr>
          <w:spacing w:val="-15"/>
        </w:rPr>
        <w:t> </w:t>
      </w:r>
      <w:r>
        <w:rPr/>
        <w:t>rehabilitation,</w:t>
      </w:r>
      <w:r>
        <w:rPr>
          <w:spacing w:val="-15"/>
        </w:rPr>
        <w:t> </w:t>
      </w:r>
      <w:r>
        <w:rPr/>
        <w:t>inspection, disbursement of program funds and processing of the notice of completion, and other duties as established in the program guidelines as well as the policies and procedures.</w:t>
      </w:r>
    </w:p>
    <w:p>
      <w:pPr>
        <w:spacing w:after="0" w:line="218" w:lineRule="auto"/>
        <w:jc w:val="both"/>
        <w:sectPr>
          <w:pgSz w:w="12240" w:h="15840"/>
          <w:pgMar w:header="0" w:footer="1738" w:top="1360" w:bottom="1920" w:left="1320" w:right="1280"/>
        </w:sectPr>
      </w:pPr>
    </w:p>
    <w:p>
      <w:pPr>
        <w:pStyle w:val="Heading3"/>
      </w:pPr>
      <w:bookmarkStart w:name="Dallas Homebuyer Assistance Program Pill" w:id="24"/>
      <w:bookmarkEnd w:id="24"/>
      <w:r>
        <w:rPr/>
      </w:r>
      <w:bookmarkStart w:name="_bookmark4" w:id="25"/>
      <w:bookmarkEnd w:id="25"/>
      <w:r>
        <w:rPr/>
      </w:r>
      <w:r>
        <w:rPr>
          <w:color w:val="001F5F"/>
        </w:rPr>
        <w:t>Dallas</w:t>
      </w:r>
      <w:r>
        <w:rPr>
          <w:color w:val="001F5F"/>
          <w:spacing w:val="-10"/>
        </w:rPr>
        <w:t> </w:t>
      </w:r>
      <w:r>
        <w:rPr>
          <w:color w:val="001F5F"/>
        </w:rPr>
        <w:t>Homebuyer</w:t>
      </w:r>
      <w:r>
        <w:rPr>
          <w:color w:val="001F5F"/>
          <w:spacing w:val="-12"/>
        </w:rPr>
        <w:t> </w:t>
      </w:r>
      <w:r>
        <w:rPr>
          <w:color w:val="001F5F"/>
        </w:rPr>
        <w:t>Assistance</w:t>
      </w:r>
      <w:r>
        <w:rPr>
          <w:color w:val="001F5F"/>
          <w:spacing w:val="-11"/>
        </w:rPr>
        <w:t> </w:t>
      </w:r>
      <w:r>
        <w:rPr>
          <w:color w:val="001F5F"/>
        </w:rPr>
        <w:t>Program</w:t>
      </w:r>
      <w:r>
        <w:rPr>
          <w:color w:val="001F5F"/>
          <w:spacing w:val="-9"/>
        </w:rPr>
        <w:t> </w:t>
      </w:r>
      <w:r>
        <w:rPr>
          <w:color w:val="FF0000"/>
        </w:rPr>
        <w:t>Pillars</w:t>
      </w:r>
      <w:r>
        <w:rPr>
          <w:color w:val="FF0000"/>
          <w:spacing w:val="-10"/>
        </w:rPr>
        <w:t> </w:t>
      </w:r>
      <w:r>
        <w:rPr>
          <w:color w:val="FF0000"/>
        </w:rPr>
        <w:t>1,</w:t>
      </w:r>
      <w:r>
        <w:rPr>
          <w:color w:val="FF0000"/>
          <w:spacing w:val="-11"/>
        </w:rPr>
        <w:t> </w:t>
      </w:r>
      <w:r>
        <w:rPr>
          <w:color w:val="FF0000"/>
        </w:rPr>
        <w:t>6,</w:t>
      </w:r>
      <w:r>
        <w:rPr>
          <w:color w:val="FF0000"/>
          <w:spacing w:val="-12"/>
        </w:rPr>
        <w:t> </w:t>
      </w:r>
      <w:r>
        <w:rPr>
          <w:color w:val="FF0000"/>
          <w:spacing w:val="-10"/>
        </w:rPr>
        <w:t>7</w:t>
      </w:r>
    </w:p>
    <w:p>
      <w:pPr>
        <w:pStyle w:val="BodyText"/>
        <w:spacing w:before="29"/>
        <w:ind w:left="120"/>
      </w:pPr>
      <w:r>
        <w:rPr/>
        <w:t>Added/amended</w:t>
      </w:r>
      <w:r>
        <w:rPr>
          <w:spacing w:val="-8"/>
        </w:rPr>
        <w:t> </w:t>
      </w:r>
      <w:r>
        <w:rPr/>
        <w:t>June</w:t>
      </w:r>
      <w:r>
        <w:rPr>
          <w:spacing w:val="-6"/>
        </w:rPr>
        <w:t> </w:t>
      </w:r>
      <w:r>
        <w:rPr/>
        <w:t>26,</w:t>
      </w:r>
      <w:r>
        <w:rPr>
          <w:spacing w:val="-4"/>
        </w:rPr>
        <w:t> </w:t>
      </w:r>
      <w:r>
        <w:rPr/>
        <w:t>2019</w:t>
      </w:r>
      <w:r>
        <w:rPr>
          <w:spacing w:val="-7"/>
        </w:rPr>
        <w:t> </w:t>
      </w:r>
      <w:r>
        <w:rPr/>
        <w:t>by</w:t>
      </w:r>
      <w:r>
        <w:rPr>
          <w:spacing w:val="-5"/>
        </w:rPr>
        <w:t> </w:t>
      </w:r>
      <w:r>
        <w:rPr/>
        <w:t>Resolution</w:t>
      </w:r>
      <w:r>
        <w:rPr>
          <w:spacing w:val="-6"/>
        </w:rPr>
        <w:t> </w:t>
      </w:r>
      <w:r>
        <w:rPr/>
        <w:t>No.</w:t>
      </w:r>
      <w:r>
        <w:rPr>
          <w:spacing w:val="-3"/>
        </w:rPr>
        <w:t> </w:t>
      </w:r>
      <w:r>
        <w:rPr/>
        <w:t>19-</w:t>
      </w:r>
      <w:r>
        <w:rPr>
          <w:spacing w:val="-4"/>
        </w:rPr>
        <w:t>1041</w:t>
      </w:r>
    </w:p>
    <w:p>
      <w:pPr>
        <w:pStyle w:val="BodyText"/>
        <w:spacing w:before="1"/>
        <w:ind w:left="120"/>
      </w:pPr>
      <w:r>
        <w:rPr/>
        <w:t>Amended</w:t>
      </w:r>
      <w:r>
        <w:rPr>
          <w:spacing w:val="-9"/>
        </w:rPr>
        <w:t> </w:t>
      </w:r>
      <w:r>
        <w:rPr/>
        <w:t>October</w:t>
      </w:r>
      <w:r>
        <w:rPr>
          <w:spacing w:val="-6"/>
        </w:rPr>
        <w:t> </w:t>
      </w:r>
      <w:r>
        <w:rPr/>
        <w:t>13,</w:t>
      </w:r>
      <w:r>
        <w:rPr>
          <w:spacing w:val="-5"/>
        </w:rPr>
        <w:t> </w:t>
      </w:r>
      <w:r>
        <w:rPr/>
        <w:t>2021</w:t>
      </w:r>
      <w:r>
        <w:rPr>
          <w:spacing w:val="-4"/>
        </w:rPr>
        <w:t> </w:t>
      </w:r>
      <w:r>
        <w:rPr/>
        <w:t>by</w:t>
      </w:r>
      <w:r>
        <w:rPr>
          <w:spacing w:val="-4"/>
        </w:rPr>
        <w:t> </w:t>
      </w:r>
      <w:r>
        <w:rPr/>
        <w:t>Resolution</w:t>
      </w:r>
      <w:r>
        <w:rPr>
          <w:spacing w:val="-7"/>
        </w:rPr>
        <w:t> </w:t>
      </w:r>
      <w:r>
        <w:rPr/>
        <w:t>No.</w:t>
      </w:r>
      <w:r>
        <w:rPr>
          <w:spacing w:val="-5"/>
        </w:rPr>
        <w:t> </w:t>
      </w:r>
      <w:r>
        <w:rPr/>
        <w:t>21-</w:t>
      </w:r>
      <w:r>
        <w:rPr>
          <w:spacing w:val="-4"/>
        </w:rPr>
        <w:t>1656</w:t>
      </w:r>
    </w:p>
    <w:p>
      <w:pPr>
        <w:pStyle w:val="BodyText"/>
        <w:spacing w:before="9"/>
        <w:rPr>
          <w:sz w:val="21"/>
        </w:rPr>
      </w:pPr>
    </w:p>
    <w:p>
      <w:pPr>
        <w:pStyle w:val="BodyText"/>
        <w:ind w:left="120" w:right="156"/>
        <w:jc w:val="both"/>
      </w:pPr>
      <w:r>
        <w:rPr/>
        <w:pict>
          <v:shape style="position:absolute;margin-left:90.065002pt;margin-top:37.457493pt;width:395.3pt;height:419pt;mso-position-horizontal-relative:page;mso-position-vertical-relative:paragraph;z-index:-17729024" id="docshape36" coordorigin="1801,749" coordsize="7906,8380" path="m4498,8013l4492,7939,4477,7861,4455,7778,4432,7709,4403,7637,4367,7562,4325,7484,4276,7404,4237,7345,4200,7294,4200,7980,4197,8036,4186,8093,4167,8150,4138,8210,4097,8273,4044,8339,3979,8408,3674,8714,2216,7256,2517,6955,2598,6879,2672,6819,2740,6776,2801,6749,2868,6734,2941,6730,3020,6737,3105,6755,3195,6784,3255,6810,3317,6842,3380,6881,3446,6926,3514,6977,3584,7035,3656,7100,3729,7172,3789,7233,3845,7293,3896,7352,3943,7410,3986,7467,4025,7522,4059,7576,4101,7650,4136,7723,4163,7792,4183,7859,4196,7923,4200,7980,4200,7294,4194,7285,4148,7225,4098,7164,4045,7103,3989,7042,3929,6980,3865,6918,3801,6860,3737,6805,3673,6753,3643,6730,3609,6705,3546,6661,3482,6619,3419,6582,3346,6544,3274,6511,3203,6484,3132,6462,3062,6445,2992,6433,2923,6426,2850,6424,2779,6431,2709,6446,2642,6469,2577,6499,2528,6528,2476,6565,2420,6610,2359,6664,2294,6727,1801,7220,3710,9128,4124,8714,4226,8612,4287,8547,4341,8481,4386,8415,4424,8349,4454,8282,4476,8216,4491,8149,4498,8081,4498,8013xm6418,6420l6056,6292,5650,6149,5561,6120,5475,6096,5393,6077,5365,6072,5314,6063,5239,6053,5193,6051,5143,6054,5089,6061,5030,6072,5073,6002,5109,5933,5136,5863,5154,5795,5164,5726,5165,5658,5157,5590,5139,5512,5111,5436,5075,5361,5030,5289,4976,5218,4956,5195,4913,5149,4872,5111,4872,5668,4868,5724,4854,5779,4830,5835,4794,5894,4747,5955,4687,6018,4280,6426,3649,5794,4102,5341,4166,5284,4229,5241,4293,5212,4358,5196,4422,5195,4501,5210,4577,5240,4649,5285,4718,5344,4761,5392,4797,5443,4827,5497,4851,5553,4867,5611,4872,5668,4872,5111,4849,5090,4782,5037,4713,4992,4641,4953,4566,4921,4474,4893,4386,4880,4303,4882,4225,4898,4163,4923,4098,4959,4030,5008,3958,5067,3883,5138,3248,5773,5157,7681,5346,7492,4499,6644,4718,6426,4753,6391,4783,6364,4810,6343,4833,6328,4863,6315,4896,6304,4932,6296,4971,6292,5014,6292,5066,6297,5125,6308,5194,6324,5256,6341,5328,6362,5407,6387,5496,6416,6180,6658,6418,6420xm7780,5057l7415,4862,6555,4408,6555,4715,6070,5201,6030,5129,5989,5057,5748,4627,5708,4555,5668,4484,5629,4418,5590,4353,5550,4289,5509,4226,5467,4164,5424,4103,5380,4042,5436,4078,5498,4116,5564,4155,5635,4197,5792,4288,6555,4715,6555,4408,5862,4042,5286,3735,5082,3939,5277,4290,5316,4360,5701,5057,6207,5976,6441,6397,6642,6196,6565,6063,6298,5594,6221,5461,6481,5201,6820,4862,7173,5057,7565,5273,7780,5057xm8131,4707l7264,3840,7936,3168,7711,2943,7039,3615,6448,3024,7224,2248,6999,2022,6033,2988,7941,4896,8131,4707xm9707,3131l8024,1448,8497,974,8272,749,7138,1884,7363,2109,7834,1637,9517,3320,9707,3131xe" filled="true" fillcolor="#c0c0c0" stroked="false">
            <v:path arrowok="t"/>
            <v:fill opacity="32896f" type="solid"/>
            <w10:wrap type="none"/>
          </v:shape>
        </w:pict>
      </w:r>
      <w:r>
        <w:rPr/>
        <w:t>Provides homeownership opportunities to low- and moderate-income homebuyers (defined as “Applicant” for this program) through the provision of financial assistance when purchasing a home, in accordance with federal, state and local laws and regulations.</w:t>
      </w:r>
    </w:p>
    <w:p>
      <w:pPr>
        <w:pStyle w:val="BodyText"/>
        <w:spacing w:before="1"/>
      </w:pPr>
    </w:p>
    <w:p>
      <w:pPr>
        <w:pStyle w:val="Heading5"/>
        <w:jc w:val="left"/>
      </w:pPr>
      <w:r>
        <w:rPr>
          <w:spacing w:val="-2"/>
        </w:rPr>
        <w:t>Eligibility</w:t>
      </w:r>
    </w:p>
    <w:p>
      <w:pPr>
        <w:pStyle w:val="BodyText"/>
        <w:spacing w:before="50"/>
        <w:ind w:left="120"/>
      </w:pPr>
      <w:r>
        <w:rPr/>
        <w:t>Applicant</w:t>
      </w:r>
      <w:r>
        <w:rPr>
          <w:spacing w:val="-4"/>
        </w:rPr>
        <w:t> </w:t>
      </w:r>
      <w:r>
        <w:rPr/>
        <w:t>must</w:t>
      </w:r>
      <w:r>
        <w:rPr>
          <w:spacing w:val="-5"/>
        </w:rPr>
        <w:t> </w:t>
      </w:r>
      <w:r>
        <w:rPr/>
        <w:t>meet</w:t>
      </w:r>
      <w:r>
        <w:rPr>
          <w:spacing w:val="-8"/>
        </w:rPr>
        <w:t> </w:t>
      </w:r>
      <w:r>
        <w:rPr/>
        <w:t>the</w:t>
      </w:r>
      <w:r>
        <w:rPr>
          <w:spacing w:val="-6"/>
        </w:rPr>
        <w:t> </w:t>
      </w:r>
      <w:r>
        <w:rPr/>
        <w:t>following</w:t>
      </w:r>
      <w:r>
        <w:rPr>
          <w:spacing w:val="-5"/>
        </w:rPr>
        <w:t> </w:t>
      </w:r>
      <w:r>
        <w:rPr>
          <w:spacing w:val="-2"/>
        </w:rPr>
        <w:t>criteria:</w:t>
      </w:r>
    </w:p>
    <w:p>
      <w:pPr>
        <w:pStyle w:val="ListParagraph"/>
        <w:numPr>
          <w:ilvl w:val="0"/>
          <w:numId w:val="7"/>
        </w:numPr>
        <w:tabs>
          <w:tab w:pos="841" w:val="left" w:leader="none"/>
        </w:tabs>
        <w:spacing w:line="269" w:lineRule="exact" w:before="0" w:after="0"/>
        <w:ind w:left="840" w:right="0" w:hanging="361"/>
        <w:jc w:val="both"/>
        <w:rPr>
          <w:sz w:val="22"/>
        </w:rPr>
      </w:pPr>
      <w:r>
        <w:rPr>
          <w:sz w:val="22"/>
        </w:rPr>
        <w:t>Property</w:t>
      </w:r>
      <w:r>
        <w:rPr>
          <w:spacing w:val="-5"/>
          <w:sz w:val="22"/>
        </w:rPr>
        <w:t> </w:t>
      </w:r>
      <w:r>
        <w:rPr>
          <w:sz w:val="22"/>
        </w:rPr>
        <w:t>must</w:t>
      </w:r>
      <w:r>
        <w:rPr>
          <w:spacing w:val="-3"/>
          <w:sz w:val="22"/>
        </w:rPr>
        <w:t> </w:t>
      </w:r>
      <w:r>
        <w:rPr>
          <w:sz w:val="22"/>
        </w:rPr>
        <w:t>be</w:t>
      </w:r>
      <w:r>
        <w:rPr>
          <w:spacing w:val="-5"/>
          <w:sz w:val="22"/>
        </w:rPr>
        <w:t> </w:t>
      </w:r>
      <w:r>
        <w:rPr>
          <w:sz w:val="22"/>
        </w:rPr>
        <w:t>located</w:t>
      </w:r>
      <w:r>
        <w:rPr>
          <w:spacing w:val="-4"/>
          <w:sz w:val="22"/>
        </w:rPr>
        <w:t> </w:t>
      </w:r>
      <w:r>
        <w:rPr>
          <w:sz w:val="22"/>
        </w:rPr>
        <w:t>in</w:t>
      </w:r>
      <w:r>
        <w:rPr>
          <w:spacing w:val="-3"/>
          <w:sz w:val="22"/>
        </w:rPr>
        <w:t> </w:t>
      </w:r>
      <w:r>
        <w:rPr>
          <w:sz w:val="22"/>
        </w:rPr>
        <w:t>the</w:t>
      </w:r>
      <w:r>
        <w:rPr>
          <w:spacing w:val="-5"/>
          <w:sz w:val="22"/>
        </w:rPr>
        <w:t> </w:t>
      </w:r>
      <w:r>
        <w:rPr>
          <w:sz w:val="22"/>
        </w:rPr>
        <w:t>city</w:t>
      </w:r>
      <w:r>
        <w:rPr>
          <w:spacing w:val="-4"/>
          <w:sz w:val="22"/>
        </w:rPr>
        <w:t> </w:t>
      </w:r>
      <w:r>
        <w:rPr>
          <w:sz w:val="22"/>
        </w:rPr>
        <w:t>limits</w:t>
      </w:r>
      <w:r>
        <w:rPr>
          <w:spacing w:val="-5"/>
          <w:sz w:val="22"/>
        </w:rPr>
        <w:t> </w:t>
      </w:r>
      <w:r>
        <w:rPr>
          <w:sz w:val="22"/>
        </w:rPr>
        <w:t>of</w:t>
      </w:r>
      <w:r>
        <w:rPr>
          <w:spacing w:val="-3"/>
          <w:sz w:val="22"/>
        </w:rPr>
        <w:t> </w:t>
      </w:r>
      <w:r>
        <w:rPr>
          <w:spacing w:val="-2"/>
          <w:sz w:val="22"/>
        </w:rPr>
        <w:t>Dallas.</w:t>
      </w:r>
    </w:p>
    <w:p>
      <w:pPr>
        <w:pStyle w:val="ListParagraph"/>
        <w:numPr>
          <w:ilvl w:val="0"/>
          <w:numId w:val="7"/>
        </w:numPr>
        <w:tabs>
          <w:tab w:pos="841" w:val="left" w:leader="none"/>
        </w:tabs>
        <w:spacing w:line="240" w:lineRule="auto" w:before="0" w:after="0"/>
        <w:ind w:left="840" w:right="154" w:hanging="360"/>
        <w:jc w:val="both"/>
        <w:rPr>
          <w:sz w:val="22"/>
        </w:rPr>
      </w:pPr>
      <w:r>
        <w:rPr>
          <w:sz w:val="22"/>
        </w:rPr>
        <w:t>Household projected annual</w:t>
      </w:r>
      <w:r>
        <w:rPr>
          <w:spacing w:val="-1"/>
          <w:sz w:val="22"/>
        </w:rPr>
        <w:t> </w:t>
      </w:r>
      <w:r>
        <w:rPr>
          <w:sz w:val="22"/>
        </w:rPr>
        <w:t>income</w:t>
      </w:r>
      <w:r>
        <w:rPr>
          <w:spacing w:val="-5"/>
          <w:sz w:val="22"/>
        </w:rPr>
        <w:t> </w:t>
      </w:r>
      <w:r>
        <w:rPr>
          <w:sz w:val="22"/>
        </w:rPr>
        <w:t>must not</w:t>
      </w:r>
      <w:r>
        <w:rPr>
          <w:spacing w:val="-1"/>
          <w:sz w:val="22"/>
        </w:rPr>
        <w:t> </w:t>
      </w:r>
      <w:r>
        <w:rPr>
          <w:sz w:val="22"/>
        </w:rPr>
        <w:t>exceed 80% of</w:t>
      </w:r>
      <w:r>
        <w:rPr>
          <w:spacing w:val="-1"/>
          <w:sz w:val="22"/>
        </w:rPr>
        <w:t> </w:t>
      </w:r>
      <w:r>
        <w:rPr>
          <w:sz w:val="22"/>
        </w:rPr>
        <w:t>Area</w:t>
      </w:r>
      <w:r>
        <w:rPr>
          <w:spacing w:val="-5"/>
          <w:sz w:val="22"/>
        </w:rPr>
        <w:t> </w:t>
      </w:r>
      <w:r>
        <w:rPr>
          <w:sz w:val="22"/>
        </w:rPr>
        <w:t>Median</w:t>
      </w:r>
      <w:r>
        <w:rPr>
          <w:spacing w:val="-3"/>
          <w:sz w:val="22"/>
        </w:rPr>
        <w:t> </w:t>
      </w:r>
      <w:r>
        <w:rPr>
          <w:sz w:val="22"/>
        </w:rPr>
        <w:t>Income,</w:t>
      </w:r>
      <w:r>
        <w:rPr>
          <w:spacing w:val="-1"/>
          <w:sz w:val="22"/>
        </w:rPr>
        <w:t> </w:t>
      </w:r>
      <w:r>
        <w:rPr>
          <w:sz w:val="22"/>
        </w:rPr>
        <w:t>but</w:t>
      </w:r>
      <w:r>
        <w:rPr>
          <w:spacing w:val="-1"/>
          <w:sz w:val="22"/>
        </w:rPr>
        <w:t> </w:t>
      </w:r>
      <w:r>
        <w:rPr>
          <w:sz w:val="22"/>
        </w:rPr>
        <w:t>if the funding source allows, annual income may be increased to an amount not to exceed 120% of the Area Median Income, adjusted for household size, at the time of application to the program. Income eligibility shall be determined at the time of the application. Applicant household’s income eligibility is only valid for six months from the date of the last application.</w:t>
      </w:r>
    </w:p>
    <w:p>
      <w:pPr>
        <w:pStyle w:val="ListParagraph"/>
        <w:numPr>
          <w:ilvl w:val="0"/>
          <w:numId w:val="7"/>
        </w:numPr>
        <w:tabs>
          <w:tab w:pos="841" w:val="left" w:leader="none"/>
        </w:tabs>
        <w:spacing w:line="237" w:lineRule="auto" w:before="1" w:after="0"/>
        <w:ind w:left="840" w:right="155" w:hanging="361"/>
        <w:jc w:val="both"/>
        <w:rPr>
          <w:sz w:val="22"/>
        </w:rPr>
      </w:pPr>
      <w:r>
        <w:rPr>
          <w:sz w:val="22"/>
        </w:rPr>
        <w:t>Applicant must have acceptable credit. High cost or sub-prime loans, adjustable rate mortgages, interest only loans are not allowed.</w:t>
      </w:r>
    </w:p>
    <w:p>
      <w:pPr>
        <w:pStyle w:val="ListParagraph"/>
        <w:numPr>
          <w:ilvl w:val="0"/>
          <w:numId w:val="7"/>
        </w:numPr>
        <w:tabs>
          <w:tab w:pos="841" w:val="left" w:leader="none"/>
        </w:tabs>
        <w:spacing w:line="237" w:lineRule="auto" w:before="3" w:after="0"/>
        <w:ind w:left="840" w:right="157" w:hanging="361"/>
        <w:jc w:val="both"/>
        <w:rPr>
          <w:sz w:val="22"/>
        </w:rPr>
      </w:pPr>
      <w:r>
        <w:rPr>
          <w:sz w:val="22"/>
        </w:rPr>
        <w:t>Applicant must</w:t>
      </w:r>
      <w:r>
        <w:rPr>
          <w:spacing w:val="-1"/>
          <w:sz w:val="22"/>
        </w:rPr>
        <w:t> </w:t>
      </w:r>
      <w:r>
        <w:rPr>
          <w:sz w:val="22"/>
        </w:rPr>
        <w:t>demonstrate</w:t>
      </w:r>
      <w:r>
        <w:rPr>
          <w:spacing w:val="-3"/>
          <w:sz w:val="22"/>
        </w:rPr>
        <w:t> </w:t>
      </w:r>
      <w:r>
        <w:rPr>
          <w:sz w:val="22"/>
        </w:rPr>
        <w:t>that</w:t>
      </w:r>
      <w:r>
        <w:rPr>
          <w:spacing w:val="-1"/>
          <w:sz w:val="22"/>
        </w:rPr>
        <w:t> </w:t>
      </w:r>
      <w:r>
        <w:rPr>
          <w:sz w:val="22"/>
        </w:rPr>
        <w:t>Applicant has at</w:t>
      </w:r>
      <w:r>
        <w:rPr>
          <w:spacing w:val="-4"/>
          <w:sz w:val="22"/>
        </w:rPr>
        <w:t> </w:t>
      </w:r>
      <w:r>
        <w:rPr>
          <w:sz w:val="22"/>
        </w:rPr>
        <w:t>least</w:t>
      </w:r>
      <w:r>
        <w:rPr>
          <w:spacing w:val="-1"/>
          <w:sz w:val="22"/>
        </w:rPr>
        <w:t> </w:t>
      </w:r>
      <w:r>
        <w:rPr>
          <w:sz w:val="22"/>
        </w:rPr>
        <w:t>two</w:t>
      </w:r>
      <w:r>
        <w:rPr>
          <w:spacing w:val="-3"/>
          <w:sz w:val="22"/>
        </w:rPr>
        <w:t> </w:t>
      </w:r>
      <w:r>
        <w:rPr>
          <w:sz w:val="22"/>
        </w:rPr>
        <w:t>months</w:t>
      </w:r>
      <w:r>
        <w:rPr>
          <w:spacing w:val="-2"/>
          <w:sz w:val="22"/>
        </w:rPr>
        <w:t> </w:t>
      </w:r>
      <w:r>
        <w:rPr>
          <w:sz w:val="22"/>
        </w:rPr>
        <w:t>of</w:t>
      </w:r>
      <w:r>
        <w:rPr>
          <w:spacing w:val="-4"/>
          <w:sz w:val="22"/>
        </w:rPr>
        <w:t> </w:t>
      </w:r>
      <w:r>
        <w:rPr>
          <w:sz w:val="22"/>
        </w:rPr>
        <w:t>cash</w:t>
      </w:r>
      <w:r>
        <w:rPr>
          <w:spacing w:val="-3"/>
          <w:sz w:val="22"/>
        </w:rPr>
        <w:t> </w:t>
      </w:r>
      <w:r>
        <w:rPr>
          <w:sz w:val="22"/>
        </w:rPr>
        <w:t>available and equal to Applicant’s projected monthly mortgage payment, including principal, interest, taxes, insurance, and any associated fees.</w:t>
      </w:r>
    </w:p>
    <w:p>
      <w:pPr>
        <w:pStyle w:val="ListParagraph"/>
        <w:numPr>
          <w:ilvl w:val="0"/>
          <w:numId w:val="7"/>
        </w:numPr>
        <w:tabs>
          <w:tab w:pos="841" w:val="left" w:leader="none"/>
        </w:tabs>
        <w:spacing w:line="237" w:lineRule="auto" w:before="5" w:after="0"/>
        <w:ind w:left="840" w:right="155" w:hanging="361"/>
        <w:jc w:val="both"/>
        <w:rPr>
          <w:sz w:val="22"/>
        </w:rPr>
      </w:pPr>
      <w:r>
        <w:rPr>
          <w:sz w:val="22"/>
        </w:rPr>
        <w:t>Applicant(s) must meet the citizenship and/or immigration status guidelines set forth by the Department of Housing and Urban Development (HUD).</w:t>
      </w:r>
    </w:p>
    <w:p>
      <w:pPr>
        <w:pStyle w:val="ListParagraph"/>
        <w:numPr>
          <w:ilvl w:val="0"/>
          <w:numId w:val="7"/>
        </w:numPr>
        <w:tabs>
          <w:tab w:pos="841" w:val="left" w:leader="none"/>
        </w:tabs>
        <w:spacing w:line="240" w:lineRule="auto" w:before="1" w:after="0"/>
        <w:ind w:left="840" w:right="156" w:hanging="361"/>
        <w:jc w:val="both"/>
        <w:rPr>
          <w:sz w:val="22"/>
        </w:rPr>
      </w:pPr>
      <w:r>
        <w:rPr>
          <w:sz w:val="22"/>
        </w:rPr>
        <w:t>City</w:t>
      </w:r>
      <w:r>
        <w:rPr>
          <w:spacing w:val="-9"/>
          <w:sz w:val="22"/>
        </w:rPr>
        <w:t> </w:t>
      </w:r>
      <w:r>
        <w:rPr>
          <w:sz w:val="22"/>
        </w:rPr>
        <w:t>Council</w:t>
      </w:r>
      <w:r>
        <w:rPr>
          <w:spacing w:val="-10"/>
          <w:sz w:val="22"/>
        </w:rPr>
        <w:t> </w:t>
      </w:r>
      <w:r>
        <w:rPr>
          <w:sz w:val="22"/>
        </w:rPr>
        <w:t>members,</w:t>
      </w:r>
      <w:r>
        <w:rPr>
          <w:spacing w:val="-8"/>
          <w:sz w:val="22"/>
        </w:rPr>
        <w:t> </w:t>
      </w:r>
      <w:r>
        <w:rPr>
          <w:sz w:val="22"/>
        </w:rPr>
        <w:t>Department</w:t>
      </w:r>
      <w:r>
        <w:rPr>
          <w:spacing w:val="-10"/>
          <w:sz w:val="22"/>
        </w:rPr>
        <w:t> </w:t>
      </w:r>
      <w:r>
        <w:rPr>
          <w:sz w:val="22"/>
        </w:rPr>
        <w:t>of</w:t>
      </w:r>
      <w:r>
        <w:rPr>
          <w:spacing w:val="-10"/>
          <w:sz w:val="22"/>
        </w:rPr>
        <w:t> </w:t>
      </w:r>
      <w:r>
        <w:rPr>
          <w:sz w:val="22"/>
        </w:rPr>
        <w:t>Housing</w:t>
      </w:r>
      <w:r>
        <w:rPr>
          <w:spacing w:val="-9"/>
          <w:sz w:val="22"/>
        </w:rPr>
        <w:t> </w:t>
      </w:r>
      <w:r>
        <w:rPr>
          <w:sz w:val="22"/>
        </w:rPr>
        <w:t>&amp;</w:t>
      </w:r>
      <w:r>
        <w:rPr>
          <w:spacing w:val="-11"/>
          <w:sz w:val="22"/>
        </w:rPr>
        <w:t> </w:t>
      </w:r>
      <w:r>
        <w:rPr>
          <w:sz w:val="22"/>
        </w:rPr>
        <w:t>Neighborhood</w:t>
      </w:r>
      <w:r>
        <w:rPr>
          <w:spacing w:val="-9"/>
          <w:sz w:val="22"/>
        </w:rPr>
        <w:t> </w:t>
      </w:r>
      <w:r>
        <w:rPr>
          <w:sz w:val="22"/>
        </w:rPr>
        <w:t>Revitalization</w:t>
      </w:r>
      <w:r>
        <w:rPr>
          <w:spacing w:val="-9"/>
          <w:sz w:val="22"/>
        </w:rPr>
        <w:t> </w:t>
      </w:r>
      <w:r>
        <w:rPr>
          <w:sz w:val="22"/>
        </w:rPr>
        <w:t>employees and any employee, official or agent of the City who exercises any policy or program decision-making function in connection with this program are ineligible for assistance under this program. This policy extends for a period of 12 months beyond</w:t>
      </w:r>
      <w:r>
        <w:rPr>
          <w:spacing w:val="-2"/>
          <w:sz w:val="22"/>
        </w:rPr>
        <w:t> </w:t>
      </w:r>
      <w:r>
        <w:rPr>
          <w:sz w:val="22"/>
        </w:rPr>
        <w:t>an individual’s disassociation with the City in such a capacity.</w:t>
      </w:r>
    </w:p>
    <w:p>
      <w:pPr>
        <w:pStyle w:val="ListParagraph"/>
        <w:numPr>
          <w:ilvl w:val="0"/>
          <w:numId w:val="7"/>
        </w:numPr>
        <w:tabs>
          <w:tab w:pos="842" w:val="left" w:leader="none"/>
        </w:tabs>
        <w:spacing w:line="237" w:lineRule="auto" w:before="0" w:after="0"/>
        <w:ind w:left="841" w:right="157" w:hanging="361"/>
        <w:jc w:val="both"/>
        <w:rPr>
          <w:sz w:val="22"/>
        </w:rPr>
      </w:pPr>
      <w:r>
        <w:rPr>
          <w:sz w:val="22"/>
        </w:rPr>
        <w:t>When</w:t>
      </w:r>
      <w:r>
        <w:rPr>
          <w:spacing w:val="-16"/>
          <w:sz w:val="22"/>
        </w:rPr>
        <w:t> </w:t>
      </w:r>
      <w:r>
        <w:rPr>
          <w:sz w:val="22"/>
        </w:rPr>
        <w:t>HOME</w:t>
      </w:r>
      <w:r>
        <w:rPr>
          <w:spacing w:val="-15"/>
          <w:sz w:val="22"/>
        </w:rPr>
        <w:t> </w:t>
      </w:r>
      <w:r>
        <w:rPr>
          <w:sz w:val="22"/>
        </w:rPr>
        <w:t>funds</w:t>
      </w:r>
      <w:r>
        <w:rPr>
          <w:spacing w:val="-15"/>
          <w:sz w:val="22"/>
        </w:rPr>
        <w:t> </w:t>
      </w:r>
      <w:r>
        <w:rPr>
          <w:sz w:val="22"/>
        </w:rPr>
        <w:t>are</w:t>
      </w:r>
      <w:r>
        <w:rPr>
          <w:spacing w:val="-16"/>
          <w:sz w:val="22"/>
        </w:rPr>
        <w:t> </w:t>
      </w:r>
      <w:r>
        <w:rPr>
          <w:sz w:val="22"/>
        </w:rPr>
        <w:t>provided,</w:t>
      </w:r>
      <w:r>
        <w:rPr>
          <w:spacing w:val="-15"/>
          <w:sz w:val="22"/>
        </w:rPr>
        <w:t> </w:t>
      </w:r>
      <w:r>
        <w:rPr>
          <w:sz w:val="22"/>
        </w:rPr>
        <w:t>the</w:t>
      </w:r>
      <w:r>
        <w:rPr>
          <w:spacing w:val="-15"/>
          <w:sz w:val="22"/>
        </w:rPr>
        <w:t> </w:t>
      </w:r>
      <w:r>
        <w:rPr>
          <w:sz w:val="22"/>
        </w:rPr>
        <w:t>Conflict</w:t>
      </w:r>
      <w:r>
        <w:rPr>
          <w:spacing w:val="-13"/>
          <w:sz w:val="22"/>
        </w:rPr>
        <w:t> </w:t>
      </w:r>
      <w:r>
        <w:rPr>
          <w:sz w:val="22"/>
        </w:rPr>
        <w:t>of</w:t>
      </w:r>
      <w:r>
        <w:rPr>
          <w:spacing w:val="-13"/>
          <w:sz w:val="22"/>
        </w:rPr>
        <w:t> </w:t>
      </w:r>
      <w:r>
        <w:rPr>
          <w:sz w:val="22"/>
        </w:rPr>
        <w:t>Interest</w:t>
      </w:r>
      <w:r>
        <w:rPr>
          <w:spacing w:val="-16"/>
          <w:sz w:val="22"/>
        </w:rPr>
        <w:t> </w:t>
      </w:r>
      <w:r>
        <w:rPr>
          <w:sz w:val="22"/>
        </w:rPr>
        <w:t>provisions</w:t>
      </w:r>
      <w:r>
        <w:rPr>
          <w:spacing w:val="-13"/>
          <w:sz w:val="22"/>
        </w:rPr>
        <w:t> </w:t>
      </w:r>
      <w:r>
        <w:rPr>
          <w:sz w:val="22"/>
        </w:rPr>
        <w:t>at</w:t>
      </w:r>
      <w:r>
        <w:rPr>
          <w:spacing w:val="-13"/>
          <w:sz w:val="22"/>
        </w:rPr>
        <w:t> </w:t>
      </w:r>
      <w:r>
        <w:rPr>
          <w:sz w:val="22"/>
        </w:rPr>
        <w:t>24</w:t>
      </w:r>
      <w:r>
        <w:rPr>
          <w:spacing w:val="-16"/>
          <w:sz w:val="22"/>
        </w:rPr>
        <w:t> </w:t>
      </w:r>
      <w:r>
        <w:rPr>
          <w:sz w:val="22"/>
        </w:rPr>
        <w:t>CFR</w:t>
      </w:r>
      <w:r>
        <w:rPr>
          <w:spacing w:val="-14"/>
          <w:sz w:val="22"/>
        </w:rPr>
        <w:t> </w:t>
      </w:r>
      <w:r>
        <w:rPr>
          <w:sz w:val="22"/>
        </w:rPr>
        <w:t>92.356</w:t>
      </w:r>
      <w:r>
        <w:rPr>
          <w:spacing w:val="-15"/>
          <w:sz w:val="22"/>
        </w:rPr>
        <w:t> </w:t>
      </w:r>
      <w:r>
        <w:rPr>
          <w:sz w:val="22"/>
        </w:rPr>
        <w:t>shall be observed.</w:t>
      </w:r>
    </w:p>
    <w:p>
      <w:pPr>
        <w:pStyle w:val="ListParagraph"/>
        <w:numPr>
          <w:ilvl w:val="0"/>
          <w:numId w:val="7"/>
        </w:numPr>
        <w:tabs>
          <w:tab w:pos="842" w:val="left" w:leader="none"/>
        </w:tabs>
        <w:spacing w:line="237" w:lineRule="auto" w:before="4" w:after="0"/>
        <w:ind w:left="841" w:right="157" w:hanging="361"/>
        <w:jc w:val="both"/>
        <w:rPr>
          <w:sz w:val="22"/>
        </w:rPr>
      </w:pPr>
      <w:r>
        <w:rPr>
          <w:sz w:val="22"/>
        </w:rPr>
        <w:t>Property to be purchased must be for the primary residence of Applicant. Applicant must certify that the home is not for sale and will be the primary residence of Applicant.</w:t>
      </w:r>
    </w:p>
    <w:p>
      <w:pPr>
        <w:pStyle w:val="ListParagraph"/>
        <w:numPr>
          <w:ilvl w:val="0"/>
          <w:numId w:val="7"/>
        </w:numPr>
        <w:tabs>
          <w:tab w:pos="842" w:val="left" w:leader="none"/>
        </w:tabs>
        <w:spacing w:line="237" w:lineRule="auto" w:before="3" w:after="0"/>
        <w:ind w:left="841" w:right="153" w:hanging="361"/>
        <w:jc w:val="both"/>
        <w:rPr>
          <w:sz w:val="22"/>
        </w:rPr>
      </w:pPr>
      <w:r>
        <w:rPr>
          <w:sz w:val="22"/>
        </w:rPr>
        <w:t>Applicant must attend an 8-hour homeownership education class from a HUD-certified counseling agency within 12 months of application for assistance.</w:t>
      </w:r>
    </w:p>
    <w:p>
      <w:pPr>
        <w:pStyle w:val="ListParagraph"/>
        <w:numPr>
          <w:ilvl w:val="0"/>
          <w:numId w:val="7"/>
        </w:numPr>
        <w:tabs>
          <w:tab w:pos="842" w:val="left" w:leader="none"/>
        </w:tabs>
        <w:spacing w:line="237" w:lineRule="auto" w:before="3" w:after="0"/>
        <w:ind w:left="841" w:right="155" w:hanging="361"/>
        <w:jc w:val="both"/>
        <w:rPr>
          <w:sz w:val="22"/>
        </w:rPr>
      </w:pPr>
      <w:r>
        <w:rPr>
          <w:sz w:val="22"/>
        </w:rPr>
        <w:t>Applicant must make a minimum initial cash investment of $1,000 toward purchase of </w:t>
      </w:r>
      <w:r>
        <w:rPr>
          <w:spacing w:val="-2"/>
          <w:sz w:val="22"/>
        </w:rPr>
        <w:t>home.</w:t>
      </w:r>
    </w:p>
    <w:p>
      <w:pPr>
        <w:pStyle w:val="ListParagraph"/>
        <w:numPr>
          <w:ilvl w:val="0"/>
          <w:numId w:val="7"/>
        </w:numPr>
        <w:tabs>
          <w:tab w:pos="842" w:val="left" w:leader="none"/>
        </w:tabs>
        <w:spacing w:line="237" w:lineRule="auto" w:before="4" w:after="0"/>
        <w:ind w:left="841" w:right="155" w:hanging="361"/>
        <w:jc w:val="both"/>
        <w:rPr>
          <w:sz w:val="22"/>
        </w:rPr>
      </w:pPr>
      <w:r>
        <w:rPr>
          <w:sz w:val="22"/>
        </w:rPr>
        <w:t>The property must meet federal and local requirements, including but not limited to Minimum Housing Standards, Environmental Review, and international residential code.</w:t>
      </w:r>
    </w:p>
    <w:p>
      <w:pPr>
        <w:pStyle w:val="BodyText"/>
      </w:pPr>
    </w:p>
    <w:p>
      <w:pPr>
        <w:pStyle w:val="Heading5"/>
        <w:ind w:left="121"/>
      </w:pPr>
      <w:r>
        <w:rPr/>
        <w:t>Eligible</w:t>
      </w:r>
      <w:r>
        <w:rPr>
          <w:spacing w:val="-3"/>
        </w:rPr>
        <w:t> </w:t>
      </w:r>
      <w:r>
        <w:rPr>
          <w:spacing w:val="-2"/>
        </w:rPr>
        <w:t>Properties</w:t>
      </w:r>
    </w:p>
    <w:p>
      <w:pPr>
        <w:pStyle w:val="BodyText"/>
        <w:spacing w:before="52"/>
        <w:ind w:left="121" w:right="155"/>
        <w:jc w:val="both"/>
      </w:pPr>
      <w:r>
        <w:rPr/>
        <w:t>The property can be privately or publicly owned prior to</w:t>
      </w:r>
      <w:r>
        <w:rPr>
          <w:spacing w:val="-2"/>
        </w:rPr>
        <w:t> </w:t>
      </w:r>
      <w:r>
        <w:rPr/>
        <w:t>sale to</w:t>
      </w:r>
      <w:r>
        <w:rPr>
          <w:spacing w:val="-2"/>
        </w:rPr>
        <w:t> </w:t>
      </w:r>
      <w:r>
        <w:rPr/>
        <w:t>the Applicant. The property</w:t>
      </w:r>
      <w:r>
        <w:rPr>
          <w:spacing w:val="-1"/>
        </w:rPr>
        <w:t> </w:t>
      </w:r>
      <w:r>
        <w:rPr/>
        <w:t>must be within the Dallas, Texas city limits and meet City building codes, lead based paint requirements,</w:t>
      </w:r>
      <w:r>
        <w:rPr>
          <w:spacing w:val="-8"/>
        </w:rPr>
        <w:t> </w:t>
      </w:r>
      <w:r>
        <w:rPr/>
        <w:t>and</w:t>
      </w:r>
      <w:r>
        <w:rPr>
          <w:spacing w:val="-10"/>
        </w:rPr>
        <w:t> </w:t>
      </w:r>
      <w:r>
        <w:rPr/>
        <w:t>environmental</w:t>
      </w:r>
      <w:r>
        <w:rPr>
          <w:spacing w:val="-10"/>
        </w:rPr>
        <w:t> </w:t>
      </w:r>
      <w:r>
        <w:rPr/>
        <w:t>standards</w:t>
      </w:r>
      <w:r>
        <w:rPr>
          <w:spacing w:val="-9"/>
        </w:rPr>
        <w:t> </w:t>
      </w:r>
      <w:r>
        <w:rPr/>
        <w:t>at</w:t>
      </w:r>
      <w:r>
        <w:rPr>
          <w:spacing w:val="-11"/>
        </w:rPr>
        <w:t> </w:t>
      </w:r>
      <w:r>
        <w:rPr/>
        <w:t>the</w:t>
      </w:r>
      <w:r>
        <w:rPr>
          <w:spacing w:val="-15"/>
        </w:rPr>
        <w:t> </w:t>
      </w:r>
      <w:r>
        <w:rPr/>
        <w:t>time</w:t>
      </w:r>
      <w:r>
        <w:rPr>
          <w:spacing w:val="-10"/>
        </w:rPr>
        <w:t> </w:t>
      </w:r>
      <w:r>
        <w:rPr/>
        <w:t>of</w:t>
      </w:r>
      <w:r>
        <w:rPr>
          <w:spacing w:val="-8"/>
        </w:rPr>
        <w:t> </w:t>
      </w:r>
      <w:r>
        <w:rPr/>
        <w:t>initial</w:t>
      </w:r>
      <w:r>
        <w:rPr>
          <w:spacing w:val="-10"/>
        </w:rPr>
        <w:t> </w:t>
      </w:r>
      <w:r>
        <w:rPr/>
        <w:t>occupancy.</w:t>
      </w:r>
      <w:r>
        <w:rPr>
          <w:spacing w:val="-11"/>
        </w:rPr>
        <w:t> </w:t>
      </w:r>
      <w:r>
        <w:rPr/>
        <w:t>All</w:t>
      </w:r>
      <w:r>
        <w:rPr>
          <w:spacing w:val="-10"/>
        </w:rPr>
        <w:t> </w:t>
      </w:r>
      <w:r>
        <w:rPr/>
        <w:t>liens</w:t>
      </w:r>
      <w:r>
        <w:rPr>
          <w:spacing w:val="-9"/>
        </w:rPr>
        <w:t> </w:t>
      </w:r>
      <w:r>
        <w:rPr/>
        <w:t>must</w:t>
      </w:r>
      <w:r>
        <w:rPr>
          <w:spacing w:val="-8"/>
        </w:rPr>
        <w:t> </w:t>
      </w:r>
      <w:r>
        <w:rPr/>
        <w:t>be</w:t>
      </w:r>
      <w:r>
        <w:rPr>
          <w:spacing w:val="-10"/>
        </w:rPr>
        <w:t> </w:t>
      </w:r>
      <w:r>
        <w:rPr/>
        <w:t>paid off at or before closing.</w:t>
      </w:r>
    </w:p>
    <w:p>
      <w:pPr>
        <w:spacing w:after="0"/>
        <w:jc w:val="both"/>
        <w:sectPr>
          <w:pgSz w:w="12240" w:h="15840"/>
          <w:pgMar w:header="0" w:footer="1738" w:top="1420" w:bottom="1920" w:left="1320" w:right="1280"/>
        </w:sectPr>
      </w:pPr>
    </w:p>
    <w:p>
      <w:pPr>
        <w:pStyle w:val="BodyText"/>
        <w:spacing w:before="80"/>
        <w:ind w:left="120" w:right="159"/>
        <w:jc w:val="both"/>
      </w:pPr>
      <w:r>
        <w:rPr/>
        <w:t>The property must contain adequate living and sleeping space for the Applicant household as verified by the property appraisal, site visit, and/or Dallas Appraisal District Data.</w:t>
      </w:r>
    </w:p>
    <w:p>
      <w:pPr>
        <w:pStyle w:val="BodyText"/>
        <w:spacing w:before="10"/>
        <w:rPr>
          <w:sz w:val="21"/>
        </w:rPr>
      </w:pPr>
    </w:p>
    <w:p>
      <w:pPr>
        <w:pStyle w:val="BodyText"/>
        <w:spacing w:before="1"/>
        <w:ind w:left="120"/>
        <w:jc w:val="both"/>
      </w:pPr>
      <w:r>
        <w:rPr/>
        <w:t>The</w:t>
      </w:r>
      <w:r>
        <w:rPr>
          <w:spacing w:val="-6"/>
        </w:rPr>
        <w:t> </w:t>
      </w:r>
      <w:r>
        <w:rPr/>
        <w:t>property</w:t>
      </w:r>
      <w:r>
        <w:rPr>
          <w:spacing w:val="-5"/>
        </w:rPr>
        <w:t> </w:t>
      </w:r>
      <w:r>
        <w:rPr/>
        <w:t>can</w:t>
      </w:r>
      <w:r>
        <w:rPr>
          <w:spacing w:val="-6"/>
        </w:rPr>
        <w:t> </w:t>
      </w:r>
      <w:r>
        <w:rPr/>
        <w:t>be</w:t>
      </w:r>
      <w:r>
        <w:rPr>
          <w:spacing w:val="-4"/>
        </w:rPr>
        <w:t> </w:t>
      </w:r>
      <w:r>
        <w:rPr/>
        <w:t>an</w:t>
      </w:r>
      <w:r>
        <w:rPr>
          <w:spacing w:val="-8"/>
        </w:rPr>
        <w:t> </w:t>
      </w:r>
      <w:r>
        <w:rPr/>
        <w:t>existing</w:t>
      </w:r>
      <w:r>
        <w:rPr>
          <w:spacing w:val="-4"/>
        </w:rPr>
        <w:t> </w:t>
      </w:r>
      <w:r>
        <w:rPr/>
        <w:t>property,</w:t>
      </w:r>
      <w:r>
        <w:rPr>
          <w:spacing w:val="-2"/>
        </w:rPr>
        <w:t> </w:t>
      </w:r>
      <w:r>
        <w:rPr/>
        <w:t>or</w:t>
      </w:r>
      <w:r>
        <w:rPr>
          <w:spacing w:val="-2"/>
        </w:rPr>
        <w:t> </w:t>
      </w:r>
      <w:r>
        <w:rPr/>
        <w:t>it</w:t>
      </w:r>
      <w:r>
        <w:rPr>
          <w:spacing w:val="-5"/>
        </w:rPr>
        <w:t> </w:t>
      </w:r>
      <w:r>
        <w:rPr/>
        <w:t>may</w:t>
      </w:r>
      <w:r>
        <w:rPr>
          <w:spacing w:val="-3"/>
        </w:rPr>
        <w:t> </w:t>
      </w:r>
      <w:r>
        <w:rPr/>
        <w:t>be</w:t>
      </w:r>
      <w:r>
        <w:rPr>
          <w:spacing w:val="-4"/>
        </w:rPr>
        <w:t> </w:t>
      </w:r>
      <w:r>
        <w:rPr/>
        <w:t>newly</w:t>
      </w:r>
      <w:r>
        <w:rPr>
          <w:spacing w:val="-6"/>
        </w:rPr>
        <w:t> </w:t>
      </w:r>
      <w:r>
        <w:rPr/>
        <w:t>constructed.</w:t>
      </w:r>
      <w:r>
        <w:rPr>
          <w:spacing w:val="-4"/>
        </w:rPr>
        <w:t> </w:t>
      </w:r>
      <w:r>
        <w:rPr/>
        <w:t>The</w:t>
      </w:r>
      <w:r>
        <w:rPr>
          <w:spacing w:val="-4"/>
        </w:rPr>
        <w:t> </w:t>
      </w:r>
      <w:r>
        <w:rPr/>
        <w:t>property</w:t>
      </w:r>
      <w:r>
        <w:rPr>
          <w:spacing w:val="-3"/>
        </w:rPr>
        <w:t> </w:t>
      </w:r>
      <w:r>
        <w:rPr/>
        <w:t>can</w:t>
      </w:r>
      <w:r>
        <w:rPr>
          <w:spacing w:val="-3"/>
        </w:rPr>
        <w:t> </w:t>
      </w:r>
      <w:r>
        <w:rPr>
          <w:spacing w:val="-5"/>
        </w:rPr>
        <w:t>be:</w:t>
      </w:r>
    </w:p>
    <w:p>
      <w:pPr>
        <w:pStyle w:val="BodyText"/>
        <w:spacing w:before="2"/>
      </w:pPr>
    </w:p>
    <w:p>
      <w:pPr>
        <w:pStyle w:val="ListParagraph"/>
        <w:numPr>
          <w:ilvl w:val="0"/>
          <w:numId w:val="7"/>
        </w:numPr>
        <w:tabs>
          <w:tab w:pos="839" w:val="left" w:leader="none"/>
          <w:tab w:pos="841" w:val="left" w:leader="none"/>
        </w:tabs>
        <w:spacing w:line="268" w:lineRule="exact" w:before="0" w:after="0"/>
        <w:ind w:left="840" w:right="0" w:hanging="362"/>
        <w:jc w:val="left"/>
        <w:rPr>
          <w:sz w:val="22"/>
        </w:rPr>
      </w:pPr>
      <w:r>
        <w:rPr>
          <w:sz w:val="22"/>
        </w:rPr>
        <w:t>Single-family</w:t>
      </w:r>
      <w:r>
        <w:rPr>
          <w:spacing w:val="-8"/>
          <w:sz w:val="22"/>
        </w:rPr>
        <w:t> </w:t>
      </w:r>
      <w:r>
        <w:rPr>
          <w:sz w:val="22"/>
        </w:rPr>
        <w:t>property</w:t>
      </w:r>
      <w:r>
        <w:rPr>
          <w:spacing w:val="-8"/>
          <w:sz w:val="22"/>
        </w:rPr>
        <w:t> </w:t>
      </w:r>
      <w:r>
        <w:rPr>
          <w:sz w:val="22"/>
        </w:rPr>
        <w:t>(one</w:t>
      </w:r>
      <w:r>
        <w:rPr>
          <w:spacing w:val="-7"/>
          <w:sz w:val="22"/>
        </w:rPr>
        <w:t> </w:t>
      </w:r>
      <w:r>
        <w:rPr>
          <w:sz w:val="22"/>
        </w:rPr>
        <w:t>unit);</w:t>
      </w:r>
      <w:r>
        <w:rPr>
          <w:spacing w:val="-4"/>
          <w:sz w:val="22"/>
        </w:rPr>
        <w:t> </w:t>
      </w:r>
      <w:r>
        <w:rPr>
          <w:spacing w:val="-5"/>
          <w:sz w:val="22"/>
        </w:rPr>
        <w:t>or</w:t>
      </w:r>
    </w:p>
    <w:p>
      <w:pPr>
        <w:pStyle w:val="ListParagraph"/>
        <w:numPr>
          <w:ilvl w:val="0"/>
          <w:numId w:val="7"/>
        </w:numPr>
        <w:tabs>
          <w:tab w:pos="839" w:val="left" w:leader="none"/>
          <w:tab w:pos="841" w:val="left" w:leader="none"/>
        </w:tabs>
        <w:spacing w:line="268" w:lineRule="exact" w:before="0" w:after="0"/>
        <w:ind w:left="840" w:right="0" w:hanging="362"/>
        <w:jc w:val="left"/>
        <w:rPr>
          <w:sz w:val="22"/>
        </w:rPr>
      </w:pPr>
      <w:r>
        <w:rPr>
          <w:sz w:val="22"/>
        </w:rPr>
        <w:t>Condominium</w:t>
      </w:r>
      <w:r>
        <w:rPr>
          <w:spacing w:val="-6"/>
          <w:sz w:val="22"/>
        </w:rPr>
        <w:t> </w:t>
      </w:r>
      <w:r>
        <w:rPr>
          <w:sz w:val="22"/>
        </w:rPr>
        <w:t>or</w:t>
      </w:r>
      <w:r>
        <w:rPr>
          <w:spacing w:val="-9"/>
          <w:sz w:val="22"/>
        </w:rPr>
        <w:t> </w:t>
      </w:r>
      <w:r>
        <w:rPr>
          <w:sz w:val="22"/>
        </w:rPr>
        <w:t>cooperative</w:t>
      </w:r>
      <w:r>
        <w:rPr>
          <w:spacing w:val="-7"/>
          <w:sz w:val="22"/>
        </w:rPr>
        <w:t> </w:t>
      </w:r>
      <w:r>
        <w:rPr>
          <w:spacing w:val="-4"/>
          <w:sz w:val="22"/>
        </w:rPr>
        <w:t>unit</w:t>
      </w:r>
    </w:p>
    <w:p>
      <w:pPr>
        <w:pStyle w:val="BodyText"/>
        <w:spacing w:before="10"/>
        <w:rPr>
          <w:sz w:val="21"/>
        </w:rPr>
      </w:pPr>
    </w:p>
    <w:p>
      <w:pPr>
        <w:pStyle w:val="BodyText"/>
        <w:ind w:left="120" w:right="155"/>
        <w:jc w:val="both"/>
      </w:pPr>
      <w:r>
        <w:rPr/>
        <w:pict>
          <v:shape style="position:absolute;margin-left:90.065002pt;margin-top:-5.496305pt;width:395.3pt;height:419pt;mso-position-horizontal-relative:page;mso-position-vertical-relative:paragraph;z-index:-17728512" id="docshape37" coordorigin="1801,-110" coordsize="7906,8380" path="m4498,7154l4492,7080,4477,7002,4455,6919,4432,6850,4403,6778,4367,6703,4325,6625,4276,6545,4237,6486,4200,6435,4200,7120,4197,7177,4186,7234,4167,7291,4138,7351,4097,7413,4044,7480,3979,7549,3674,7854,2216,6397,2517,6096,2598,6020,2672,5960,2740,5916,2801,5890,2868,5875,2941,5871,3020,5878,3105,5896,3195,5925,3255,5951,3317,5983,3380,6022,3446,6067,3514,6118,3584,6176,3656,6241,3729,6312,3789,6374,3845,6434,3896,6493,3943,6551,3986,6608,4025,6663,4059,6717,4101,6791,4136,6864,4163,6933,4183,7000,4196,7064,4200,7120,4200,6435,4194,6426,4148,6366,4098,6305,4045,6244,3989,6183,3929,6121,3865,6059,3801,6001,3737,5946,3673,5894,3643,5871,3609,5846,3546,5802,3482,5760,3419,5722,3346,5685,3274,5652,3203,5625,3132,5603,3062,5586,2992,5574,2923,5567,2850,5565,2779,5572,2709,5587,2642,5610,2577,5640,2528,5669,2476,5706,2420,5751,2359,5805,2294,5868,1801,6361,3710,8269,4124,7854,4226,7753,4287,7688,4341,7622,4386,7556,4424,7490,4454,7423,4476,7357,4491,7290,4498,7222,4498,7154xm6418,5561l6056,5433,5650,5290,5561,5261,5475,5237,5393,5218,5365,5213,5314,5204,5239,5194,5193,5192,5143,5195,5089,5202,5030,5213,5073,5143,5109,5074,5136,5004,5154,4936,5164,4867,5165,4799,5157,4731,5139,4653,5111,4577,5075,4502,5030,4430,4976,4359,4956,4336,4913,4290,4872,4252,4872,4809,4868,4865,4854,4920,4830,4976,4794,5035,4747,5096,4687,5159,4280,5566,3649,4935,4102,4482,4166,4425,4229,4382,4293,4353,4358,4337,4422,4336,4501,4351,4577,4381,4649,4426,4718,4485,4761,4533,4797,4584,4827,4637,4851,4694,4867,4752,4872,4809,4872,4252,4849,4231,4782,4178,4713,4133,4641,4094,4566,4062,4474,4034,4386,4021,4303,4023,4225,4039,4163,4064,4098,4100,4030,4149,3958,4208,3883,4279,3248,4914,5157,6822,5346,6633,4499,5785,4718,5566,4753,5532,4783,5505,4810,5484,4833,5469,4863,5456,4896,5445,4932,5437,4971,5433,5014,5433,5066,5438,5125,5449,5194,5465,5256,5482,5328,5503,5407,5528,5496,5557,6180,5799,6418,5561xm7780,4198l7415,4003,6555,3549,6555,3856,6070,4341,6030,4270,5989,4198,5748,3768,5708,3696,5668,3624,5629,3559,5590,3494,5550,3430,5509,3367,5467,3305,5424,3244,5380,3183,5436,3219,5498,3256,5564,3296,5635,3338,5792,3429,6555,3856,6555,3549,5862,3183,5286,2876,5082,3080,5277,3431,5316,3501,5701,4198,6207,5117,6441,5538,6642,5337,6565,5203,6298,4735,6221,4602,6481,4341,6820,4003,7173,4198,7565,4414,7780,4198xm8131,3848l7264,2981,7936,2309,7711,2084,7039,2756,6448,2165,7224,1389,6999,1163,6033,2129,7941,4037,8131,3848xm9707,2272l8024,589,8497,115,8272,-110,7138,1025,7363,1250,7834,778,9517,2461,9707,2272xe" filled="true" fillcolor="#c0c0c0" stroked="false">
            <v:path arrowok="t"/>
            <v:fill opacity="32896f" type="solid"/>
            <w10:wrap type="none"/>
          </v:shape>
        </w:pict>
      </w:r>
      <w:r>
        <w:rPr/>
        <w:t>An</w:t>
      </w:r>
      <w:r>
        <w:rPr>
          <w:spacing w:val="-6"/>
        </w:rPr>
        <w:t> </w:t>
      </w:r>
      <w:r>
        <w:rPr/>
        <w:t>appraisal</w:t>
      </w:r>
      <w:r>
        <w:rPr>
          <w:spacing w:val="-9"/>
        </w:rPr>
        <w:t> </w:t>
      </w:r>
      <w:r>
        <w:rPr/>
        <w:t>is</w:t>
      </w:r>
      <w:r>
        <w:rPr>
          <w:spacing w:val="-8"/>
        </w:rPr>
        <w:t> </w:t>
      </w:r>
      <w:r>
        <w:rPr/>
        <w:t>required</w:t>
      </w:r>
      <w:r>
        <w:rPr>
          <w:spacing w:val="-11"/>
        </w:rPr>
        <w:t> </w:t>
      </w:r>
      <w:r>
        <w:rPr/>
        <w:t>and</w:t>
      </w:r>
      <w:r>
        <w:rPr>
          <w:spacing w:val="-9"/>
        </w:rPr>
        <w:t> </w:t>
      </w:r>
      <w:r>
        <w:rPr/>
        <w:t>may</w:t>
      </w:r>
      <w:r>
        <w:rPr>
          <w:spacing w:val="-8"/>
        </w:rPr>
        <w:t> </w:t>
      </w:r>
      <w:r>
        <w:rPr/>
        <w:t>be</w:t>
      </w:r>
      <w:r>
        <w:rPr>
          <w:spacing w:val="-9"/>
        </w:rPr>
        <w:t> </w:t>
      </w:r>
      <w:r>
        <w:rPr/>
        <w:t>provided</w:t>
      </w:r>
      <w:r>
        <w:rPr>
          <w:spacing w:val="-9"/>
        </w:rPr>
        <w:t> </w:t>
      </w:r>
      <w:r>
        <w:rPr/>
        <w:t>by</w:t>
      </w:r>
      <w:r>
        <w:rPr>
          <w:spacing w:val="-11"/>
        </w:rPr>
        <w:t> </w:t>
      </w:r>
      <w:r>
        <w:rPr/>
        <w:t>the</w:t>
      </w:r>
      <w:r>
        <w:rPr>
          <w:spacing w:val="-9"/>
        </w:rPr>
        <w:t> </w:t>
      </w:r>
      <w:r>
        <w:rPr/>
        <w:t>first</w:t>
      </w:r>
      <w:r>
        <w:rPr>
          <w:spacing w:val="-10"/>
        </w:rPr>
        <w:t> </w:t>
      </w:r>
      <w:r>
        <w:rPr/>
        <w:t>mortgage</w:t>
      </w:r>
      <w:r>
        <w:rPr>
          <w:spacing w:val="-9"/>
        </w:rPr>
        <w:t> </w:t>
      </w:r>
      <w:r>
        <w:rPr/>
        <w:t>lender</w:t>
      </w:r>
      <w:r>
        <w:rPr>
          <w:spacing w:val="-10"/>
        </w:rPr>
        <w:t> </w:t>
      </w:r>
      <w:r>
        <w:rPr/>
        <w:t>or</w:t>
      </w:r>
      <w:r>
        <w:rPr>
          <w:spacing w:val="-5"/>
        </w:rPr>
        <w:t> </w:t>
      </w:r>
      <w:r>
        <w:rPr/>
        <w:t>Applicant.</w:t>
      </w:r>
      <w:r>
        <w:rPr>
          <w:spacing w:val="-7"/>
        </w:rPr>
        <w:t> </w:t>
      </w:r>
      <w:r>
        <w:rPr/>
        <w:t>The</w:t>
      </w:r>
      <w:r>
        <w:rPr>
          <w:spacing w:val="-9"/>
        </w:rPr>
        <w:t> </w:t>
      </w:r>
      <w:r>
        <w:rPr/>
        <w:t>initial purchase price of an assisted property to be acquired for this activity cannot exceed the HOME Value Limit for Dallas. This limit is updated annually. The sale price of an assisted property may not exceed the “Appraised Value”.</w:t>
      </w:r>
    </w:p>
    <w:p>
      <w:pPr>
        <w:pStyle w:val="BodyText"/>
        <w:spacing w:before="11"/>
        <w:rPr>
          <w:sz w:val="21"/>
        </w:rPr>
      </w:pPr>
    </w:p>
    <w:p>
      <w:pPr>
        <w:pStyle w:val="Heading5"/>
      </w:pPr>
      <w:r>
        <w:rPr/>
        <w:t>Affordability</w:t>
      </w:r>
      <w:r>
        <w:rPr>
          <w:spacing w:val="-9"/>
        </w:rPr>
        <w:t> </w:t>
      </w:r>
      <w:r>
        <w:rPr>
          <w:spacing w:val="-2"/>
        </w:rPr>
        <w:t>Periods</w:t>
      </w:r>
    </w:p>
    <w:p>
      <w:pPr>
        <w:pStyle w:val="BodyText"/>
        <w:spacing w:before="50"/>
        <w:ind w:left="120" w:right="158"/>
        <w:jc w:val="both"/>
      </w:pPr>
      <w:r>
        <w:rPr/>
        <w:t>The residence must remain affordable for a certain period of time, which is dependent on the amount of funds invested. The City’s recapture provisions will apply.</w:t>
      </w:r>
    </w:p>
    <w:p>
      <w:pPr>
        <w:pStyle w:val="BodyText"/>
        <w:rPr>
          <w:sz w:val="20"/>
        </w:rPr>
      </w:pPr>
    </w:p>
    <w:p>
      <w:pPr>
        <w:pStyle w:val="BodyText"/>
        <w:spacing w:before="3"/>
        <w:rPr>
          <w:sz w:val="24"/>
        </w:rPr>
      </w:pPr>
    </w:p>
    <w:tbl>
      <w:tblPr>
        <w:tblW w:w="0" w:type="auto"/>
        <w:jc w:val="left"/>
        <w:tblInd w:w="19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875"/>
        <w:gridCol w:w="2791"/>
      </w:tblGrid>
      <w:tr>
        <w:trPr>
          <w:trHeight w:val="292" w:hRule="atLeast"/>
        </w:trPr>
        <w:tc>
          <w:tcPr>
            <w:tcW w:w="2875" w:type="dxa"/>
            <w:shd w:val="clear" w:color="auto" w:fill="16365D"/>
          </w:tcPr>
          <w:p>
            <w:pPr>
              <w:pStyle w:val="TableParagraph"/>
              <w:spacing w:before="14"/>
              <w:ind w:left="208"/>
              <w:jc w:val="left"/>
              <w:rPr>
                <w:b/>
                <w:sz w:val="22"/>
              </w:rPr>
            </w:pPr>
            <w:r>
              <w:rPr>
                <w:b/>
                <w:color w:val="FFFFFF"/>
                <w:sz w:val="22"/>
              </w:rPr>
              <w:t>Amount</w:t>
            </w:r>
            <w:r>
              <w:rPr>
                <w:b/>
                <w:color w:val="FFFFFF"/>
                <w:spacing w:val="-2"/>
                <w:sz w:val="22"/>
              </w:rPr>
              <w:t> </w:t>
            </w:r>
            <w:r>
              <w:rPr>
                <w:b/>
                <w:color w:val="FFFFFF"/>
                <w:sz w:val="22"/>
              </w:rPr>
              <w:t>of</w:t>
            </w:r>
            <w:r>
              <w:rPr>
                <w:b/>
                <w:color w:val="FFFFFF"/>
                <w:spacing w:val="-1"/>
                <w:sz w:val="22"/>
              </w:rPr>
              <w:t> </w:t>
            </w:r>
            <w:r>
              <w:rPr>
                <w:b/>
                <w:color w:val="FFFFFF"/>
                <w:spacing w:val="-2"/>
                <w:sz w:val="22"/>
              </w:rPr>
              <w:t>Funds</w:t>
            </w:r>
          </w:p>
        </w:tc>
        <w:tc>
          <w:tcPr>
            <w:tcW w:w="2791" w:type="dxa"/>
            <w:shd w:val="clear" w:color="auto" w:fill="16365D"/>
          </w:tcPr>
          <w:p>
            <w:pPr>
              <w:pStyle w:val="TableParagraph"/>
              <w:spacing w:before="14"/>
              <w:ind w:left="-3"/>
              <w:jc w:val="left"/>
              <w:rPr>
                <w:b/>
                <w:sz w:val="22"/>
              </w:rPr>
            </w:pPr>
            <w:r>
              <w:rPr>
                <w:b/>
                <w:color w:val="FFFFFF"/>
                <w:sz w:val="22"/>
              </w:rPr>
              <w:t>Required</w:t>
            </w:r>
            <w:r>
              <w:rPr>
                <w:b/>
                <w:color w:val="FFFFFF"/>
                <w:spacing w:val="-8"/>
                <w:sz w:val="22"/>
              </w:rPr>
              <w:t> </w:t>
            </w:r>
            <w:r>
              <w:rPr>
                <w:b/>
                <w:color w:val="FFFFFF"/>
                <w:spacing w:val="-2"/>
                <w:sz w:val="22"/>
              </w:rPr>
              <w:t>Affordability</w:t>
            </w:r>
          </w:p>
        </w:tc>
      </w:tr>
      <w:tr>
        <w:trPr>
          <w:trHeight w:val="292" w:hRule="atLeast"/>
        </w:trPr>
        <w:tc>
          <w:tcPr>
            <w:tcW w:w="2875" w:type="dxa"/>
          </w:tcPr>
          <w:p>
            <w:pPr>
              <w:pStyle w:val="TableParagraph"/>
              <w:spacing w:before="12"/>
              <w:ind w:left="4"/>
              <w:jc w:val="left"/>
              <w:rPr>
                <w:sz w:val="22"/>
              </w:rPr>
            </w:pPr>
            <w:r>
              <w:rPr>
                <w:sz w:val="22"/>
              </w:rPr>
              <w:t>Less</w:t>
            </w:r>
            <w:r>
              <w:rPr>
                <w:spacing w:val="-2"/>
                <w:sz w:val="22"/>
              </w:rPr>
              <w:t> </w:t>
            </w:r>
            <w:r>
              <w:rPr>
                <w:sz w:val="22"/>
              </w:rPr>
              <w:t>than</w:t>
            </w:r>
            <w:r>
              <w:rPr>
                <w:spacing w:val="-3"/>
                <w:sz w:val="22"/>
              </w:rPr>
              <w:t> </w:t>
            </w:r>
            <w:r>
              <w:rPr>
                <w:spacing w:val="-2"/>
                <w:sz w:val="22"/>
              </w:rPr>
              <w:t>$15,000</w:t>
            </w:r>
          </w:p>
        </w:tc>
        <w:tc>
          <w:tcPr>
            <w:tcW w:w="2791" w:type="dxa"/>
          </w:tcPr>
          <w:p>
            <w:pPr>
              <w:pStyle w:val="TableParagraph"/>
              <w:spacing w:before="12"/>
              <w:ind w:left="-3"/>
              <w:jc w:val="left"/>
              <w:rPr>
                <w:sz w:val="22"/>
              </w:rPr>
            </w:pPr>
            <w:r>
              <w:rPr>
                <w:sz w:val="22"/>
              </w:rPr>
              <w:t>5 </w:t>
            </w:r>
            <w:r>
              <w:rPr>
                <w:spacing w:val="-2"/>
                <w:sz w:val="22"/>
              </w:rPr>
              <w:t>Years</w:t>
            </w:r>
          </w:p>
        </w:tc>
      </w:tr>
      <w:tr>
        <w:trPr>
          <w:trHeight w:val="294" w:hRule="atLeast"/>
        </w:trPr>
        <w:tc>
          <w:tcPr>
            <w:tcW w:w="2875" w:type="dxa"/>
          </w:tcPr>
          <w:p>
            <w:pPr>
              <w:pStyle w:val="TableParagraph"/>
              <w:spacing w:before="14"/>
              <w:ind w:left="4"/>
              <w:jc w:val="left"/>
              <w:rPr>
                <w:sz w:val="22"/>
              </w:rPr>
            </w:pPr>
            <w:r>
              <w:rPr>
                <w:sz w:val="22"/>
              </w:rPr>
              <w:t>$15,000</w:t>
            </w:r>
            <w:r>
              <w:rPr>
                <w:spacing w:val="-4"/>
                <w:sz w:val="22"/>
              </w:rPr>
              <w:t> </w:t>
            </w:r>
            <w:r>
              <w:rPr>
                <w:sz w:val="22"/>
              </w:rPr>
              <w:t>to </w:t>
            </w:r>
            <w:r>
              <w:rPr>
                <w:spacing w:val="-2"/>
                <w:sz w:val="22"/>
              </w:rPr>
              <w:t>$40,000</w:t>
            </w:r>
          </w:p>
        </w:tc>
        <w:tc>
          <w:tcPr>
            <w:tcW w:w="2791" w:type="dxa"/>
          </w:tcPr>
          <w:p>
            <w:pPr>
              <w:pStyle w:val="TableParagraph"/>
              <w:spacing w:before="14"/>
              <w:ind w:left="-3"/>
              <w:jc w:val="left"/>
              <w:rPr>
                <w:sz w:val="22"/>
              </w:rPr>
            </w:pPr>
            <w:r>
              <w:rPr>
                <w:sz w:val="22"/>
              </w:rPr>
              <w:t>10</w:t>
            </w:r>
            <w:r>
              <w:rPr>
                <w:spacing w:val="-1"/>
                <w:sz w:val="22"/>
              </w:rPr>
              <w:t> </w:t>
            </w:r>
            <w:r>
              <w:rPr>
                <w:spacing w:val="-2"/>
                <w:sz w:val="22"/>
              </w:rPr>
              <w:t>Years</w:t>
            </w:r>
          </w:p>
        </w:tc>
      </w:tr>
      <w:tr>
        <w:trPr>
          <w:trHeight w:val="292" w:hRule="atLeast"/>
        </w:trPr>
        <w:tc>
          <w:tcPr>
            <w:tcW w:w="2875" w:type="dxa"/>
          </w:tcPr>
          <w:p>
            <w:pPr>
              <w:pStyle w:val="TableParagraph"/>
              <w:spacing w:before="12"/>
              <w:ind w:left="4"/>
              <w:jc w:val="left"/>
              <w:rPr>
                <w:sz w:val="22"/>
              </w:rPr>
            </w:pPr>
            <w:r>
              <w:rPr>
                <w:sz w:val="22"/>
              </w:rPr>
              <w:t>Over</w:t>
            </w:r>
            <w:r>
              <w:rPr>
                <w:spacing w:val="-1"/>
                <w:sz w:val="22"/>
              </w:rPr>
              <w:t> </w:t>
            </w:r>
            <w:r>
              <w:rPr>
                <w:spacing w:val="-2"/>
                <w:sz w:val="22"/>
              </w:rPr>
              <w:t>$40,000</w:t>
            </w:r>
          </w:p>
        </w:tc>
        <w:tc>
          <w:tcPr>
            <w:tcW w:w="2791" w:type="dxa"/>
          </w:tcPr>
          <w:p>
            <w:pPr>
              <w:pStyle w:val="TableParagraph"/>
              <w:spacing w:before="12"/>
              <w:ind w:left="-3"/>
              <w:jc w:val="left"/>
              <w:rPr>
                <w:sz w:val="22"/>
              </w:rPr>
            </w:pPr>
            <w:r>
              <w:rPr>
                <w:sz w:val="22"/>
              </w:rPr>
              <w:t>15</w:t>
            </w:r>
            <w:r>
              <w:rPr>
                <w:spacing w:val="-1"/>
                <w:sz w:val="22"/>
              </w:rPr>
              <w:t> </w:t>
            </w:r>
            <w:r>
              <w:rPr>
                <w:spacing w:val="-2"/>
                <w:sz w:val="22"/>
              </w:rPr>
              <w:t>Years</w:t>
            </w:r>
          </w:p>
        </w:tc>
      </w:tr>
    </w:tbl>
    <w:p>
      <w:pPr>
        <w:pStyle w:val="BodyText"/>
        <w:spacing w:before="10"/>
        <w:rPr>
          <w:sz w:val="13"/>
        </w:rPr>
      </w:pPr>
    </w:p>
    <w:p>
      <w:pPr>
        <w:pStyle w:val="Heading5"/>
        <w:spacing w:before="94"/>
      </w:pPr>
      <w:r>
        <w:rPr/>
        <w:t>Eligible</w:t>
      </w:r>
      <w:r>
        <w:rPr>
          <w:spacing w:val="-5"/>
        </w:rPr>
        <w:t> </w:t>
      </w:r>
      <w:r>
        <w:rPr>
          <w:spacing w:val="-2"/>
        </w:rPr>
        <w:t>Expenses</w:t>
      </w:r>
    </w:p>
    <w:p>
      <w:pPr>
        <w:pStyle w:val="BodyText"/>
        <w:spacing w:before="52"/>
        <w:ind w:left="120" w:right="160"/>
        <w:jc w:val="both"/>
      </w:pPr>
      <w:r>
        <w:rPr/>
        <w:t>Eligible</w:t>
      </w:r>
      <w:r>
        <w:rPr>
          <w:spacing w:val="-1"/>
        </w:rPr>
        <w:t> </w:t>
      </w:r>
      <w:r>
        <w:rPr/>
        <w:t>expenses</w:t>
      </w:r>
      <w:r>
        <w:rPr>
          <w:spacing w:val="-2"/>
        </w:rPr>
        <w:t> </w:t>
      </w:r>
      <w:r>
        <w:rPr/>
        <w:t>may</w:t>
      </w:r>
      <w:r>
        <w:rPr>
          <w:spacing w:val="-1"/>
        </w:rPr>
        <w:t> </w:t>
      </w:r>
      <w:r>
        <w:rPr/>
        <w:t>include</w:t>
      </w:r>
      <w:r>
        <w:rPr>
          <w:spacing w:val="-1"/>
        </w:rPr>
        <w:t> </w:t>
      </w:r>
      <w:r>
        <w:rPr/>
        <w:t>principle</w:t>
      </w:r>
      <w:r>
        <w:rPr>
          <w:spacing w:val="-1"/>
        </w:rPr>
        <w:t> </w:t>
      </w:r>
      <w:r>
        <w:rPr/>
        <w:t>reduction,</w:t>
      </w:r>
      <w:r>
        <w:rPr>
          <w:spacing w:val="-2"/>
        </w:rPr>
        <w:t> </w:t>
      </w:r>
      <w:r>
        <w:rPr/>
        <w:t>down</w:t>
      </w:r>
      <w:r>
        <w:rPr>
          <w:spacing w:val="-1"/>
        </w:rPr>
        <w:t> </w:t>
      </w:r>
      <w:r>
        <w:rPr/>
        <w:t>payment</w:t>
      </w:r>
      <w:r>
        <w:rPr>
          <w:spacing w:val="-2"/>
        </w:rPr>
        <w:t> </w:t>
      </w:r>
      <w:r>
        <w:rPr/>
        <w:t>and</w:t>
      </w:r>
      <w:r>
        <w:rPr>
          <w:spacing w:val="-1"/>
        </w:rPr>
        <w:t> </w:t>
      </w:r>
      <w:r>
        <w:rPr/>
        <w:t>closing</w:t>
      </w:r>
      <w:r>
        <w:rPr>
          <w:spacing w:val="-1"/>
        </w:rPr>
        <w:t> </w:t>
      </w:r>
      <w:r>
        <w:rPr/>
        <w:t>cost</w:t>
      </w:r>
      <w:r>
        <w:rPr>
          <w:spacing w:val="-2"/>
        </w:rPr>
        <w:t> </w:t>
      </w:r>
      <w:r>
        <w:rPr/>
        <w:t>assistance.</w:t>
      </w:r>
      <w:r>
        <w:rPr>
          <w:spacing w:val="-2"/>
        </w:rPr>
        <w:t> </w:t>
      </w:r>
      <w:r>
        <w:rPr/>
        <w:t>If the</w:t>
      </w:r>
      <w:r>
        <w:rPr>
          <w:spacing w:val="-2"/>
        </w:rPr>
        <w:t> </w:t>
      </w:r>
      <w:r>
        <w:rPr/>
        <w:t>house</w:t>
      </w:r>
      <w:r>
        <w:rPr>
          <w:spacing w:val="-2"/>
        </w:rPr>
        <w:t> </w:t>
      </w:r>
      <w:r>
        <w:rPr/>
        <w:t>is</w:t>
      </w:r>
      <w:r>
        <w:rPr>
          <w:spacing w:val="-1"/>
        </w:rPr>
        <w:t> </w:t>
      </w:r>
      <w:r>
        <w:rPr/>
        <w:t>sold</w:t>
      </w:r>
      <w:r>
        <w:rPr>
          <w:spacing w:val="-2"/>
        </w:rPr>
        <w:t> </w:t>
      </w:r>
      <w:r>
        <w:rPr/>
        <w:t>before</w:t>
      </w:r>
      <w:r>
        <w:rPr>
          <w:spacing w:val="-4"/>
        </w:rPr>
        <w:t> </w:t>
      </w:r>
      <w:r>
        <w:rPr/>
        <w:t>the</w:t>
      </w:r>
      <w:r>
        <w:rPr>
          <w:spacing w:val="-2"/>
        </w:rPr>
        <w:t> </w:t>
      </w:r>
      <w:r>
        <w:rPr/>
        <w:t>required</w:t>
      </w:r>
      <w:r>
        <w:rPr>
          <w:spacing w:val="-2"/>
        </w:rPr>
        <w:t> </w:t>
      </w:r>
      <w:r>
        <w:rPr/>
        <w:t>affordability</w:t>
      </w:r>
      <w:r>
        <w:rPr>
          <w:spacing w:val="-4"/>
        </w:rPr>
        <w:t> </w:t>
      </w:r>
      <w:r>
        <w:rPr/>
        <w:t>period</w:t>
      </w:r>
      <w:r>
        <w:rPr>
          <w:spacing w:val="-2"/>
        </w:rPr>
        <w:t> </w:t>
      </w:r>
      <w:r>
        <w:rPr/>
        <w:t>has</w:t>
      </w:r>
      <w:r>
        <w:rPr>
          <w:spacing w:val="-1"/>
        </w:rPr>
        <w:t> </w:t>
      </w:r>
      <w:r>
        <w:rPr/>
        <w:t>elapsed, the</w:t>
      </w:r>
      <w:r>
        <w:rPr>
          <w:spacing w:val="-4"/>
        </w:rPr>
        <w:t> </w:t>
      </w:r>
      <w:r>
        <w:rPr/>
        <w:t>assistance</w:t>
      </w:r>
      <w:r>
        <w:rPr>
          <w:spacing w:val="-2"/>
        </w:rPr>
        <w:t> </w:t>
      </w:r>
      <w:r>
        <w:rPr/>
        <w:t>funds</w:t>
      </w:r>
      <w:r>
        <w:rPr>
          <w:spacing w:val="-1"/>
        </w:rPr>
        <w:t> </w:t>
      </w:r>
      <w:r>
        <w:rPr/>
        <w:t>must be recaptured on a pro-rated basis.</w:t>
      </w:r>
    </w:p>
    <w:p>
      <w:pPr>
        <w:pStyle w:val="BodyText"/>
        <w:spacing w:before="9"/>
        <w:rPr>
          <w:sz w:val="21"/>
        </w:rPr>
      </w:pPr>
    </w:p>
    <w:p>
      <w:pPr>
        <w:pStyle w:val="Heading5"/>
      </w:pPr>
      <w:r>
        <w:rPr/>
        <w:t>Terms</w:t>
      </w:r>
      <w:r>
        <w:rPr>
          <w:spacing w:val="-3"/>
        </w:rPr>
        <w:t> </w:t>
      </w:r>
      <w:r>
        <w:rPr/>
        <w:t>of</w:t>
      </w:r>
      <w:r>
        <w:rPr>
          <w:spacing w:val="-3"/>
        </w:rPr>
        <w:t> </w:t>
      </w:r>
      <w:r>
        <w:rPr>
          <w:spacing w:val="-2"/>
        </w:rPr>
        <w:t>Assistance</w:t>
      </w:r>
    </w:p>
    <w:p>
      <w:pPr>
        <w:pStyle w:val="ListParagraph"/>
        <w:numPr>
          <w:ilvl w:val="0"/>
          <w:numId w:val="7"/>
        </w:numPr>
        <w:tabs>
          <w:tab w:pos="841" w:val="left" w:leader="none"/>
        </w:tabs>
        <w:spacing w:line="240" w:lineRule="auto" w:before="52" w:after="0"/>
        <w:ind w:left="840" w:right="157" w:hanging="361"/>
        <w:jc w:val="both"/>
        <w:rPr>
          <w:sz w:val="22"/>
        </w:rPr>
      </w:pPr>
      <w:r>
        <w:rPr>
          <w:sz w:val="22"/>
        </w:rPr>
        <w:t>The assistance for</w:t>
      </w:r>
      <w:r>
        <w:rPr>
          <w:spacing w:val="-1"/>
          <w:sz w:val="22"/>
        </w:rPr>
        <w:t> </w:t>
      </w:r>
      <w:r>
        <w:rPr>
          <w:sz w:val="22"/>
        </w:rPr>
        <w:t>the Dallas Homebuyer Assistance Program will be offered in the form of</w:t>
      </w:r>
      <w:r>
        <w:rPr>
          <w:spacing w:val="-8"/>
          <w:sz w:val="22"/>
        </w:rPr>
        <w:t> </w:t>
      </w:r>
      <w:r>
        <w:rPr>
          <w:sz w:val="22"/>
        </w:rPr>
        <w:t>a</w:t>
      </w:r>
      <w:r>
        <w:rPr>
          <w:spacing w:val="-10"/>
          <w:sz w:val="22"/>
        </w:rPr>
        <w:t> </w:t>
      </w:r>
      <w:r>
        <w:rPr>
          <w:sz w:val="22"/>
        </w:rPr>
        <w:t>deferred,</w:t>
      </w:r>
      <w:r>
        <w:rPr>
          <w:spacing w:val="-8"/>
          <w:sz w:val="22"/>
        </w:rPr>
        <w:t> </w:t>
      </w:r>
      <w:r>
        <w:rPr>
          <w:sz w:val="22"/>
        </w:rPr>
        <w:t>forgivable</w:t>
      </w:r>
      <w:r>
        <w:rPr>
          <w:spacing w:val="-10"/>
          <w:sz w:val="22"/>
        </w:rPr>
        <w:t> </w:t>
      </w:r>
      <w:r>
        <w:rPr>
          <w:sz w:val="22"/>
        </w:rPr>
        <w:t>loan,</w:t>
      </w:r>
      <w:r>
        <w:rPr>
          <w:spacing w:val="-8"/>
          <w:sz w:val="22"/>
        </w:rPr>
        <w:t> </w:t>
      </w:r>
      <w:r>
        <w:rPr>
          <w:sz w:val="22"/>
        </w:rPr>
        <w:t>which</w:t>
      </w:r>
      <w:r>
        <w:rPr>
          <w:spacing w:val="-10"/>
          <w:sz w:val="22"/>
        </w:rPr>
        <w:t> </w:t>
      </w:r>
      <w:r>
        <w:rPr>
          <w:sz w:val="22"/>
        </w:rPr>
        <w:t>shall</w:t>
      </w:r>
      <w:r>
        <w:rPr>
          <w:spacing w:val="-10"/>
          <w:sz w:val="22"/>
        </w:rPr>
        <w:t> </w:t>
      </w:r>
      <w:r>
        <w:rPr>
          <w:sz w:val="22"/>
        </w:rPr>
        <w:t>be</w:t>
      </w:r>
      <w:r>
        <w:rPr>
          <w:spacing w:val="-10"/>
          <w:sz w:val="22"/>
        </w:rPr>
        <w:t> </w:t>
      </w:r>
      <w:r>
        <w:rPr>
          <w:sz w:val="22"/>
        </w:rPr>
        <w:t>forgivable</w:t>
      </w:r>
      <w:r>
        <w:rPr>
          <w:spacing w:val="-10"/>
          <w:sz w:val="22"/>
        </w:rPr>
        <w:t> </w:t>
      </w:r>
      <w:r>
        <w:rPr>
          <w:sz w:val="22"/>
        </w:rPr>
        <w:t>annually</w:t>
      </w:r>
      <w:r>
        <w:rPr>
          <w:spacing w:val="-9"/>
          <w:sz w:val="22"/>
        </w:rPr>
        <w:t> </w:t>
      </w:r>
      <w:r>
        <w:rPr>
          <w:sz w:val="22"/>
        </w:rPr>
        <w:t>based</w:t>
      </w:r>
      <w:r>
        <w:rPr>
          <w:spacing w:val="-10"/>
          <w:sz w:val="22"/>
        </w:rPr>
        <w:t> </w:t>
      </w:r>
      <w:r>
        <w:rPr>
          <w:sz w:val="22"/>
        </w:rPr>
        <w:t>on</w:t>
      </w:r>
      <w:r>
        <w:rPr>
          <w:spacing w:val="-10"/>
          <w:sz w:val="22"/>
        </w:rPr>
        <w:t> </w:t>
      </w:r>
      <w:r>
        <w:rPr>
          <w:sz w:val="22"/>
        </w:rPr>
        <w:t>the</w:t>
      </w:r>
      <w:r>
        <w:rPr>
          <w:spacing w:val="-10"/>
          <w:sz w:val="22"/>
        </w:rPr>
        <w:t> </w:t>
      </w:r>
      <w:r>
        <w:rPr>
          <w:sz w:val="22"/>
        </w:rPr>
        <w:t>affordability period, subject to the terms of the contract.</w:t>
      </w:r>
    </w:p>
    <w:p>
      <w:pPr>
        <w:pStyle w:val="ListParagraph"/>
        <w:numPr>
          <w:ilvl w:val="0"/>
          <w:numId w:val="7"/>
        </w:numPr>
        <w:tabs>
          <w:tab w:pos="841" w:val="left" w:leader="none"/>
        </w:tabs>
        <w:spacing w:line="237" w:lineRule="auto" w:before="1" w:after="0"/>
        <w:ind w:left="840" w:right="158" w:hanging="361"/>
        <w:jc w:val="both"/>
        <w:rPr>
          <w:sz w:val="22"/>
        </w:rPr>
      </w:pPr>
      <w:r>
        <w:rPr>
          <w:sz w:val="22"/>
        </w:rPr>
        <w:t>In the event of any of the following occurring prior to the completion of the affordability period the balance is payable immediately on a pro-rated basis.</w:t>
      </w:r>
    </w:p>
    <w:p>
      <w:pPr>
        <w:pStyle w:val="ListParagraph"/>
        <w:numPr>
          <w:ilvl w:val="1"/>
          <w:numId w:val="7"/>
        </w:numPr>
        <w:tabs>
          <w:tab w:pos="1561" w:val="left" w:leader="none"/>
        </w:tabs>
        <w:spacing w:line="240" w:lineRule="auto" w:before="0" w:after="0"/>
        <w:ind w:left="1560" w:right="155" w:hanging="360"/>
        <w:jc w:val="both"/>
        <w:rPr>
          <w:sz w:val="22"/>
        </w:rPr>
      </w:pPr>
      <w:r>
        <w:rPr>
          <w:sz w:val="22"/>
        </w:rPr>
        <w:t>The</w:t>
      </w:r>
      <w:r>
        <w:rPr>
          <w:spacing w:val="-8"/>
          <w:sz w:val="22"/>
        </w:rPr>
        <w:t> </w:t>
      </w:r>
      <w:r>
        <w:rPr>
          <w:sz w:val="22"/>
        </w:rPr>
        <w:t>sale,</w:t>
      </w:r>
      <w:r>
        <w:rPr>
          <w:spacing w:val="-12"/>
          <w:sz w:val="22"/>
        </w:rPr>
        <w:t> </w:t>
      </w:r>
      <w:r>
        <w:rPr>
          <w:sz w:val="22"/>
        </w:rPr>
        <w:t>conveyance,</w:t>
      </w:r>
      <w:r>
        <w:rPr>
          <w:spacing w:val="-9"/>
          <w:sz w:val="22"/>
        </w:rPr>
        <w:t> </w:t>
      </w:r>
      <w:r>
        <w:rPr>
          <w:sz w:val="22"/>
        </w:rPr>
        <w:t>transfer,</w:t>
      </w:r>
      <w:r>
        <w:rPr>
          <w:spacing w:val="-9"/>
          <w:sz w:val="22"/>
        </w:rPr>
        <w:t> </w:t>
      </w:r>
      <w:r>
        <w:rPr>
          <w:sz w:val="22"/>
        </w:rPr>
        <w:t>lease,</w:t>
      </w:r>
      <w:r>
        <w:rPr>
          <w:spacing w:val="-12"/>
          <w:sz w:val="22"/>
        </w:rPr>
        <w:t> </w:t>
      </w:r>
      <w:r>
        <w:rPr>
          <w:sz w:val="22"/>
        </w:rPr>
        <w:t>rental,</w:t>
      </w:r>
      <w:r>
        <w:rPr>
          <w:spacing w:val="-9"/>
          <w:sz w:val="22"/>
        </w:rPr>
        <w:t> </w:t>
      </w:r>
      <w:r>
        <w:rPr>
          <w:sz w:val="22"/>
        </w:rPr>
        <w:t>hypothecation</w:t>
      </w:r>
      <w:r>
        <w:rPr>
          <w:spacing w:val="-11"/>
          <w:sz w:val="22"/>
        </w:rPr>
        <w:t> </w:t>
      </w:r>
      <w:r>
        <w:rPr>
          <w:sz w:val="22"/>
        </w:rPr>
        <w:t>of</w:t>
      </w:r>
      <w:r>
        <w:rPr>
          <w:spacing w:val="-9"/>
          <w:sz w:val="22"/>
        </w:rPr>
        <w:t> </w:t>
      </w:r>
      <w:r>
        <w:rPr>
          <w:sz w:val="22"/>
        </w:rPr>
        <w:t>the</w:t>
      </w:r>
      <w:r>
        <w:rPr>
          <w:spacing w:val="-11"/>
          <w:sz w:val="22"/>
        </w:rPr>
        <w:t> </w:t>
      </w:r>
      <w:r>
        <w:rPr>
          <w:sz w:val="22"/>
        </w:rPr>
        <w:t>security,</w:t>
      </w:r>
      <w:r>
        <w:rPr>
          <w:spacing w:val="-9"/>
          <w:sz w:val="22"/>
        </w:rPr>
        <w:t> </w:t>
      </w:r>
      <w:r>
        <w:rPr>
          <w:sz w:val="22"/>
        </w:rPr>
        <w:t>or</w:t>
      </w:r>
      <w:r>
        <w:rPr>
          <w:spacing w:val="-10"/>
          <w:sz w:val="22"/>
        </w:rPr>
        <w:t> </w:t>
      </w:r>
      <w:r>
        <w:rPr>
          <w:sz w:val="22"/>
        </w:rPr>
        <w:t>any part</w:t>
      </w:r>
      <w:r>
        <w:rPr>
          <w:spacing w:val="-2"/>
          <w:sz w:val="22"/>
        </w:rPr>
        <w:t> </w:t>
      </w:r>
      <w:r>
        <w:rPr>
          <w:sz w:val="22"/>
        </w:rPr>
        <w:t>thereof, or any</w:t>
      </w:r>
      <w:r>
        <w:rPr>
          <w:spacing w:val="-1"/>
          <w:sz w:val="22"/>
        </w:rPr>
        <w:t> </w:t>
      </w:r>
      <w:r>
        <w:rPr>
          <w:sz w:val="22"/>
        </w:rPr>
        <w:t>interest</w:t>
      </w:r>
      <w:r>
        <w:rPr>
          <w:spacing w:val="-2"/>
          <w:sz w:val="22"/>
        </w:rPr>
        <w:t> </w:t>
      </w:r>
      <w:r>
        <w:rPr>
          <w:sz w:val="22"/>
        </w:rPr>
        <w:t>therein,</w:t>
      </w:r>
      <w:r>
        <w:rPr>
          <w:spacing w:val="-2"/>
          <w:sz w:val="22"/>
        </w:rPr>
        <w:t> </w:t>
      </w:r>
      <w:r>
        <w:rPr>
          <w:sz w:val="22"/>
        </w:rPr>
        <w:t>or divestment of</w:t>
      </w:r>
      <w:r>
        <w:rPr>
          <w:spacing w:val="-2"/>
          <w:sz w:val="22"/>
        </w:rPr>
        <w:t> </w:t>
      </w:r>
      <w:r>
        <w:rPr>
          <w:sz w:val="22"/>
        </w:rPr>
        <w:t>title</w:t>
      </w:r>
      <w:r>
        <w:rPr>
          <w:spacing w:val="-1"/>
          <w:sz w:val="22"/>
        </w:rPr>
        <w:t> </w:t>
      </w:r>
      <w:r>
        <w:rPr>
          <w:sz w:val="22"/>
        </w:rPr>
        <w:t>or any</w:t>
      </w:r>
      <w:r>
        <w:rPr>
          <w:spacing w:val="-3"/>
          <w:sz w:val="22"/>
        </w:rPr>
        <w:t> </w:t>
      </w:r>
      <w:r>
        <w:rPr>
          <w:sz w:val="22"/>
        </w:rPr>
        <w:t>interest</w:t>
      </w:r>
      <w:r>
        <w:rPr>
          <w:spacing w:val="-2"/>
          <w:sz w:val="22"/>
        </w:rPr>
        <w:t> </w:t>
      </w:r>
      <w:r>
        <w:rPr>
          <w:sz w:val="22"/>
        </w:rPr>
        <w:t>therein in any manner or way, whether voluntarily or involuntarily, without the prior written consent of the City being first had and obtained; or</w:t>
      </w:r>
    </w:p>
    <w:p>
      <w:pPr>
        <w:pStyle w:val="ListParagraph"/>
        <w:numPr>
          <w:ilvl w:val="1"/>
          <w:numId w:val="7"/>
        </w:numPr>
        <w:tabs>
          <w:tab w:pos="1561" w:val="left" w:leader="none"/>
        </w:tabs>
        <w:spacing w:line="252" w:lineRule="exact" w:before="0" w:after="0"/>
        <w:ind w:left="1560" w:right="0" w:hanging="361"/>
        <w:jc w:val="both"/>
        <w:rPr>
          <w:sz w:val="22"/>
        </w:rPr>
      </w:pPr>
      <w:r>
        <w:rPr>
          <w:sz w:val="22"/>
        </w:rPr>
        <w:t>Failure</w:t>
      </w:r>
      <w:r>
        <w:rPr>
          <w:spacing w:val="-6"/>
          <w:sz w:val="22"/>
        </w:rPr>
        <w:t> </w:t>
      </w:r>
      <w:r>
        <w:rPr>
          <w:sz w:val="22"/>
        </w:rPr>
        <w:t>to</w:t>
      </w:r>
      <w:r>
        <w:rPr>
          <w:spacing w:val="-3"/>
          <w:sz w:val="22"/>
        </w:rPr>
        <w:t> </w:t>
      </w:r>
      <w:r>
        <w:rPr>
          <w:sz w:val="22"/>
        </w:rPr>
        <w:t>adhere</w:t>
      </w:r>
      <w:r>
        <w:rPr>
          <w:spacing w:val="-5"/>
          <w:sz w:val="22"/>
        </w:rPr>
        <w:t> </w:t>
      </w:r>
      <w:r>
        <w:rPr>
          <w:sz w:val="22"/>
        </w:rPr>
        <w:t>to</w:t>
      </w:r>
      <w:r>
        <w:rPr>
          <w:spacing w:val="-5"/>
          <w:sz w:val="22"/>
        </w:rPr>
        <w:t> </w:t>
      </w:r>
      <w:r>
        <w:rPr>
          <w:sz w:val="22"/>
        </w:rPr>
        <w:t>the</w:t>
      </w:r>
      <w:r>
        <w:rPr>
          <w:spacing w:val="-7"/>
          <w:sz w:val="22"/>
        </w:rPr>
        <w:t> </w:t>
      </w:r>
      <w:r>
        <w:rPr>
          <w:sz w:val="22"/>
        </w:rPr>
        <w:t>provisions</w:t>
      </w:r>
      <w:r>
        <w:rPr>
          <w:spacing w:val="-3"/>
          <w:sz w:val="22"/>
        </w:rPr>
        <w:t> </w:t>
      </w:r>
      <w:r>
        <w:rPr>
          <w:sz w:val="22"/>
        </w:rPr>
        <w:t>of</w:t>
      </w:r>
      <w:r>
        <w:rPr>
          <w:spacing w:val="-4"/>
          <w:sz w:val="22"/>
        </w:rPr>
        <w:t> </w:t>
      </w:r>
      <w:r>
        <w:rPr>
          <w:sz w:val="22"/>
        </w:rPr>
        <w:t>the</w:t>
      </w:r>
      <w:r>
        <w:rPr>
          <w:spacing w:val="-5"/>
          <w:sz w:val="22"/>
        </w:rPr>
        <w:t> </w:t>
      </w:r>
      <w:r>
        <w:rPr>
          <w:sz w:val="22"/>
        </w:rPr>
        <w:t>contract;</w:t>
      </w:r>
      <w:r>
        <w:rPr>
          <w:spacing w:val="-1"/>
          <w:sz w:val="22"/>
        </w:rPr>
        <w:t> </w:t>
      </w:r>
      <w:r>
        <w:rPr>
          <w:spacing w:val="-5"/>
          <w:sz w:val="22"/>
        </w:rPr>
        <w:t>or</w:t>
      </w:r>
    </w:p>
    <w:p>
      <w:pPr>
        <w:pStyle w:val="ListParagraph"/>
        <w:numPr>
          <w:ilvl w:val="1"/>
          <w:numId w:val="7"/>
        </w:numPr>
        <w:tabs>
          <w:tab w:pos="1561" w:val="left" w:leader="none"/>
        </w:tabs>
        <w:spacing w:line="240" w:lineRule="auto" w:before="0" w:after="0"/>
        <w:ind w:left="1560" w:right="156" w:hanging="360"/>
        <w:jc w:val="both"/>
        <w:rPr>
          <w:sz w:val="22"/>
        </w:rPr>
      </w:pPr>
      <w:r>
        <w:rPr>
          <w:sz w:val="22"/>
        </w:rPr>
        <w:t>Failure</w:t>
      </w:r>
      <w:r>
        <w:rPr>
          <w:spacing w:val="-4"/>
          <w:sz w:val="22"/>
        </w:rPr>
        <w:t> </w:t>
      </w:r>
      <w:r>
        <w:rPr>
          <w:sz w:val="22"/>
        </w:rPr>
        <w:t>to</w:t>
      </w:r>
      <w:r>
        <w:rPr>
          <w:spacing w:val="-4"/>
          <w:sz w:val="22"/>
        </w:rPr>
        <w:t> </w:t>
      </w:r>
      <w:r>
        <w:rPr>
          <w:sz w:val="22"/>
        </w:rPr>
        <w:t>adhere</w:t>
      </w:r>
      <w:r>
        <w:rPr>
          <w:spacing w:val="-7"/>
          <w:sz w:val="22"/>
        </w:rPr>
        <w:t> </w:t>
      </w:r>
      <w:r>
        <w:rPr>
          <w:sz w:val="22"/>
        </w:rPr>
        <w:t>to</w:t>
      </w:r>
      <w:r>
        <w:rPr>
          <w:spacing w:val="-4"/>
          <w:sz w:val="22"/>
        </w:rPr>
        <w:t> </w:t>
      </w:r>
      <w:r>
        <w:rPr>
          <w:sz w:val="22"/>
        </w:rPr>
        <w:t>the</w:t>
      </w:r>
      <w:r>
        <w:rPr>
          <w:spacing w:val="-4"/>
          <w:sz w:val="22"/>
        </w:rPr>
        <w:t> </w:t>
      </w:r>
      <w:r>
        <w:rPr>
          <w:sz w:val="22"/>
        </w:rPr>
        <w:t>provisions</w:t>
      </w:r>
      <w:r>
        <w:rPr>
          <w:spacing w:val="-4"/>
          <w:sz w:val="22"/>
        </w:rPr>
        <w:t> </w:t>
      </w:r>
      <w:r>
        <w:rPr>
          <w:sz w:val="22"/>
        </w:rPr>
        <w:t>under</w:t>
      </w:r>
      <w:r>
        <w:rPr>
          <w:spacing w:val="-3"/>
          <w:sz w:val="22"/>
        </w:rPr>
        <w:t> </w:t>
      </w:r>
      <w:r>
        <w:rPr>
          <w:sz w:val="22"/>
        </w:rPr>
        <w:t>the</w:t>
      </w:r>
      <w:r>
        <w:rPr>
          <w:spacing w:val="-6"/>
          <w:sz w:val="22"/>
        </w:rPr>
        <w:t> </w:t>
      </w:r>
      <w:r>
        <w:rPr>
          <w:sz w:val="22"/>
        </w:rPr>
        <w:t>City’s</w:t>
      </w:r>
      <w:r>
        <w:rPr>
          <w:spacing w:val="-4"/>
          <w:sz w:val="22"/>
        </w:rPr>
        <w:t> </w:t>
      </w:r>
      <w:r>
        <w:rPr>
          <w:sz w:val="22"/>
        </w:rPr>
        <w:t>deed</w:t>
      </w:r>
      <w:r>
        <w:rPr>
          <w:spacing w:val="-4"/>
          <w:sz w:val="22"/>
        </w:rPr>
        <w:t> </w:t>
      </w:r>
      <w:r>
        <w:rPr>
          <w:sz w:val="22"/>
        </w:rPr>
        <w:t>restrictions,</w:t>
      </w:r>
      <w:r>
        <w:rPr>
          <w:spacing w:val="-3"/>
          <w:sz w:val="22"/>
        </w:rPr>
        <w:t> </w:t>
      </w:r>
      <w:r>
        <w:rPr>
          <w:sz w:val="22"/>
        </w:rPr>
        <w:t>deed</w:t>
      </w:r>
      <w:r>
        <w:rPr>
          <w:spacing w:val="-7"/>
          <w:sz w:val="22"/>
        </w:rPr>
        <w:t> </w:t>
      </w:r>
      <w:r>
        <w:rPr>
          <w:sz w:val="22"/>
        </w:rPr>
        <w:t>of</w:t>
      </w:r>
      <w:r>
        <w:rPr>
          <w:spacing w:val="-3"/>
          <w:sz w:val="22"/>
        </w:rPr>
        <w:t> </w:t>
      </w:r>
      <w:r>
        <w:rPr>
          <w:sz w:val="22"/>
        </w:rPr>
        <w:t>trust and/or the note, or any other lien encumbering the property.</w:t>
      </w:r>
    </w:p>
    <w:p>
      <w:pPr>
        <w:pStyle w:val="ListParagraph"/>
        <w:numPr>
          <w:ilvl w:val="0"/>
          <w:numId w:val="7"/>
        </w:numPr>
        <w:tabs>
          <w:tab w:pos="841" w:val="left" w:leader="none"/>
        </w:tabs>
        <w:spacing w:line="237" w:lineRule="auto" w:before="4" w:after="0"/>
        <w:ind w:left="840" w:right="159" w:hanging="361"/>
        <w:jc w:val="both"/>
        <w:rPr>
          <w:sz w:val="22"/>
        </w:rPr>
      </w:pPr>
      <w:r>
        <w:rPr>
          <w:sz w:val="22"/>
        </w:rPr>
        <w:t>Applicant must certify annually that the home is not for sale and is the primary residence of the Applicant until the affordability period ends.</w:t>
      </w:r>
    </w:p>
    <w:p>
      <w:pPr>
        <w:pStyle w:val="ListParagraph"/>
        <w:numPr>
          <w:ilvl w:val="0"/>
          <w:numId w:val="7"/>
        </w:numPr>
        <w:tabs>
          <w:tab w:pos="841" w:val="left" w:leader="none"/>
        </w:tabs>
        <w:spacing w:line="237" w:lineRule="auto" w:before="4" w:after="0"/>
        <w:ind w:left="840" w:right="157" w:hanging="361"/>
        <w:jc w:val="both"/>
        <w:rPr>
          <w:sz w:val="22"/>
        </w:rPr>
      </w:pPr>
      <w:r>
        <w:rPr>
          <w:sz w:val="22"/>
        </w:rPr>
        <w:t>If there is an underlying development agreement</w:t>
      </w:r>
      <w:r>
        <w:rPr>
          <w:spacing w:val="-1"/>
          <w:sz w:val="22"/>
        </w:rPr>
        <w:t> </w:t>
      </w:r>
      <w:r>
        <w:rPr>
          <w:sz w:val="22"/>
        </w:rPr>
        <w:t>associated with the property, additional requirements may apply. Such determination is made by the City.</w:t>
      </w:r>
    </w:p>
    <w:p>
      <w:pPr>
        <w:spacing w:after="0" w:line="237" w:lineRule="auto"/>
        <w:jc w:val="both"/>
        <w:rPr>
          <w:sz w:val="22"/>
        </w:rPr>
        <w:sectPr>
          <w:pgSz w:w="12240" w:h="15840"/>
          <w:pgMar w:header="0" w:footer="1738" w:top="1360" w:bottom="1920" w:left="1320" w:right="1280"/>
        </w:sectPr>
      </w:pPr>
    </w:p>
    <w:p>
      <w:pPr>
        <w:pStyle w:val="Heading5"/>
        <w:spacing w:before="80"/>
        <w:jc w:val="left"/>
      </w:pPr>
      <w:r>
        <w:rPr/>
        <w:t>Credit</w:t>
      </w:r>
      <w:r>
        <w:rPr>
          <w:spacing w:val="-7"/>
        </w:rPr>
        <w:t> </w:t>
      </w:r>
      <w:r>
        <w:rPr/>
        <w:t>and</w:t>
      </w:r>
      <w:r>
        <w:rPr>
          <w:spacing w:val="-6"/>
        </w:rPr>
        <w:t> </w:t>
      </w:r>
      <w:r>
        <w:rPr/>
        <w:t>Underwriting</w:t>
      </w:r>
      <w:r>
        <w:rPr>
          <w:spacing w:val="-4"/>
        </w:rPr>
        <w:t> </w:t>
      </w:r>
      <w:r>
        <w:rPr>
          <w:spacing w:val="-2"/>
        </w:rPr>
        <w:t>Standards</w:t>
      </w:r>
    </w:p>
    <w:p>
      <w:pPr>
        <w:pStyle w:val="BodyText"/>
        <w:spacing w:before="49"/>
        <w:ind w:left="120"/>
      </w:pPr>
      <w:r>
        <w:rPr/>
        <w:t>Following</w:t>
      </w:r>
      <w:r>
        <w:rPr>
          <w:spacing w:val="-6"/>
        </w:rPr>
        <w:t> </w:t>
      </w:r>
      <w:r>
        <w:rPr/>
        <w:t>are</w:t>
      </w:r>
      <w:r>
        <w:rPr>
          <w:spacing w:val="-5"/>
        </w:rPr>
        <w:t> </w:t>
      </w:r>
      <w:r>
        <w:rPr/>
        <w:t>the</w:t>
      </w:r>
      <w:r>
        <w:rPr>
          <w:spacing w:val="-6"/>
        </w:rPr>
        <w:t> </w:t>
      </w:r>
      <w:r>
        <w:rPr/>
        <w:t>credit</w:t>
      </w:r>
      <w:r>
        <w:rPr>
          <w:spacing w:val="-8"/>
        </w:rPr>
        <w:t> </w:t>
      </w:r>
      <w:r>
        <w:rPr/>
        <w:t>and</w:t>
      </w:r>
      <w:r>
        <w:rPr>
          <w:spacing w:val="-5"/>
        </w:rPr>
        <w:t> </w:t>
      </w:r>
      <w:r>
        <w:rPr/>
        <w:t>underwriting</w:t>
      </w:r>
      <w:r>
        <w:rPr>
          <w:spacing w:val="-5"/>
        </w:rPr>
        <w:t> </w:t>
      </w:r>
      <w:r>
        <w:rPr/>
        <w:t>standards</w:t>
      </w:r>
      <w:r>
        <w:rPr>
          <w:spacing w:val="-4"/>
        </w:rPr>
        <w:t> </w:t>
      </w:r>
      <w:r>
        <w:rPr/>
        <w:t>for</w:t>
      </w:r>
      <w:r>
        <w:rPr>
          <w:spacing w:val="-3"/>
        </w:rPr>
        <w:t> </w:t>
      </w:r>
      <w:r>
        <w:rPr>
          <w:spacing w:val="-2"/>
        </w:rPr>
        <w:t>Applicant:</w:t>
      </w:r>
    </w:p>
    <w:p>
      <w:pPr>
        <w:pStyle w:val="BodyText"/>
        <w:spacing w:before="5"/>
      </w:pPr>
    </w:p>
    <w:p>
      <w:pPr>
        <w:pStyle w:val="ListParagraph"/>
        <w:numPr>
          <w:ilvl w:val="0"/>
          <w:numId w:val="7"/>
        </w:numPr>
        <w:tabs>
          <w:tab w:pos="841" w:val="left" w:leader="none"/>
        </w:tabs>
        <w:spacing w:line="237" w:lineRule="auto" w:before="0" w:after="0"/>
        <w:ind w:left="840" w:right="157" w:hanging="361"/>
        <w:jc w:val="both"/>
        <w:rPr>
          <w:sz w:val="22"/>
        </w:rPr>
      </w:pPr>
      <w:r>
        <w:rPr>
          <w:sz w:val="22"/>
        </w:rPr>
        <w:t>No Chapter 7 or Chapter 13 bankruptcy if primary or any mortgage is included as a secured creditor on the subject property for which the City will place a lien securing the </w:t>
      </w:r>
      <w:r>
        <w:rPr>
          <w:spacing w:val="-2"/>
          <w:sz w:val="22"/>
        </w:rPr>
        <w:t>loan.</w:t>
      </w:r>
    </w:p>
    <w:p>
      <w:pPr>
        <w:pStyle w:val="ListParagraph"/>
        <w:numPr>
          <w:ilvl w:val="0"/>
          <w:numId w:val="7"/>
        </w:numPr>
        <w:tabs>
          <w:tab w:pos="841" w:val="left" w:leader="none"/>
        </w:tabs>
        <w:spacing w:line="240" w:lineRule="auto" w:before="2" w:after="0"/>
        <w:ind w:left="840" w:right="157" w:hanging="361"/>
        <w:jc w:val="both"/>
        <w:rPr>
          <w:sz w:val="22"/>
        </w:rPr>
      </w:pPr>
      <w:r>
        <w:rPr/>
        <w:pict>
          <v:shape style="position:absolute;margin-left:90.065002pt;margin-top:18.142513pt;width:395.3pt;height:419pt;mso-position-horizontal-relative:page;mso-position-vertical-relative:paragraph;z-index:-17728000" id="docshape38" coordorigin="1801,363" coordsize="7906,8380" path="m4498,7626l4492,7553,4477,7475,4455,7392,4432,7323,4403,7251,4367,7176,4325,7098,4276,7017,4237,6958,4200,6908,4200,7593,4197,7650,4186,7706,4167,7764,4138,7823,4097,7886,4044,7952,3979,8022,3674,8327,2216,6869,2517,6569,2598,6493,2672,6433,2740,6389,2801,6363,2868,6348,2941,6344,3020,6351,3105,6369,3195,6398,3255,6424,3317,6456,3380,6494,3446,6539,3514,6591,3584,6649,3656,6714,3729,6785,3789,6847,3845,6907,3896,6966,3943,7024,3986,7080,4025,7136,4059,7190,4101,7264,4136,7336,4163,7406,4183,7473,4196,7537,4200,7593,4200,6908,4194,6899,4148,6839,4098,6778,4045,6717,3989,6656,3929,6594,3865,6532,3801,6473,3737,6418,3673,6367,3643,6344,3609,6319,3546,6274,3482,6233,3419,6195,3346,6158,3274,6125,3203,6098,3132,6076,3062,6059,2992,6047,2923,6040,2850,6038,2779,6045,2709,6060,2642,6083,2577,6113,2528,6141,2476,6178,2420,6224,2359,6278,2294,6341,1801,6834,3710,8742,4124,8327,4226,8225,4287,8160,4341,8095,4386,8029,4424,7962,4454,7896,4476,7830,4491,7763,4498,7695,4498,7626xm6418,6033l6056,5906,5650,5763,5561,5734,5475,5710,5393,5691,5365,5686,5314,5676,5239,5666,5193,5665,5143,5668,5089,5675,5030,5686,5073,5616,5109,5546,5136,5477,5154,5408,5164,5340,5165,5272,5157,5204,5139,5126,5111,5050,5075,4975,5030,4902,4976,4832,4956,4809,4913,4763,4872,4725,4872,5282,4868,5338,4854,5393,4830,5449,4794,5507,4747,5568,4687,5632,4280,6039,3649,5408,4102,4955,4166,4898,4229,4855,4293,4825,4358,4810,4422,4809,4501,4824,4577,4854,4649,4898,4718,4958,4761,5006,4797,5056,4827,5110,4851,5167,4867,5225,4872,5282,4872,4725,4849,4703,4782,4651,4713,4605,4641,4567,4566,4535,4474,4507,4386,4494,4303,4496,4225,4512,4163,4537,4098,4573,4030,4621,3958,4681,3883,4752,3248,5387,5157,7295,5346,7105,4499,6258,4718,6039,4753,6005,4783,5977,4810,5956,4833,5942,4863,5928,4896,5918,4932,5910,4971,5906,5014,5906,5066,5911,5125,5921,5194,5938,5256,5955,5328,5976,5407,6001,5496,6030,6180,6272,6418,6033xm7780,4671l7415,4476,6555,4022,6555,4329,6070,4814,6030,4743,5989,4671,5748,4240,5708,4169,5668,4097,5629,4032,5590,3967,5550,3903,5509,3840,5467,3778,5424,3716,5380,3656,5436,3691,5498,3729,5564,3769,5635,3811,5792,3901,6555,4329,6555,4022,5862,3656,5286,3349,5082,3553,5277,3903,5316,3974,5701,4671,6207,5590,6441,6011,6642,5810,6565,5676,6298,5208,6221,5075,6481,4814,6820,4476,7173,4671,7565,4887,7780,4671xm8131,4321l7264,3454,7936,2782,7711,2557,7039,3229,6448,2638,7224,1861,6999,1636,6033,2602,7941,4510,8131,4321xm9707,2745l8024,1062,8497,588,8272,363,7138,1497,7363,1723,7834,1251,9517,2934,9707,2745xe" filled="true" fillcolor="#c0c0c0" stroked="false">
            <v:path arrowok="t"/>
            <v:fill opacity="32896f" type="solid"/>
            <w10:wrap type="none"/>
          </v:shape>
        </w:pict>
      </w:r>
      <w:r>
        <w:rPr>
          <w:sz w:val="22"/>
        </w:rPr>
        <w:t>Predatory lending describes lending practices that take advantage of clients by charging usurious interest rates or excessive fees and penalties. Loans will not be made with an interest rate more than 2% above the prevailing market rate.</w:t>
      </w:r>
    </w:p>
    <w:p>
      <w:pPr>
        <w:pStyle w:val="ListParagraph"/>
        <w:numPr>
          <w:ilvl w:val="0"/>
          <w:numId w:val="7"/>
        </w:numPr>
        <w:tabs>
          <w:tab w:pos="841" w:val="left" w:leader="none"/>
        </w:tabs>
        <w:spacing w:line="240" w:lineRule="auto" w:before="0" w:after="0"/>
        <w:ind w:left="840" w:right="156" w:hanging="361"/>
        <w:jc w:val="both"/>
        <w:rPr>
          <w:sz w:val="22"/>
        </w:rPr>
      </w:pPr>
      <w:r>
        <w:rPr>
          <w:sz w:val="22"/>
        </w:rPr>
        <w:t>The maximum assistance available for an Applicant in a High Opportunity Area (of the MVA) is $60,000. In all other areas, the maximum assistance will be $40,000 per household. Not all Applicants will qualify for the maximum assistance. The assistance available</w:t>
      </w:r>
      <w:r>
        <w:rPr>
          <w:spacing w:val="-16"/>
          <w:sz w:val="22"/>
        </w:rPr>
        <w:t> </w:t>
      </w:r>
      <w:r>
        <w:rPr>
          <w:sz w:val="22"/>
        </w:rPr>
        <w:t>to</w:t>
      </w:r>
      <w:r>
        <w:rPr>
          <w:spacing w:val="-15"/>
          <w:sz w:val="22"/>
        </w:rPr>
        <w:t> </w:t>
      </w:r>
      <w:r>
        <w:rPr>
          <w:sz w:val="22"/>
        </w:rPr>
        <w:t>any</w:t>
      </w:r>
      <w:r>
        <w:rPr>
          <w:spacing w:val="-15"/>
          <w:sz w:val="22"/>
        </w:rPr>
        <w:t> </w:t>
      </w:r>
      <w:r>
        <w:rPr>
          <w:sz w:val="22"/>
        </w:rPr>
        <w:t>given</w:t>
      </w:r>
      <w:r>
        <w:rPr>
          <w:spacing w:val="-16"/>
          <w:sz w:val="22"/>
        </w:rPr>
        <w:t> </w:t>
      </w:r>
      <w:r>
        <w:rPr>
          <w:sz w:val="22"/>
        </w:rPr>
        <w:t>Applicant</w:t>
      </w:r>
      <w:r>
        <w:rPr>
          <w:spacing w:val="-15"/>
          <w:sz w:val="22"/>
        </w:rPr>
        <w:t> </w:t>
      </w:r>
      <w:r>
        <w:rPr>
          <w:sz w:val="22"/>
        </w:rPr>
        <w:t>is</w:t>
      </w:r>
      <w:r>
        <w:rPr>
          <w:spacing w:val="-15"/>
          <w:sz w:val="22"/>
        </w:rPr>
        <w:t> </w:t>
      </w:r>
      <w:r>
        <w:rPr>
          <w:sz w:val="22"/>
        </w:rPr>
        <w:t>based</w:t>
      </w:r>
      <w:r>
        <w:rPr>
          <w:spacing w:val="-15"/>
          <w:sz w:val="22"/>
        </w:rPr>
        <w:t> </w:t>
      </w:r>
      <w:r>
        <w:rPr>
          <w:sz w:val="22"/>
        </w:rPr>
        <w:t>on</w:t>
      </w:r>
      <w:r>
        <w:rPr>
          <w:spacing w:val="-16"/>
          <w:sz w:val="22"/>
        </w:rPr>
        <w:t> </w:t>
      </w:r>
      <w:r>
        <w:rPr>
          <w:sz w:val="22"/>
        </w:rPr>
        <w:t>the</w:t>
      </w:r>
      <w:r>
        <w:rPr>
          <w:spacing w:val="-15"/>
          <w:sz w:val="22"/>
        </w:rPr>
        <w:t> </w:t>
      </w:r>
      <w:r>
        <w:rPr>
          <w:sz w:val="22"/>
        </w:rPr>
        <w:t>City’s</w:t>
      </w:r>
      <w:r>
        <w:rPr>
          <w:spacing w:val="-15"/>
          <w:sz w:val="22"/>
        </w:rPr>
        <w:t> </w:t>
      </w:r>
      <w:r>
        <w:rPr>
          <w:sz w:val="22"/>
        </w:rPr>
        <w:t>assessment</w:t>
      </w:r>
      <w:r>
        <w:rPr>
          <w:spacing w:val="-16"/>
          <w:sz w:val="22"/>
        </w:rPr>
        <w:t> </w:t>
      </w:r>
      <w:r>
        <w:rPr>
          <w:sz w:val="22"/>
        </w:rPr>
        <w:t>of</w:t>
      </w:r>
      <w:r>
        <w:rPr>
          <w:spacing w:val="-15"/>
          <w:sz w:val="22"/>
        </w:rPr>
        <w:t> </w:t>
      </w:r>
      <w:r>
        <w:rPr>
          <w:sz w:val="22"/>
        </w:rPr>
        <w:t>the</w:t>
      </w:r>
      <w:r>
        <w:rPr>
          <w:spacing w:val="-15"/>
          <w:sz w:val="22"/>
        </w:rPr>
        <w:t> </w:t>
      </w:r>
      <w:r>
        <w:rPr>
          <w:sz w:val="22"/>
        </w:rPr>
        <w:t>Applicant’s</w:t>
      </w:r>
      <w:r>
        <w:rPr>
          <w:spacing w:val="-15"/>
          <w:sz w:val="22"/>
        </w:rPr>
        <w:t> </w:t>
      </w:r>
      <w:r>
        <w:rPr>
          <w:sz w:val="22"/>
        </w:rPr>
        <w:t>need, taking into account the additional criteria outlined below.</w:t>
      </w:r>
    </w:p>
    <w:p>
      <w:pPr>
        <w:pStyle w:val="ListParagraph"/>
        <w:numPr>
          <w:ilvl w:val="0"/>
          <w:numId w:val="7"/>
        </w:numPr>
        <w:tabs>
          <w:tab w:pos="841" w:val="left" w:leader="none"/>
        </w:tabs>
        <w:spacing w:line="265" w:lineRule="exact" w:before="0" w:after="0"/>
        <w:ind w:left="840" w:right="0" w:hanging="361"/>
        <w:jc w:val="both"/>
        <w:rPr>
          <w:sz w:val="22"/>
        </w:rPr>
      </w:pPr>
      <w:r>
        <w:rPr>
          <w:sz w:val="22"/>
        </w:rPr>
        <w:t>First</w:t>
      </w:r>
      <w:r>
        <w:rPr>
          <w:spacing w:val="-7"/>
          <w:sz w:val="22"/>
        </w:rPr>
        <w:t> </w:t>
      </w:r>
      <w:r>
        <w:rPr>
          <w:sz w:val="22"/>
        </w:rPr>
        <w:t>mortgage</w:t>
      </w:r>
      <w:r>
        <w:rPr>
          <w:spacing w:val="-5"/>
          <w:sz w:val="22"/>
        </w:rPr>
        <w:t> </w:t>
      </w:r>
      <w:r>
        <w:rPr>
          <w:sz w:val="22"/>
        </w:rPr>
        <w:t>amount</w:t>
      </w:r>
      <w:r>
        <w:rPr>
          <w:spacing w:val="-5"/>
          <w:sz w:val="22"/>
        </w:rPr>
        <w:t> </w:t>
      </w:r>
      <w:r>
        <w:rPr>
          <w:sz w:val="22"/>
        </w:rPr>
        <w:t>must</w:t>
      </w:r>
      <w:r>
        <w:rPr>
          <w:spacing w:val="-4"/>
          <w:sz w:val="22"/>
        </w:rPr>
        <w:t> </w:t>
      </w:r>
      <w:r>
        <w:rPr>
          <w:sz w:val="22"/>
        </w:rPr>
        <w:t>have</w:t>
      </w:r>
      <w:r>
        <w:rPr>
          <w:spacing w:val="-5"/>
          <w:sz w:val="22"/>
        </w:rPr>
        <w:t> </w:t>
      </w:r>
      <w:r>
        <w:rPr>
          <w:sz w:val="22"/>
        </w:rPr>
        <w:t>a</w:t>
      </w:r>
      <w:r>
        <w:rPr>
          <w:spacing w:val="-6"/>
          <w:sz w:val="22"/>
        </w:rPr>
        <w:t> </w:t>
      </w:r>
      <w:r>
        <w:rPr>
          <w:sz w:val="22"/>
        </w:rPr>
        <w:t>front-end</w:t>
      </w:r>
      <w:r>
        <w:rPr>
          <w:spacing w:val="-5"/>
          <w:sz w:val="22"/>
        </w:rPr>
        <w:t> </w:t>
      </w:r>
      <w:r>
        <w:rPr>
          <w:sz w:val="22"/>
        </w:rPr>
        <w:t>ratio</w:t>
      </w:r>
      <w:r>
        <w:rPr>
          <w:spacing w:val="-3"/>
          <w:sz w:val="22"/>
        </w:rPr>
        <w:t> </w:t>
      </w:r>
      <w:r>
        <w:rPr>
          <w:sz w:val="22"/>
        </w:rPr>
        <w:t>no</w:t>
      </w:r>
      <w:r>
        <w:rPr>
          <w:spacing w:val="-4"/>
          <w:sz w:val="22"/>
        </w:rPr>
        <w:t> </w:t>
      </w:r>
      <w:r>
        <w:rPr>
          <w:sz w:val="22"/>
        </w:rPr>
        <w:t>higher</w:t>
      </w:r>
      <w:r>
        <w:rPr>
          <w:spacing w:val="-4"/>
          <w:sz w:val="22"/>
        </w:rPr>
        <w:t> </w:t>
      </w:r>
      <w:r>
        <w:rPr>
          <w:sz w:val="22"/>
        </w:rPr>
        <w:t>than</w:t>
      </w:r>
      <w:r>
        <w:rPr>
          <w:spacing w:val="-3"/>
          <w:sz w:val="22"/>
        </w:rPr>
        <w:t> </w:t>
      </w:r>
      <w:r>
        <w:rPr>
          <w:spacing w:val="-5"/>
          <w:sz w:val="22"/>
        </w:rPr>
        <w:t>32%</w:t>
      </w:r>
    </w:p>
    <w:p>
      <w:pPr>
        <w:pStyle w:val="ListParagraph"/>
        <w:numPr>
          <w:ilvl w:val="0"/>
          <w:numId w:val="7"/>
        </w:numPr>
        <w:tabs>
          <w:tab w:pos="841" w:val="left" w:leader="none"/>
        </w:tabs>
        <w:spacing w:line="268" w:lineRule="exact" w:before="0" w:after="0"/>
        <w:ind w:left="840" w:right="0" w:hanging="361"/>
        <w:jc w:val="both"/>
        <w:rPr>
          <w:sz w:val="22"/>
        </w:rPr>
      </w:pPr>
      <w:r>
        <w:rPr>
          <w:sz w:val="22"/>
        </w:rPr>
        <w:t>First</w:t>
      </w:r>
      <w:r>
        <w:rPr>
          <w:spacing w:val="-7"/>
          <w:sz w:val="22"/>
        </w:rPr>
        <w:t> </w:t>
      </w:r>
      <w:r>
        <w:rPr>
          <w:sz w:val="22"/>
        </w:rPr>
        <w:t>mortgage</w:t>
      </w:r>
      <w:r>
        <w:rPr>
          <w:spacing w:val="-6"/>
          <w:sz w:val="22"/>
        </w:rPr>
        <w:t> </w:t>
      </w:r>
      <w:r>
        <w:rPr>
          <w:sz w:val="22"/>
        </w:rPr>
        <w:t>amount</w:t>
      </w:r>
      <w:r>
        <w:rPr>
          <w:spacing w:val="-4"/>
          <w:sz w:val="22"/>
        </w:rPr>
        <w:t> </w:t>
      </w:r>
      <w:r>
        <w:rPr>
          <w:sz w:val="22"/>
        </w:rPr>
        <w:t>must</w:t>
      </w:r>
      <w:r>
        <w:rPr>
          <w:spacing w:val="-4"/>
          <w:sz w:val="22"/>
        </w:rPr>
        <w:t> </w:t>
      </w:r>
      <w:r>
        <w:rPr>
          <w:sz w:val="22"/>
        </w:rPr>
        <w:t>have</w:t>
      </w:r>
      <w:r>
        <w:rPr>
          <w:spacing w:val="-6"/>
          <w:sz w:val="22"/>
        </w:rPr>
        <w:t> </w:t>
      </w:r>
      <w:r>
        <w:rPr>
          <w:sz w:val="22"/>
        </w:rPr>
        <w:t>a</w:t>
      </w:r>
      <w:r>
        <w:rPr>
          <w:spacing w:val="-3"/>
          <w:sz w:val="22"/>
        </w:rPr>
        <w:t> </w:t>
      </w:r>
      <w:r>
        <w:rPr>
          <w:sz w:val="22"/>
        </w:rPr>
        <w:t>back-end</w:t>
      </w:r>
      <w:r>
        <w:rPr>
          <w:spacing w:val="-6"/>
          <w:sz w:val="22"/>
        </w:rPr>
        <w:t> </w:t>
      </w:r>
      <w:r>
        <w:rPr>
          <w:sz w:val="22"/>
        </w:rPr>
        <w:t>ratio</w:t>
      </w:r>
      <w:r>
        <w:rPr>
          <w:spacing w:val="-3"/>
          <w:sz w:val="22"/>
        </w:rPr>
        <w:t> </w:t>
      </w:r>
      <w:r>
        <w:rPr>
          <w:sz w:val="22"/>
        </w:rPr>
        <w:t>no</w:t>
      </w:r>
      <w:r>
        <w:rPr>
          <w:spacing w:val="-4"/>
          <w:sz w:val="22"/>
        </w:rPr>
        <w:t> </w:t>
      </w:r>
      <w:r>
        <w:rPr>
          <w:sz w:val="22"/>
        </w:rPr>
        <w:t>higher</w:t>
      </w:r>
      <w:r>
        <w:rPr>
          <w:spacing w:val="-5"/>
          <w:sz w:val="22"/>
        </w:rPr>
        <w:t> </w:t>
      </w:r>
      <w:r>
        <w:rPr>
          <w:sz w:val="22"/>
        </w:rPr>
        <w:t>than</w:t>
      </w:r>
      <w:r>
        <w:rPr>
          <w:spacing w:val="-3"/>
          <w:sz w:val="22"/>
        </w:rPr>
        <w:t> </w:t>
      </w:r>
      <w:r>
        <w:rPr>
          <w:spacing w:val="-5"/>
          <w:sz w:val="22"/>
        </w:rPr>
        <w:t>45%</w:t>
      </w:r>
    </w:p>
    <w:p>
      <w:pPr>
        <w:pStyle w:val="BodyText"/>
        <w:spacing w:before="10"/>
        <w:rPr>
          <w:sz w:val="21"/>
        </w:rPr>
      </w:pPr>
    </w:p>
    <w:p>
      <w:pPr>
        <w:pStyle w:val="Heading5"/>
        <w:jc w:val="left"/>
      </w:pPr>
      <w:r>
        <w:rPr>
          <w:spacing w:val="-2"/>
        </w:rPr>
        <w:t>Heirs</w:t>
      </w:r>
    </w:p>
    <w:p>
      <w:pPr>
        <w:pStyle w:val="BodyText"/>
        <w:spacing w:before="50"/>
        <w:ind w:left="120" w:right="154"/>
        <w:jc w:val="both"/>
      </w:pPr>
      <w:r>
        <w:rPr/>
        <w:t>A loan may be transferred to the heir(s) of the borrower if the heir(s) are income qualified and utilize</w:t>
      </w:r>
      <w:r>
        <w:rPr>
          <w:spacing w:val="-16"/>
        </w:rPr>
        <w:t> </w:t>
      </w:r>
      <w:r>
        <w:rPr/>
        <w:t>the</w:t>
      </w:r>
      <w:r>
        <w:rPr>
          <w:spacing w:val="-13"/>
        </w:rPr>
        <w:t> </w:t>
      </w:r>
      <w:r>
        <w:rPr/>
        <w:t>assisted</w:t>
      </w:r>
      <w:r>
        <w:rPr>
          <w:spacing w:val="-14"/>
        </w:rPr>
        <w:t> </w:t>
      </w:r>
      <w:r>
        <w:rPr/>
        <w:t>property</w:t>
      </w:r>
      <w:r>
        <w:rPr>
          <w:spacing w:val="-16"/>
        </w:rPr>
        <w:t> </w:t>
      </w:r>
      <w:r>
        <w:rPr/>
        <w:t>as</w:t>
      </w:r>
      <w:r>
        <w:rPr>
          <w:spacing w:val="-15"/>
        </w:rPr>
        <w:t> </w:t>
      </w:r>
      <w:r>
        <w:rPr/>
        <w:t>their</w:t>
      </w:r>
      <w:r>
        <w:rPr>
          <w:spacing w:val="-12"/>
        </w:rPr>
        <w:t> </w:t>
      </w:r>
      <w:r>
        <w:rPr/>
        <w:t>primary</w:t>
      </w:r>
      <w:r>
        <w:rPr>
          <w:spacing w:val="-16"/>
        </w:rPr>
        <w:t> </w:t>
      </w:r>
      <w:r>
        <w:rPr/>
        <w:t>residence</w:t>
      </w:r>
      <w:r>
        <w:rPr>
          <w:spacing w:val="-14"/>
        </w:rPr>
        <w:t> </w:t>
      </w:r>
      <w:r>
        <w:rPr/>
        <w:t>for</w:t>
      </w:r>
      <w:r>
        <w:rPr>
          <w:spacing w:val="-15"/>
        </w:rPr>
        <w:t> </w:t>
      </w:r>
      <w:r>
        <w:rPr/>
        <w:t>the</w:t>
      </w:r>
      <w:r>
        <w:rPr>
          <w:spacing w:val="-16"/>
        </w:rPr>
        <w:t> </w:t>
      </w:r>
      <w:r>
        <w:rPr/>
        <w:t>remainder</w:t>
      </w:r>
      <w:r>
        <w:rPr>
          <w:spacing w:val="-14"/>
        </w:rPr>
        <w:t> </w:t>
      </w:r>
      <w:r>
        <w:rPr/>
        <w:t>of</w:t>
      </w:r>
      <w:r>
        <w:rPr>
          <w:spacing w:val="-15"/>
        </w:rPr>
        <w:t> </w:t>
      </w:r>
      <w:r>
        <w:rPr/>
        <w:t>the</w:t>
      </w:r>
      <w:r>
        <w:rPr>
          <w:spacing w:val="-14"/>
        </w:rPr>
        <w:t> </w:t>
      </w:r>
      <w:r>
        <w:rPr/>
        <w:t>affordability</w:t>
      </w:r>
      <w:r>
        <w:rPr>
          <w:spacing w:val="-13"/>
        </w:rPr>
        <w:t> </w:t>
      </w:r>
      <w:r>
        <w:rPr/>
        <w:t>period. If</w:t>
      </w:r>
      <w:r>
        <w:rPr>
          <w:spacing w:val="-7"/>
        </w:rPr>
        <w:t> </w:t>
      </w:r>
      <w:r>
        <w:rPr/>
        <w:t>the</w:t>
      </w:r>
      <w:r>
        <w:rPr>
          <w:spacing w:val="-6"/>
        </w:rPr>
        <w:t> </w:t>
      </w:r>
      <w:r>
        <w:rPr/>
        <w:t>heir(s)</w:t>
      </w:r>
      <w:r>
        <w:rPr>
          <w:spacing w:val="-5"/>
        </w:rPr>
        <w:t> </w:t>
      </w:r>
      <w:r>
        <w:rPr/>
        <w:t>do</w:t>
      </w:r>
      <w:r>
        <w:rPr>
          <w:spacing w:val="-6"/>
        </w:rPr>
        <w:t> </w:t>
      </w:r>
      <w:r>
        <w:rPr/>
        <w:t>not</w:t>
      </w:r>
      <w:r>
        <w:rPr>
          <w:spacing w:val="-7"/>
        </w:rPr>
        <w:t> </w:t>
      </w:r>
      <w:r>
        <w:rPr/>
        <w:t>meet</w:t>
      </w:r>
      <w:r>
        <w:rPr>
          <w:spacing w:val="-7"/>
        </w:rPr>
        <w:t> </w:t>
      </w:r>
      <w:r>
        <w:rPr/>
        <w:t>the</w:t>
      </w:r>
      <w:r>
        <w:rPr>
          <w:spacing w:val="-6"/>
        </w:rPr>
        <w:t> </w:t>
      </w:r>
      <w:r>
        <w:rPr/>
        <w:t>income</w:t>
      </w:r>
      <w:r>
        <w:rPr>
          <w:spacing w:val="-9"/>
        </w:rPr>
        <w:t> </w:t>
      </w:r>
      <w:r>
        <w:rPr/>
        <w:t>requirements</w:t>
      </w:r>
      <w:r>
        <w:rPr>
          <w:spacing w:val="-8"/>
        </w:rPr>
        <w:t> </w:t>
      </w:r>
      <w:r>
        <w:rPr/>
        <w:t>of</w:t>
      </w:r>
      <w:r>
        <w:rPr>
          <w:spacing w:val="-5"/>
        </w:rPr>
        <w:t> </w:t>
      </w:r>
      <w:r>
        <w:rPr/>
        <w:t>the</w:t>
      </w:r>
      <w:r>
        <w:rPr>
          <w:spacing w:val="-6"/>
        </w:rPr>
        <w:t> </w:t>
      </w:r>
      <w:r>
        <w:rPr/>
        <w:t>program</w:t>
      </w:r>
      <w:r>
        <w:rPr>
          <w:spacing w:val="-5"/>
        </w:rPr>
        <w:t> </w:t>
      </w:r>
      <w:r>
        <w:rPr/>
        <w:t>and</w:t>
      </w:r>
      <w:r>
        <w:rPr>
          <w:spacing w:val="-9"/>
        </w:rPr>
        <w:t> </w:t>
      </w:r>
      <w:r>
        <w:rPr/>
        <w:t>the</w:t>
      </w:r>
      <w:r>
        <w:rPr>
          <w:spacing w:val="-6"/>
        </w:rPr>
        <w:t> </w:t>
      </w:r>
      <w:r>
        <w:rPr/>
        <w:t>loan</w:t>
      </w:r>
      <w:r>
        <w:rPr>
          <w:spacing w:val="-6"/>
        </w:rPr>
        <w:t> </w:t>
      </w:r>
      <w:r>
        <w:rPr/>
        <w:t>or</w:t>
      </w:r>
      <w:r>
        <w:rPr>
          <w:spacing w:val="-5"/>
        </w:rPr>
        <w:t> </w:t>
      </w:r>
      <w:r>
        <w:rPr/>
        <w:t>does</w:t>
      </w:r>
      <w:r>
        <w:rPr>
          <w:spacing w:val="-6"/>
        </w:rPr>
        <w:t> </w:t>
      </w:r>
      <w:r>
        <w:rPr/>
        <w:t>not</w:t>
      </w:r>
      <w:r>
        <w:rPr>
          <w:spacing w:val="-5"/>
        </w:rPr>
        <w:t> </w:t>
      </w:r>
      <w:r>
        <w:rPr/>
        <w:t>utilize the</w:t>
      </w:r>
      <w:r>
        <w:rPr>
          <w:spacing w:val="-2"/>
        </w:rPr>
        <w:t> </w:t>
      </w:r>
      <w:r>
        <w:rPr/>
        <w:t>property</w:t>
      </w:r>
      <w:r>
        <w:rPr>
          <w:spacing w:val="-1"/>
        </w:rPr>
        <w:t> </w:t>
      </w:r>
      <w:r>
        <w:rPr/>
        <w:t>as</w:t>
      </w:r>
      <w:r>
        <w:rPr>
          <w:spacing w:val="-1"/>
        </w:rPr>
        <w:t> </w:t>
      </w:r>
      <w:r>
        <w:rPr/>
        <w:t>their primary</w:t>
      </w:r>
      <w:r>
        <w:rPr>
          <w:spacing w:val="-1"/>
        </w:rPr>
        <w:t> </w:t>
      </w:r>
      <w:r>
        <w:rPr/>
        <w:t>residence, and</w:t>
      </w:r>
      <w:r>
        <w:rPr>
          <w:spacing w:val="-4"/>
        </w:rPr>
        <w:t> </w:t>
      </w:r>
      <w:r>
        <w:rPr/>
        <w:t>the</w:t>
      </w:r>
      <w:r>
        <w:rPr>
          <w:spacing w:val="-2"/>
        </w:rPr>
        <w:t> </w:t>
      </w:r>
      <w:r>
        <w:rPr/>
        <w:t>loan</w:t>
      </w:r>
      <w:r>
        <w:rPr>
          <w:spacing w:val="-2"/>
        </w:rPr>
        <w:t> </w:t>
      </w:r>
      <w:r>
        <w:rPr/>
        <w:t>is</w:t>
      </w:r>
      <w:r>
        <w:rPr>
          <w:spacing w:val="-1"/>
        </w:rPr>
        <w:t> </w:t>
      </w:r>
      <w:r>
        <w:rPr/>
        <w:t>still</w:t>
      </w:r>
      <w:r>
        <w:rPr>
          <w:spacing w:val="-2"/>
        </w:rPr>
        <w:t> </w:t>
      </w:r>
      <w:r>
        <w:rPr/>
        <w:t>within</w:t>
      </w:r>
      <w:r>
        <w:rPr>
          <w:spacing w:val="-2"/>
        </w:rPr>
        <w:t> </w:t>
      </w:r>
      <w:r>
        <w:rPr/>
        <w:t>the</w:t>
      </w:r>
      <w:r>
        <w:rPr>
          <w:spacing w:val="-2"/>
        </w:rPr>
        <w:t> </w:t>
      </w:r>
      <w:r>
        <w:rPr/>
        <w:t>period</w:t>
      </w:r>
      <w:r>
        <w:rPr>
          <w:spacing w:val="-2"/>
        </w:rPr>
        <w:t> </w:t>
      </w:r>
      <w:r>
        <w:rPr/>
        <w:t>of affordability,</w:t>
      </w:r>
      <w:r>
        <w:rPr>
          <w:spacing w:val="-2"/>
        </w:rPr>
        <w:t> </w:t>
      </w:r>
      <w:r>
        <w:rPr/>
        <w:t>then the prorated loan amount is due immediately and payable, in full, to the City.</w:t>
      </w:r>
    </w:p>
    <w:p>
      <w:pPr>
        <w:pStyle w:val="BodyText"/>
      </w:pPr>
    </w:p>
    <w:p>
      <w:pPr>
        <w:pStyle w:val="Heading5"/>
        <w:spacing w:before="1"/>
        <w:jc w:val="left"/>
      </w:pPr>
      <w:r>
        <w:rPr>
          <w:spacing w:val="-2"/>
        </w:rPr>
        <w:t>Refinancing</w:t>
      </w:r>
    </w:p>
    <w:p>
      <w:pPr>
        <w:pStyle w:val="BodyText"/>
        <w:spacing w:before="49"/>
        <w:ind w:left="120" w:right="158"/>
        <w:jc w:val="both"/>
      </w:pPr>
      <w:r>
        <w:rPr/>
        <w:t>Refinancing for better rate and term is permitted upon prior approval of the City. Refinancing of revolving loan accounts, vehicles, credit card debt, or property taxes are NOT allowable refinancing expenses. Cash out are also NOT allowed.</w:t>
      </w:r>
    </w:p>
    <w:p>
      <w:pPr>
        <w:pStyle w:val="BodyText"/>
        <w:rPr>
          <w:sz w:val="24"/>
        </w:rPr>
      </w:pPr>
    </w:p>
    <w:p>
      <w:pPr>
        <w:pStyle w:val="BodyText"/>
        <w:spacing w:before="7"/>
        <w:rPr>
          <w:sz w:val="23"/>
        </w:rPr>
      </w:pPr>
    </w:p>
    <w:p>
      <w:pPr>
        <w:pStyle w:val="Heading3"/>
        <w:spacing w:before="0"/>
        <w:jc w:val="both"/>
      </w:pPr>
      <w:bookmarkStart w:name="DHAP Targeted Homebuyer Incentive Progra" w:id="26"/>
      <w:bookmarkEnd w:id="26"/>
      <w:r>
        <w:rPr/>
      </w:r>
      <w:bookmarkStart w:name="_bookmark5" w:id="27"/>
      <w:bookmarkEnd w:id="27"/>
      <w:r>
        <w:rPr/>
      </w:r>
      <w:r>
        <w:rPr>
          <w:color w:val="001F5F"/>
        </w:rPr>
        <w:t>DHAP</w:t>
      </w:r>
      <w:r>
        <w:rPr>
          <w:color w:val="001F5F"/>
          <w:spacing w:val="-11"/>
        </w:rPr>
        <w:t> </w:t>
      </w:r>
      <w:r>
        <w:rPr>
          <w:color w:val="001F5F"/>
        </w:rPr>
        <w:t>Targeted</w:t>
      </w:r>
      <w:r>
        <w:rPr>
          <w:color w:val="001F5F"/>
          <w:spacing w:val="-9"/>
        </w:rPr>
        <w:t> </w:t>
      </w:r>
      <w:r>
        <w:rPr>
          <w:color w:val="001F5F"/>
        </w:rPr>
        <w:t>Homebuyer</w:t>
      </w:r>
      <w:r>
        <w:rPr>
          <w:color w:val="001F5F"/>
          <w:spacing w:val="-12"/>
        </w:rPr>
        <w:t> </w:t>
      </w:r>
      <w:r>
        <w:rPr>
          <w:color w:val="001F5F"/>
        </w:rPr>
        <w:t>Incentive</w:t>
      </w:r>
      <w:r>
        <w:rPr>
          <w:color w:val="001F5F"/>
          <w:spacing w:val="-12"/>
        </w:rPr>
        <w:t> </w:t>
      </w:r>
      <w:r>
        <w:rPr>
          <w:color w:val="001F5F"/>
        </w:rPr>
        <w:t>Program</w:t>
      </w:r>
      <w:r>
        <w:rPr>
          <w:color w:val="001F5F"/>
          <w:spacing w:val="-8"/>
        </w:rPr>
        <w:t> </w:t>
      </w:r>
      <w:r>
        <w:rPr>
          <w:color w:val="FF0000"/>
        </w:rPr>
        <w:t>Pillars</w:t>
      </w:r>
      <w:r>
        <w:rPr>
          <w:color w:val="FF0000"/>
          <w:spacing w:val="-10"/>
        </w:rPr>
        <w:t> </w:t>
      </w:r>
      <w:r>
        <w:rPr>
          <w:color w:val="FF0000"/>
        </w:rPr>
        <w:t>1,</w:t>
      </w:r>
      <w:r>
        <w:rPr>
          <w:color w:val="FF0000"/>
          <w:spacing w:val="-11"/>
        </w:rPr>
        <w:t> </w:t>
      </w:r>
      <w:r>
        <w:rPr>
          <w:color w:val="FF0000"/>
        </w:rPr>
        <w:t>3,</w:t>
      </w:r>
      <w:r>
        <w:rPr>
          <w:color w:val="FF0000"/>
          <w:spacing w:val="-12"/>
        </w:rPr>
        <w:t> </w:t>
      </w:r>
      <w:r>
        <w:rPr>
          <w:color w:val="FF0000"/>
        </w:rPr>
        <w:t>4,</w:t>
      </w:r>
      <w:r>
        <w:rPr>
          <w:color w:val="FF0000"/>
          <w:spacing w:val="-12"/>
        </w:rPr>
        <w:t> </w:t>
      </w:r>
      <w:r>
        <w:rPr>
          <w:color w:val="FF0000"/>
          <w:spacing w:val="-5"/>
        </w:rPr>
        <w:t>5,</w:t>
      </w:r>
    </w:p>
    <w:p>
      <w:pPr>
        <w:spacing w:before="28"/>
        <w:ind w:left="120" w:right="0" w:firstLine="0"/>
        <w:jc w:val="both"/>
        <w:rPr>
          <w:sz w:val="32"/>
        </w:rPr>
      </w:pPr>
      <w:r>
        <w:rPr>
          <w:color w:val="FF0000"/>
          <w:sz w:val="32"/>
        </w:rPr>
        <w:t>6,</w:t>
      </w:r>
      <w:r>
        <w:rPr>
          <w:color w:val="FF0000"/>
          <w:spacing w:val="-5"/>
          <w:sz w:val="32"/>
        </w:rPr>
        <w:t> </w:t>
      </w:r>
      <w:r>
        <w:rPr>
          <w:color w:val="FF0000"/>
          <w:spacing w:val="-10"/>
          <w:sz w:val="32"/>
        </w:rPr>
        <w:t>7</w:t>
      </w:r>
    </w:p>
    <w:p>
      <w:pPr>
        <w:pStyle w:val="BodyText"/>
        <w:spacing w:before="283"/>
        <w:ind w:left="119" w:right="154"/>
        <w:jc w:val="both"/>
      </w:pPr>
      <w:r>
        <w:rPr/>
        <w:t>This program offers financial assistance for those in educational instruction and library occupations;</w:t>
      </w:r>
      <w:r>
        <w:rPr>
          <w:spacing w:val="-12"/>
        </w:rPr>
        <w:t> </w:t>
      </w:r>
      <w:r>
        <w:rPr/>
        <w:t>healthcare</w:t>
      </w:r>
      <w:r>
        <w:rPr>
          <w:spacing w:val="-13"/>
        </w:rPr>
        <w:t> </w:t>
      </w:r>
      <w:r>
        <w:rPr/>
        <w:t>practitioners</w:t>
      </w:r>
      <w:r>
        <w:rPr>
          <w:spacing w:val="-10"/>
        </w:rPr>
        <w:t> </w:t>
      </w:r>
      <w:r>
        <w:rPr/>
        <w:t>and</w:t>
      </w:r>
      <w:r>
        <w:rPr>
          <w:spacing w:val="-13"/>
        </w:rPr>
        <w:t> </w:t>
      </w:r>
      <w:r>
        <w:rPr/>
        <w:t>technical</w:t>
      </w:r>
      <w:r>
        <w:rPr>
          <w:spacing w:val="-11"/>
        </w:rPr>
        <w:t> </w:t>
      </w:r>
      <w:r>
        <w:rPr/>
        <w:t>occupations;</w:t>
      </w:r>
      <w:r>
        <w:rPr>
          <w:spacing w:val="-12"/>
        </w:rPr>
        <w:t> </w:t>
      </w:r>
      <w:r>
        <w:rPr/>
        <w:t>healthcare</w:t>
      </w:r>
      <w:r>
        <w:rPr>
          <w:spacing w:val="-11"/>
        </w:rPr>
        <w:t> </w:t>
      </w:r>
      <w:r>
        <w:rPr/>
        <w:t>support</w:t>
      </w:r>
      <w:r>
        <w:rPr>
          <w:spacing w:val="-10"/>
        </w:rPr>
        <w:t> </w:t>
      </w:r>
      <w:r>
        <w:rPr/>
        <w:t>occupations; and protective service occupations, including but not limited to fire fighters and police officers, who purchase a property in the City of Dallas. Applicants with an income up to 120% AMI who qualify for this program may receive down payment assistance funds up to $45,000. Applicants who receive assistance using federal funds are subject to the rules of the “Dallas Homebuyer Assistance Program” (see above).</w:t>
      </w:r>
    </w:p>
    <w:p>
      <w:pPr>
        <w:pStyle w:val="BodyText"/>
        <w:rPr>
          <w:sz w:val="24"/>
        </w:rPr>
      </w:pPr>
    </w:p>
    <w:p>
      <w:pPr>
        <w:pStyle w:val="BodyText"/>
        <w:rPr>
          <w:sz w:val="20"/>
        </w:rPr>
      </w:pPr>
    </w:p>
    <w:p>
      <w:pPr>
        <w:pStyle w:val="Heading5"/>
        <w:jc w:val="left"/>
      </w:pPr>
      <w:r>
        <w:rPr>
          <w:spacing w:val="-2"/>
        </w:rPr>
        <w:t>Eligibility</w:t>
      </w:r>
    </w:p>
    <w:p>
      <w:pPr>
        <w:pStyle w:val="BodyText"/>
        <w:spacing w:before="52"/>
        <w:ind w:left="120"/>
      </w:pPr>
      <w:r>
        <w:rPr/>
        <w:t>Applicant</w:t>
      </w:r>
      <w:r>
        <w:rPr>
          <w:spacing w:val="-4"/>
        </w:rPr>
        <w:t> </w:t>
      </w:r>
      <w:r>
        <w:rPr/>
        <w:t>must</w:t>
      </w:r>
      <w:r>
        <w:rPr>
          <w:spacing w:val="-5"/>
        </w:rPr>
        <w:t> </w:t>
      </w:r>
      <w:r>
        <w:rPr/>
        <w:t>meet</w:t>
      </w:r>
      <w:r>
        <w:rPr>
          <w:spacing w:val="-8"/>
        </w:rPr>
        <w:t> </w:t>
      </w:r>
      <w:r>
        <w:rPr/>
        <w:t>the</w:t>
      </w:r>
      <w:r>
        <w:rPr>
          <w:spacing w:val="-6"/>
        </w:rPr>
        <w:t> </w:t>
      </w:r>
      <w:r>
        <w:rPr/>
        <w:t>following</w:t>
      </w:r>
      <w:r>
        <w:rPr>
          <w:spacing w:val="-5"/>
        </w:rPr>
        <w:t> </w:t>
      </w:r>
      <w:r>
        <w:rPr>
          <w:spacing w:val="-2"/>
        </w:rPr>
        <w:t>criteria:</w:t>
      </w:r>
    </w:p>
    <w:p>
      <w:pPr>
        <w:pStyle w:val="BodyText"/>
        <w:spacing w:before="11"/>
        <w:rPr>
          <w:sz w:val="21"/>
        </w:rPr>
      </w:pPr>
    </w:p>
    <w:p>
      <w:pPr>
        <w:pStyle w:val="ListParagraph"/>
        <w:numPr>
          <w:ilvl w:val="0"/>
          <w:numId w:val="7"/>
        </w:numPr>
        <w:tabs>
          <w:tab w:pos="841" w:val="left" w:leader="none"/>
        </w:tabs>
        <w:spacing w:line="240" w:lineRule="auto" w:before="0" w:after="0"/>
        <w:ind w:left="840" w:right="0" w:hanging="362"/>
        <w:jc w:val="both"/>
        <w:rPr>
          <w:sz w:val="22"/>
        </w:rPr>
      </w:pPr>
      <w:r>
        <w:rPr>
          <w:sz w:val="22"/>
        </w:rPr>
        <w:t>Property</w:t>
      </w:r>
      <w:r>
        <w:rPr>
          <w:spacing w:val="-5"/>
          <w:sz w:val="22"/>
        </w:rPr>
        <w:t> </w:t>
      </w:r>
      <w:r>
        <w:rPr>
          <w:sz w:val="22"/>
        </w:rPr>
        <w:t>must</w:t>
      </w:r>
      <w:r>
        <w:rPr>
          <w:spacing w:val="-3"/>
          <w:sz w:val="22"/>
        </w:rPr>
        <w:t> </w:t>
      </w:r>
      <w:r>
        <w:rPr>
          <w:sz w:val="22"/>
        </w:rPr>
        <w:t>be</w:t>
      </w:r>
      <w:r>
        <w:rPr>
          <w:spacing w:val="-5"/>
          <w:sz w:val="22"/>
        </w:rPr>
        <w:t> </w:t>
      </w:r>
      <w:r>
        <w:rPr>
          <w:sz w:val="22"/>
        </w:rPr>
        <w:t>located</w:t>
      </w:r>
      <w:r>
        <w:rPr>
          <w:spacing w:val="-4"/>
          <w:sz w:val="22"/>
        </w:rPr>
        <w:t> </w:t>
      </w:r>
      <w:r>
        <w:rPr>
          <w:sz w:val="22"/>
        </w:rPr>
        <w:t>in</w:t>
      </w:r>
      <w:r>
        <w:rPr>
          <w:spacing w:val="-3"/>
          <w:sz w:val="22"/>
        </w:rPr>
        <w:t> </w:t>
      </w:r>
      <w:r>
        <w:rPr>
          <w:sz w:val="22"/>
        </w:rPr>
        <w:t>the</w:t>
      </w:r>
      <w:r>
        <w:rPr>
          <w:spacing w:val="-5"/>
          <w:sz w:val="22"/>
        </w:rPr>
        <w:t> </w:t>
      </w:r>
      <w:r>
        <w:rPr>
          <w:sz w:val="22"/>
        </w:rPr>
        <w:t>city</w:t>
      </w:r>
      <w:r>
        <w:rPr>
          <w:spacing w:val="-4"/>
          <w:sz w:val="22"/>
        </w:rPr>
        <w:t> </w:t>
      </w:r>
      <w:r>
        <w:rPr>
          <w:sz w:val="22"/>
        </w:rPr>
        <w:t>limits</w:t>
      </w:r>
      <w:r>
        <w:rPr>
          <w:spacing w:val="-5"/>
          <w:sz w:val="22"/>
        </w:rPr>
        <w:t> </w:t>
      </w:r>
      <w:r>
        <w:rPr>
          <w:sz w:val="22"/>
        </w:rPr>
        <w:t>of</w:t>
      </w:r>
      <w:r>
        <w:rPr>
          <w:spacing w:val="-3"/>
          <w:sz w:val="22"/>
        </w:rPr>
        <w:t> </w:t>
      </w:r>
      <w:r>
        <w:rPr>
          <w:spacing w:val="-2"/>
          <w:sz w:val="22"/>
        </w:rPr>
        <w:t>Dallas.</w:t>
      </w:r>
    </w:p>
    <w:p>
      <w:pPr>
        <w:spacing w:after="0" w:line="240" w:lineRule="auto"/>
        <w:jc w:val="both"/>
        <w:rPr>
          <w:sz w:val="22"/>
        </w:rPr>
        <w:sectPr>
          <w:pgSz w:w="12240" w:h="15840"/>
          <w:pgMar w:header="0" w:footer="1738" w:top="1360" w:bottom="1920" w:left="1320" w:right="1280"/>
        </w:sectPr>
      </w:pPr>
    </w:p>
    <w:p>
      <w:pPr>
        <w:pStyle w:val="ListParagraph"/>
        <w:numPr>
          <w:ilvl w:val="0"/>
          <w:numId w:val="7"/>
        </w:numPr>
        <w:tabs>
          <w:tab w:pos="841" w:val="left" w:leader="none"/>
        </w:tabs>
        <w:spacing w:line="237" w:lineRule="auto" w:before="84" w:after="0"/>
        <w:ind w:left="840" w:right="155" w:hanging="361"/>
        <w:jc w:val="both"/>
        <w:rPr>
          <w:sz w:val="22"/>
        </w:rPr>
      </w:pPr>
      <w:r>
        <w:rPr>
          <w:sz w:val="22"/>
        </w:rPr>
        <w:t>Household projected annual income must not exceed 120% of the Area Median Income, adjusted for household size, at the time of application to the program. Income eligibility shall</w:t>
      </w:r>
      <w:r>
        <w:rPr>
          <w:spacing w:val="-6"/>
          <w:sz w:val="22"/>
        </w:rPr>
        <w:t> </w:t>
      </w:r>
      <w:r>
        <w:rPr>
          <w:sz w:val="22"/>
        </w:rPr>
        <w:t>be</w:t>
      </w:r>
      <w:r>
        <w:rPr>
          <w:spacing w:val="-5"/>
          <w:sz w:val="22"/>
        </w:rPr>
        <w:t> </w:t>
      </w:r>
      <w:r>
        <w:rPr>
          <w:sz w:val="22"/>
        </w:rPr>
        <w:t>determined</w:t>
      </w:r>
      <w:r>
        <w:rPr>
          <w:spacing w:val="-5"/>
          <w:sz w:val="22"/>
        </w:rPr>
        <w:t> </w:t>
      </w:r>
      <w:r>
        <w:rPr>
          <w:sz w:val="22"/>
        </w:rPr>
        <w:t>at</w:t>
      </w:r>
      <w:r>
        <w:rPr>
          <w:spacing w:val="-6"/>
          <w:sz w:val="22"/>
        </w:rPr>
        <w:t> </w:t>
      </w:r>
      <w:r>
        <w:rPr>
          <w:sz w:val="22"/>
        </w:rPr>
        <w:t>the</w:t>
      </w:r>
      <w:r>
        <w:rPr>
          <w:spacing w:val="-5"/>
          <w:sz w:val="22"/>
        </w:rPr>
        <w:t> </w:t>
      </w:r>
      <w:r>
        <w:rPr>
          <w:sz w:val="22"/>
        </w:rPr>
        <w:t>time</w:t>
      </w:r>
      <w:r>
        <w:rPr>
          <w:spacing w:val="-5"/>
          <w:sz w:val="22"/>
        </w:rPr>
        <w:t> </w:t>
      </w:r>
      <w:r>
        <w:rPr>
          <w:sz w:val="22"/>
        </w:rPr>
        <w:t>of</w:t>
      </w:r>
      <w:r>
        <w:rPr>
          <w:spacing w:val="-4"/>
          <w:sz w:val="22"/>
        </w:rPr>
        <w:t> </w:t>
      </w:r>
      <w:r>
        <w:rPr>
          <w:sz w:val="22"/>
        </w:rPr>
        <w:t>the</w:t>
      </w:r>
      <w:r>
        <w:rPr>
          <w:spacing w:val="-7"/>
          <w:sz w:val="22"/>
        </w:rPr>
        <w:t> </w:t>
      </w:r>
      <w:r>
        <w:rPr>
          <w:sz w:val="22"/>
        </w:rPr>
        <w:t>application.</w:t>
      </w:r>
      <w:r>
        <w:rPr>
          <w:spacing w:val="-6"/>
          <w:sz w:val="22"/>
        </w:rPr>
        <w:t> </w:t>
      </w:r>
      <w:r>
        <w:rPr>
          <w:sz w:val="22"/>
        </w:rPr>
        <w:t>Applicant</w:t>
      </w:r>
      <w:r>
        <w:rPr>
          <w:spacing w:val="-4"/>
          <w:sz w:val="22"/>
        </w:rPr>
        <w:t> </w:t>
      </w:r>
      <w:r>
        <w:rPr>
          <w:sz w:val="22"/>
        </w:rPr>
        <w:t>household’s</w:t>
      </w:r>
      <w:r>
        <w:rPr>
          <w:spacing w:val="-5"/>
          <w:sz w:val="22"/>
        </w:rPr>
        <w:t> </w:t>
      </w:r>
      <w:r>
        <w:rPr>
          <w:sz w:val="22"/>
        </w:rPr>
        <w:t>income</w:t>
      </w:r>
      <w:r>
        <w:rPr>
          <w:spacing w:val="-5"/>
          <w:sz w:val="22"/>
        </w:rPr>
        <w:t> </w:t>
      </w:r>
      <w:r>
        <w:rPr>
          <w:sz w:val="22"/>
        </w:rPr>
        <w:t>eligibility is only valid for six months from the date of the last application.</w:t>
      </w:r>
    </w:p>
    <w:p>
      <w:pPr>
        <w:pStyle w:val="ListParagraph"/>
        <w:numPr>
          <w:ilvl w:val="0"/>
          <w:numId w:val="7"/>
        </w:numPr>
        <w:tabs>
          <w:tab w:pos="841" w:val="left" w:leader="none"/>
        </w:tabs>
        <w:spacing w:line="237" w:lineRule="auto" w:before="6" w:after="0"/>
        <w:ind w:left="840" w:right="155" w:hanging="361"/>
        <w:jc w:val="both"/>
        <w:rPr>
          <w:sz w:val="22"/>
        </w:rPr>
      </w:pPr>
      <w:r>
        <w:rPr>
          <w:sz w:val="22"/>
        </w:rPr>
        <w:t>Applicant must have acceptable credit. High cost or sub-prime loans, adjustable rate mortgages, interest only loans are not allowed.</w:t>
      </w:r>
    </w:p>
    <w:p>
      <w:pPr>
        <w:pStyle w:val="ListParagraph"/>
        <w:numPr>
          <w:ilvl w:val="0"/>
          <w:numId w:val="7"/>
        </w:numPr>
        <w:tabs>
          <w:tab w:pos="841" w:val="left" w:leader="none"/>
        </w:tabs>
        <w:spacing w:line="240" w:lineRule="auto" w:before="1" w:after="0"/>
        <w:ind w:left="840" w:right="156" w:hanging="361"/>
        <w:jc w:val="both"/>
        <w:rPr>
          <w:sz w:val="22"/>
        </w:rPr>
      </w:pPr>
      <w:r>
        <w:rPr/>
        <w:pict>
          <v:shape style="position:absolute;margin-left:90.065002pt;margin-top:19.902145pt;width:395.3pt;height:419pt;mso-position-horizontal-relative:page;mso-position-vertical-relative:paragraph;z-index:-17727488" id="docshape39" coordorigin="1801,398" coordsize="7906,8380" path="m4498,7662l4492,7588,4477,7510,4455,7427,4432,7358,4403,7286,4367,7211,4325,7133,4276,7053,4237,6994,4200,6943,4200,7628,4197,7685,4186,7742,4167,7799,4138,7859,4097,7921,4044,7987,3979,8057,3674,8362,2216,6905,2517,6604,2598,6528,2672,6468,2740,6424,2801,6398,2868,6383,2941,6379,3020,6386,3105,6404,3195,6433,3255,6459,3317,6491,3380,6530,3446,6575,3514,6626,3584,6684,3656,6749,3729,6820,3789,6882,3845,6942,3896,7001,3943,7059,3986,7116,4025,7171,4059,7225,4101,7299,4136,7372,4163,7441,4183,7508,4196,7572,4200,7628,4200,6943,4194,6934,4148,6874,4098,6813,4045,6752,3989,6691,3929,6629,3865,6567,3801,6508,3737,6454,3673,6402,3643,6379,3609,6354,3546,6310,3482,6268,3419,6230,3346,6193,3274,6160,3203,6133,3132,6111,3062,6094,2992,6082,2923,6075,2850,6073,2779,6080,2709,6095,2642,6118,2577,6148,2528,6177,2476,6214,2420,6259,2359,6313,2294,6376,1801,6869,3710,8777,4124,8362,4226,8261,4287,8195,4341,8130,4386,8064,4424,7998,4454,7931,4476,7865,4491,7798,4498,7730,4498,7662xm6418,6069l6056,5941,5650,5798,5561,5769,5475,5745,5393,5726,5365,5721,5314,5712,5239,5702,5193,5700,5143,5703,5089,5710,5030,5721,5073,5651,5109,5582,5136,5512,5154,5443,5164,5375,5165,5307,5157,5239,5139,5161,5111,5085,5075,5010,5030,4938,4976,4867,4956,4844,4913,4798,4872,4760,4872,5317,4868,5373,4854,5428,4830,5484,4794,5543,4747,5604,4687,5667,4280,6074,3649,5443,4102,4990,4166,4933,4229,4890,4293,4861,4358,4845,4422,4844,4501,4859,4577,4889,4649,4934,4718,4993,4761,5041,4797,5092,4827,5145,4851,5202,4867,5260,4872,5317,4872,4760,4849,4738,4782,4686,4713,4641,4641,4602,4566,4570,4474,4542,4386,4529,4303,4531,4225,4547,4163,4572,4098,4608,4030,4656,3958,4716,3883,4787,3248,5422,5157,7330,5346,7141,4499,6293,4718,6074,4753,6040,4783,6013,4810,5992,4833,5977,4863,5964,4896,5953,4932,5945,4971,5941,5014,5941,5066,5946,5125,5957,5194,5973,5256,5990,5328,6011,5407,6036,5496,6065,6180,6307,6418,6069xm7780,4706l7415,4511,6555,4057,6555,4364,6070,4849,6030,4778,5989,4706,5748,4276,5708,4204,5668,4132,5629,4067,5590,4002,5550,3938,5509,3875,5467,3813,5424,3752,5380,3691,5436,3727,5498,3764,5564,3804,5635,3846,5792,3937,6555,4364,6555,4057,5862,3691,5286,3384,5082,3588,5277,3939,5316,4009,5701,4706,6207,5625,6441,6046,6642,5845,6565,5711,6298,5243,6221,5110,6481,4849,6820,4511,7173,4706,7565,4922,7780,4706xm8131,4356l7264,3489,7936,2817,7711,2592,7039,3264,6448,2673,7224,1897,6999,1671,6033,2637,7941,4545,8131,4356xm9707,2780l8024,1097,8497,623,8272,398,7138,1533,7363,1758,7834,1286,9517,2969,9707,2780xe" filled="true" fillcolor="#c0c0c0" stroked="false">
            <v:path arrowok="t"/>
            <v:fill opacity="32896f" type="solid"/>
            <w10:wrap type="none"/>
          </v:shape>
        </w:pict>
      </w:r>
      <w:r>
        <w:rPr>
          <w:sz w:val="22"/>
        </w:rPr>
        <w:t>Applicant must</w:t>
      </w:r>
      <w:r>
        <w:rPr>
          <w:spacing w:val="-1"/>
          <w:sz w:val="22"/>
        </w:rPr>
        <w:t> </w:t>
      </w:r>
      <w:r>
        <w:rPr>
          <w:sz w:val="22"/>
        </w:rPr>
        <w:t>demonstrate</w:t>
      </w:r>
      <w:r>
        <w:rPr>
          <w:spacing w:val="-3"/>
          <w:sz w:val="22"/>
        </w:rPr>
        <w:t> </w:t>
      </w:r>
      <w:r>
        <w:rPr>
          <w:sz w:val="22"/>
        </w:rPr>
        <w:t>that</w:t>
      </w:r>
      <w:r>
        <w:rPr>
          <w:spacing w:val="-1"/>
          <w:sz w:val="22"/>
        </w:rPr>
        <w:t> </w:t>
      </w:r>
      <w:r>
        <w:rPr>
          <w:sz w:val="22"/>
        </w:rPr>
        <w:t>Applicant has at</w:t>
      </w:r>
      <w:r>
        <w:rPr>
          <w:spacing w:val="-4"/>
          <w:sz w:val="22"/>
        </w:rPr>
        <w:t> </w:t>
      </w:r>
      <w:r>
        <w:rPr>
          <w:sz w:val="22"/>
        </w:rPr>
        <w:t>least</w:t>
      </w:r>
      <w:r>
        <w:rPr>
          <w:spacing w:val="-1"/>
          <w:sz w:val="22"/>
        </w:rPr>
        <w:t> </w:t>
      </w:r>
      <w:r>
        <w:rPr>
          <w:sz w:val="22"/>
        </w:rPr>
        <w:t>two</w:t>
      </w:r>
      <w:r>
        <w:rPr>
          <w:spacing w:val="-3"/>
          <w:sz w:val="22"/>
        </w:rPr>
        <w:t> </w:t>
      </w:r>
      <w:r>
        <w:rPr>
          <w:sz w:val="22"/>
        </w:rPr>
        <w:t>months</w:t>
      </w:r>
      <w:r>
        <w:rPr>
          <w:spacing w:val="-2"/>
          <w:sz w:val="22"/>
        </w:rPr>
        <w:t> </w:t>
      </w:r>
      <w:r>
        <w:rPr>
          <w:sz w:val="22"/>
        </w:rPr>
        <w:t>of</w:t>
      </w:r>
      <w:r>
        <w:rPr>
          <w:spacing w:val="-4"/>
          <w:sz w:val="22"/>
        </w:rPr>
        <w:t> </w:t>
      </w:r>
      <w:r>
        <w:rPr>
          <w:sz w:val="22"/>
        </w:rPr>
        <w:t>cash</w:t>
      </w:r>
      <w:r>
        <w:rPr>
          <w:spacing w:val="-3"/>
          <w:sz w:val="22"/>
        </w:rPr>
        <w:t> </w:t>
      </w:r>
      <w:r>
        <w:rPr>
          <w:sz w:val="22"/>
        </w:rPr>
        <w:t>available and equal to Applicant’s projected monthly mortgage payment, including principal, interest, taxes, insurance, and any associated fees.</w:t>
      </w:r>
    </w:p>
    <w:p>
      <w:pPr>
        <w:pStyle w:val="ListParagraph"/>
        <w:numPr>
          <w:ilvl w:val="0"/>
          <w:numId w:val="7"/>
        </w:numPr>
        <w:tabs>
          <w:tab w:pos="841" w:val="left" w:leader="none"/>
        </w:tabs>
        <w:spacing w:line="268" w:lineRule="exact" w:before="0" w:after="0"/>
        <w:ind w:left="840" w:right="0" w:hanging="361"/>
        <w:jc w:val="both"/>
        <w:rPr>
          <w:sz w:val="22"/>
        </w:rPr>
      </w:pPr>
      <w:r>
        <w:rPr>
          <w:sz w:val="22"/>
        </w:rPr>
        <w:t>Applicant(s)</w:t>
      </w:r>
      <w:r>
        <w:rPr>
          <w:spacing w:val="-6"/>
          <w:sz w:val="22"/>
        </w:rPr>
        <w:t> </w:t>
      </w:r>
      <w:r>
        <w:rPr>
          <w:sz w:val="22"/>
        </w:rPr>
        <w:t>must</w:t>
      </w:r>
      <w:r>
        <w:rPr>
          <w:spacing w:val="-3"/>
          <w:sz w:val="22"/>
        </w:rPr>
        <w:t> </w:t>
      </w:r>
      <w:r>
        <w:rPr>
          <w:sz w:val="22"/>
        </w:rPr>
        <w:t>be</w:t>
      </w:r>
      <w:r>
        <w:rPr>
          <w:spacing w:val="-6"/>
          <w:sz w:val="22"/>
        </w:rPr>
        <w:t> </w:t>
      </w:r>
      <w:r>
        <w:rPr>
          <w:sz w:val="22"/>
        </w:rPr>
        <w:t>U.S.</w:t>
      </w:r>
      <w:r>
        <w:rPr>
          <w:spacing w:val="-3"/>
          <w:sz w:val="22"/>
        </w:rPr>
        <w:t> </w:t>
      </w:r>
      <w:r>
        <w:rPr>
          <w:sz w:val="22"/>
        </w:rPr>
        <w:t>Citizens</w:t>
      </w:r>
      <w:r>
        <w:rPr>
          <w:spacing w:val="-6"/>
          <w:sz w:val="22"/>
        </w:rPr>
        <w:t> </w:t>
      </w:r>
      <w:r>
        <w:rPr>
          <w:sz w:val="22"/>
        </w:rPr>
        <w:t>or</w:t>
      </w:r>
      <w:r>
        <w:rPr>
          <w:spacing w:val="-6"/>
          <w:sz w:val="22"/>
        </w:rPr>
        <w:t> </w:t>
      </w:r>
      <w:r>
        <w:rPr>
          <w:sz w:val="22"/>
        </w:rPr>
        <w:t>legal</w:t>
      </w:r>
      <w:r>
        <w:rPr>
          <w:spacing w:val="-4"/>
          <w:sz w:val="22"/>
        </w:rPr>
        <w:t> </w:t>
      </w:r>
      <w:r>
        <w:rPr>
          <w:spacing w:val="-2"/>
          <w:sz w:val="22"/>
        </w:rPr>
        <w:t>residents.</w:t>
      </w:r>
    </w:p>
    <w:p>
      <w:pPr>
        <w:pStyle w:val="ListParagraph"/>
        <w:numPr>
          <w:ilvl w:val="0"/>
          <w:numId w:val="7"/>
        </w:numPr>
        <w:tabs>
          <w:tab w:pos="841" w:val="left" w:leader="none"/>
        </w:tabs>
        <w:spacing w:line="240" w:lineRule="auto" w:before="0" w:after="0"/>
        <w:ind w:left="840" w:right="156" w:hanging="361"/>
        <w:jc w:val="both"/>
        <w:rPr>
          <w:sz w:val="22"/>
        </w:rPr>
      </w:pPr>
      <w:r>
        <w:rPr>
          <w:sz w:val="22"/>
        </w:rPr>
        <w:t>City</w:t>
      </w:r>
      <w:r>
        <w:rPr>
          <w:spacing w:val="-9"/>
          <w:sz w:val="22"/>
        </w:rPr>
        <w:t> </w:t>
      </w:r>
      <w:r>
        <w:rPr>
          <w:sz w:val="22"/>
        </w:rPr>
        <w:t>Council</w:t>
      </w:r>
      <w:r>
        <w:rPr>
          <w:spacing w:val="-10"/>
          <w:sz w:val="22"/>
        </w:rPr>
        <w:t> </w:t>
      </w:r>
      <w:r>
        <w:rPr>
          <w:sz w:val="22"/>
        </w:rPr>
        <w:t>members,</w:t>
      </w:r>
      <w:r>
        <w:rPr>
          <w:spacing w:val="-8"/>
          <w:sz w:val="22"/>
        </w:rPr>
        <w:t> </w:t>
      </w:r>
      <w:r>
        <w:rPr>
          <w:sz w:val="22"/>
        </w:rPr>
        <w:t>Department</w:t>
      </w:r>
      <w:r>
        <w:rPr>
          <w:spacing w:val="-10"/>
          <w:sz w:val="22"/>
        </w:rPr>
        <w:t> </w:t>
      </w:r>
      <w:r>
        <w:rPr>
          <w:sz w:val="22"/>
        </w:rPr>
        <w:t>of</w:t>
      </w:r>
      <w:r>
        <w:rPr>
          <w:spacing w:val="-10"/>
          <w:sz w:val="22"/>
        </w:rPr>
        <w:t> </w:t>
      </w:r>
      <w:r>
        <w:rPr>
          <w:sz w:val="22"/>
        </w:rPr>
        <w:t>Housing</w:t>
      </w:r>
      <w:r>
        <w:rPr>
          <w:spacing w:val="-9"/>
          <w:sz w:val="22"/>
        </w:rPr>
        <w:t> </w:t>
      </w:r>
      <w:r>
        <w:rPr>
          <w:sz w:val="22"/>
        </w:rPr>
        <w:t>&amp;</w:t>
      </w:r>
      <w:r>
        <w:rPr>
          <w:spacing w:val="-11"/>
          <w:sz w:val="22"/>
        </w:rPr>
        <w:t> </w:t>
      </w:r>
      <w:r>
        <w:rPr>
          <w:sz w:val="22"/>
        </w:rPr>
        <w:t>Neighborhood</w:t>
      </w:r>
      <w:r>
        <w:rPr>
          <w:spacing w:val="-9"/>
          <w:sz w:val="22"/>
        </w:rPr>
        <w:t> </w:t>
      </w:r>
      <w:r>
        <w:rPr>
          <w:sz w:val="22"/>
        </w:rPr>
        <w:t>Revitalization</w:t>
      </w:r>
      <w:r>
        <w:rPr>
          <w:spacing w:val="-9"/>
          <w:sz w:val="22"/>
        </w:rPr>
        <w:t> </w:t>
      </w:r>
      <w:r>
        <w:rPr>
          <w:sz w:val="22"/>
        </w:rPr>
        <w:t>employees and any employee, official or agent of the City who exercises any policy or program decision-making function in connection with this program are ineligible for assistance under this program. This policy extends for a period of 12 months beyond</w:t>
      </w:r>
      <w:r>
        <w:rPr>
          <w:spacing w:val="-2"/>
          <w:sz w:val="22"/>
        </w:rPr>
        <w:t> </w:t>
      </w:r>
      <w:r>
        <w:rPr>
          <w:sz w:val="22"/>
        </w:rPr>
        <w:t>an individual’s disassociation with the City in such a capacity.</w:t>
      </w:r>
    </w:p>
    <w:p>
      <w:pPr>
        <w:pStyle w:val="ListParagraph"/>
        <w:numPr>
          <w:ilvl w:val="0"/>
          <w:numId w:val="7"/>
        </w:numPr>
        <w:tabs>
          <w:tab w:pos="841" w:val="left" w:leader="none"/>
        </w:tabs>
        <w:spacing w:line="237" w:lineRule="auto" w:before="1" w:after="0"/>
        <w:ind w:left="841" w:right="158" w:hanging="361"/>
        <w:jc w:val="both"/>
        <w:rPr>
          <w:sz w:val="22"/>
        </w:rPr>
      </w:pPr>
      <w:r>
        <w:rPr>
          <w:sz w:val="22"/>
        </w:rPr>
        <w:t>Property to be purchased must be for the primary residence of Applicant. Applicant must certify that the home is not for sale and will be the primary residence of Applicant.</w:t>
      </w:r>
    </w:p>
    <w:p>
      <w:pPr>
        <w:pStyle w:val="ListParagraph"/>
        <w:numPr>
          <w:ilvl w:val="0"/>
          <w:numId w:val="7"/>
        </w:numPr>
        <w:tabs>
          <w:tab w:pos="841" w:val="left" w:leader="none"/>
        </w:tabs>
        <w:spacing w:line="237" w:lineRule="auto" w:before="3" w:after="0"/>
        <w:ind w:left="841" w:right="154" w:hanging="361"/>
        <w:jc w:val="both"/>
        <w:rPr>
          <w:sz w:val="22"/>
        </w:rPr>
      </w:pPr>
      <w:r>
        <w:rPr>
          <w:sz w:val="22"/>
        </w:rPr>
        <w:t>Applicant must attend an 8-hour homeownership education class from a HUD-certified counseling agency within 12 months of application for assistance.</w:t>
      </w:r>
    </w:p>
    <w:p>
      <w:pPr>
        <w:pStyle w:val="ListParagraph"/>
        <w:numPr>
          <w:ilvl w:val="0"/>
          <w:numId w:val="7"/>
        </w:numPr>
        <w:tabs>
          <w:tab w:pos="842" w:val="left" w:leader="none"/>
        </w:tabs>
        <w:spacing w:line="237" w:lineRule="auto" w:before="4" w:after="0"/>
        <w:ind w:left="841" w:right="155" w:hanging="361"/>
        <w:jc w:val="both"/>
        <w:rPr>
          <w:sz w:val="22"/>
        </w:rPr>
      </w:pPr>
      <w:r>
        <w:rPr>
          <w:sz w:val="22"/>
        </w:rPr>
        <w:t>Applicant must make a minimum initial cash investment of $1,000 toward purchase of </w:t>
      </w:r>
      <w:r>
        <w:rPr>
          <w:spacing w:val="-4"/>
          <w:sz w:val="22"/>
        </w:rPr>
        <w:t>home.</w:t>
      </w:r>
    </w:p>
    <w:p>
      <w:pPr>
        <w:pStyle w:val="ListParagraph"/>
        <w:numPr>
          <w:ilvl w:val="0"/>
          <w:numId w:val="7"/>
        </w:numPr>
        <w:tabs>
          <w:tab w:pos="842" w:val="left" w:leader="none"/>
        </w:tabs>
        <w:spacing w:line="237" w:lineRule="auto" w:before="3" w:after="0"/>
        <w:ind w:left="841" w:right="156" w:hanging="361"/>
        <w:jc w:val="both"/>
        <w:rPr>
          <w:sz w:val="22"/>
        </w:rPr>
      </w:pPr>
      <w:r>
        <w:rPr>
          <w:sz w:val="22"/>
        </w:rPr>
        <w:t>The property must meet federal and local requirements, including but not limited to Minimum Housing Standards and international residential code.</w:t>
      </w:r>
    </w:p>
    <w:p>
      <w:pPr>
        <w:pStyle w:val="BodyText"/>
        <w:spacing w:before="10"/>
      </w:pPr>
    </w:p>
    <w:p>
      <w:pPr>
        <w:pStyle w:val="Heading5"/>
        <w:ind w:left="121"/>
      </w:pPr>
      <w:r>
        <w:rPr/>
        <w:t>Eligible</w:t>
      </w:r>
      <w:r>
        <w:rPr>
          <w:spacing w:val="-3"/>
        </w:rPr>
        <w:t> </w:t>
      </w:r>
      <w:r>
        <w:rPr>
          <w:spacing w:val="-2"/>
        </w:rPr>
        <w:t>Properties</w:t>
      </w:r>
    </w:p>
    <w:p>
      <w:pPr>
        <w:pStyle w:val="BodyText"/>
        <w:spacing w:before="110"/>
        <w:ind w:left="121" w:right="154"/>
        <w:jc w:val="both"/>
      </w:pPr>
      <w:r>
        <w:rPr/>
        <w:t>The property can be privately or publicly owned prior to</w:t>
      </w:r>
      <w:r>
        <w:rPr>
          <w:spacing w:val="-2"/>
        </w:rPr>
        <w:t> </w:t>
      </w:r>
      <w:r>
        <w:rPr/>
        <w:t>sale to</w:t>
      </w:r>
      <w:r>
        <w:rPr>
          <w:spacing w:val="-2"/>
        </w:rPr>
        <w:t> </w:t>
      </w:r>
      <w:r>
        <w:rPr/>
        <w:t>the Applicant. The property</w:t>
      </w:r>
      <w:r>
        <w:rPr>
          <w:spacing w:val="-1"/>
        </w:rPr>
        <w:t> </w:t>
      </w:r>
      <w:r>
        <w:rPr/>
        <w:t>must be within the Dallas, Texas city limits and meet City building codes, lead based paint requirements,</w:t>
      </w:r>
      <w:r>
        <w:rPr>
          <w:spacing w:val="-8"/>
        </w:rPr>
        <w:t> </w:t>
      </w:r>
      <w:r>
        <w:rPr/>
        <w:t>and</w:t>
      </w:r>
      <w:r>
        <w:rPr>
          <w:spacing w:val="-10"/>
        </w:rPr>
        <w:t> </w:t>
      </w:r>
      <w:r>
        <w:rPr/>
        <w:t>environmental</w:t>
      </w:r>
      <w:r>
        <w:rPr>
          <w:spacing w:val="-10"/>
        </w:rPr>
        <w:t> </w:t>
      </w:r>
      <w:r>
        <w:rPr/>
        <w:t>standards</w:t>
      </w:r>
      <w:r>
        <w:rPr>
          <w:spacing w:val="-9"/>
        </w:rPr>
        <w:t> </w:t>
      </w:r>
      <w:r>
        <w:rPr/>
        <w:t>at</w:t>
      </w:r>
      <w:r>
        <w:rPr>
          <w:spacing w:val="-11"/>
        </w:rPr>
        <w:t> </w:t>
      </w:r>
      <w:r>
        <w:rPr/>
        <w:t>the</w:t>
      </w:r>
      <w:r>
        <w:rPr>
          <w:spacing w:val="-15"/>
        </w:rPr>
        <w:t> </w:t>
      </w:r>
      <w:r>
        <w:rPr/>
        <w:t>time</w:t>
      </w:r>
      <w:r>
        <w:rPr>
          <w:spacing w:val="-10"/>
        </w:rPr>
        <w:t> </w:t>
      </w:r>
      <w:r>
        <w:rPr/>
        <w:t>of</w:t>
      </w:r>
      <w:r>
        <w:rPr>
          <w:spacing w:val="-8"/>
        </w:rPr>
        <w:t> </w:t>
      </w:r>
      <w:r>
        <w:rPr/>
        <w:t>initial</w:t>
      </w:r>
      <w:r>
        <w:rPr>
          <w:spacing w:val="-10"/>
        </w:rPr>
        <w:t> </w:t>
      </w:r>
      <w:r>
        <w:rPr/>
        <w:t>occupancy.</w:t>
      </w:r>
      <w:r>
        <w:rPr>
          <w:spacing w:val="-8"/>
        </w:rPr>
        <w:t> </w:t>
      </w:r>
      <w:r>
        <w:rPr/>
        <w:t>All</w:t>
      </w:r>
      <w:r>
        <w:rPr>
          <w:spacing w:val="-10"/>
        </w:rPr>
        <w:t> </w:t>
      </w:r>
      <w:r>
        <w:rPr/>
        <w:t>liens</w:t>
      </w:r>
      <w:r>
        <w:rPr>
          <w:spacing w:val="-9"/>
        </w:rPr>
        <w:t> </w:t>
      </w:r>
      <w:r>
        <w:rPr/>
        <w:t>must</w:t>
      </w:r>
      <w:r>
        <w:rPr>
          <w:spacing w:val="-8"/>
        </w:rPr>
        <w:t> </w:t>
      </w:r>
      <w:r>
        <w:rPr/>
        <w:t>be</w:t>
      </w:r>
      <w:r>
        <w:rPr>
          <w:spacing w:val="-10"/>
        </w:rPr>
        <w:t> </w:t>
      </w:r>
      <w:r>
        <w:rPr/>
        <w:t>paid off at or before closing.</w:t>
      </w:r>
    </w:p>
    <w:p>
      <w:pPr>
        <w:pStyle w:val="BodyText"/>
        <w:spacing w:before="11"/>
        <w:rPr>
          <w:sz w:val="21"/>
        </w:rPr>
      </w:pPr>
    </w:p>
    <w:p>
      <w:pPr>
        <w:pStyle w:val="BodyText"/>
        <w:ind w:left="121" w:right="158"/>
        <w:jc w:val="both"/>
      </w:pPr>
      <w:r>
        <w:rPr/>
        <w:t>The property must contain adequate living and sleeping space for the Applicant household as verified by the property appraisal, site visit, and/or Dallas Appraisal District Data.</w:t>
      </w:r>
    </w:p>
    <w:p>
      <w:pPr>
        <w:pStyle w:val="BodyText"/>
        <w:spacing w:before="10"/>
        <w:rPr>
          <w:sz w:val="21"/>
        </w:rPr>
      </w:pPr>
    </w:p>
    <w:p>
      <w:pPr>
        <w:pStyle w:val="BodyText"/>
        <w:spacing w:before="1"/>
        <w:ind w:left="121"/>
        <w:jc w:val="both"/>
      </w:pPr>
      <w:r>
        <w:rPr/>
        <w:t>The</w:t>
      </w:r>
      <w:r>
        <w:rPr>
          <w:spacing w:val="-6"/>
        </w:rPr>
        <w:t> </w:t>
      </w:r>
      <w:r>
        <w:rPr/>
        <w:t>property</w:t>
      </w:r>
      <w:r>
        <w:rPr>
          <w:spacing w:val="-5"/>
        </w:rPr>
        <w:t> </w:t>
      </w:r>
      <w:r>
        <w:rPr/>
        <w:t>can</w:t>
      </w:r>
      <w:r>
        <w:rPr>
          <w:spacing w:val="-6"/>
        </w:rPr>
        <w:t> </w:t>
      </w:r>
      <w:r>
        <w:rPr/>
        <w:t>be</w:t>
      </w:r>
      <w:r>
        <w:rPr>
          <w:spacing w:val="-4"/>
        </w:rPr>
        <w:t> </w:t>
      </w:r>
      <w:r>
        <w:rPr/>
        <w:t>an</w:t>
      </w:r>
      <w:r>
        <w:rPr>
          <w:spacing w:val="-8"/>
        </w:rPr>
        <w:t> </w:t>
      </w:r>
      <w:r>
        <w:rPr/>
        <w:t>existing</w:t>
      </w:r>
      <w:r>
        <w:rPr>
          <w:spacing w:val="-4"/>
        </w:rPr>
        <w:t> </w:t>
      </w:r>
      <w:r>
        <w:rPr/>
        <w:t>property,</w:t>
      </w:r>
      <w:r>
        <w:rPr>
          <w:spacing w:val="-2"/>
        </w:rPr>
        <w:t> </w:t>
      </w:r>
      <w:r>
        <w:rPr/>
        <w:t>or</w:t>
      </w:r>
      <w:r>
        <w:rPr>
          <w:spacing w:val="-2"/>
        </w:rPr>
        <w:t> </w:t>
      </w:r>
      <w:r>
        <w:rPr/>
        <w:t>it</w:t>
      </w:r>
      <w:r>
        <w:rPr>
          <w:spacing w:val="-5"/>
        </w:rPr>
        <w:t> </w:t>
      </w:r>
      <w:r>
        <w:rPr/>
        <w:t>may</w:t>
      </w:r>
      <w:r>
        <w:rPr>
          <w:spacing w:val="-3"/>
        </w:rPr>
        <w:t> </w:t>
      </w:r>
      <w:r>
        <w:rPr/>
        <w:t>be</w:t>
      </w:r>
      <w:r>
        <w:rPr>
          <w:spacing w:val="-4"/>
        </w:rPr>
        <w:t> </w:t>
      </w:r>
      <w:r>
        <w:rPr/>
        <w:t>newly</w:t>
      </w:r>
      <w:r>
        <w:rPr>
          <w:spacing w:val="-6"/>
        </w:rPr>
        <w:t> </w:t>
      </w:r>
      <w:r>
        <w:rPr/>
        <w:t>constructed.</w:t>
      </w:r>
      <w:r>
        <w:rPr>
          <w:spacing w:val="-4"/>
        </w:rPr>
        <w:t> </w:t>
      </w:r>
      <w:r>
        <w:rPr/>
        <w:t>The</w:t>
      </w:r>
      <w:r>
        <w:rPr>
          <w:spacing w:val="-4"/>
        </w:rPr>
        <w:t> </w:t>
      </w:r>
      <w:r>
        <w:rPr/>
        <w:t>property</w:t>
      </w:r>
      <w:r>
        <w:rPr>
          <w:spacing w:val="-3"/>
        </w:rPr>
        <w:t> </w:t>
      </w:r>
      <w:r>
        <w:rPr/>
        <w:t>can</w:t>
      </w:r>
      <w:r>
        <w:rPr>
          <w:spacing w:val="-3"/>
        </w:rPr>
        <w:t> </w:t>
      </w:r>
      <w:r>
        <w:rPr>
          <w:spacing w:val="-5"/>
        </w:rPr>
        <w:t>be:</w:t>
      </w:r>
    </w:p>
    <w:p>
      <w:pPr>
        <w:pStyle w:val="BodyText"/>
        <w:spacing w:before="2"/>
      </w:pPr>
    </w:p>
    <w:p>
      <w:pPr>
        <w:pStyle w:val="ListParagraph"/>
        <w:numPr>
          <w:ilvl w:val="0"/>
          <w:numId w:val="7"/>
        </w:numPr>
        <w:tabs>
          <w:tab w:pos="842" w:val="left" w:leader="none"/>
        </w:tabs>
        <w:spacing w:line="268" w:lineRule="exact" w:before="0" w:after="0"/>
        <w:ind w:left="841" w:right="0" w:hanging="361"/>
        <w:jc w:val="both"/>
        <w:rPr>
          <w:sz w:val="22"/>
        </w:rPr>
      </w:pPr>
      <w:r>
        <w:rPr>
          <w:sz w:val="22"/>
        </w:rPr>
        <w:t>Single-family</w:t>
      </w:r>
      <w:r>
        <w:rPr>
          <w:spacing w:val="-8"/>
          <w:sz w:val="22"/>
        </w:rPr>
        <w:t> </w:t>
      </w:r>
      <w:r>
        <w:rPr>
          <w:sz w:val="22"/>
        </w:rPr>
        <w:t>property</w:t>
      </w:r>
      <w:r>
        <w:rPr>
          <w:spacing w:val="-8"/>
          <w:sz w:val="22"/>
        </w:rPr>
        <w:t> </w:t>
      </w:r>
      <w:r>
        <w:rPr>
          <w:sz w:val="22"/>
        </w:rPr>
        <w:t>(one</w:t>
      </w:r>
      <w:r>
        <w:rPr>
          <w:spacing w:val="-7"/>
          <w:sz w:val="22"/>
        </w:rPr>
        <w:t> </w:t>
      </w:r>
      <w:r>
        <w:rPr>
          <w:sz w:val="22"/>
        </w:rPr>
        <w:t>unit);</w:t>
      </w:r>
      <w:r>
        <w:rPr>
          <w:spacing w:val="-4"/>
          <w:sz w:val="22"/>
        </w:rPr>
        <w:t> </w:t>
      </w:r>
      <w:r>
        <w:rPr>
          <w:spacing w:val="-5"/>
          <w:sz w:val="22"/>
        </w:rPr>
        <w:t>or</w:t>
      </w:r>
    </w:p>
    <w:p>
      <w:pPr>
        <w:pStyle w:val="ListParagraph"/>
        <w:numPr>
          <w:ilvl w:val="0"/>
          <w:numId w:val="7"/>
        </w:numPr>
        <w:tabs>
          <w:tab w:pos="842" w:val="left" w:leader="none"/>
        </w:tabs>
        <w:spacing w:line="268" w:lineRule="exact" w:before="0" w:after="0"/>
        <w:ind w:left="841" w:right="0" w:hanging="361"/>
        <w:jc w:val="both"/>
        <w:rPr>
          <w:sz w:val="22"/>
        </w:rPr>
      </w:pPr>
      <w:r>
        <w:rPr>
          <w:sz w:val="22"/>
        </w:rPr>
        <w:t>Condominium</w:t>
      </w:r>
      <w:r>
        <w:rPr>
          <w:spacing w:val="-7"/>
          <w:sz w:val="22"/>
        </w:rPr>
        <w:t> </w:t>
      </w:r>
      <w:r>
        <w:rPr>
          <w:sz w:val="22"/>
        </w:rPr>
        <w:t>or</w:t>
      </w:r>
      <w:r>
        <w:rPr>
          <w:spacing w:val="-9"/>
          <w:sz w:val="22"/>
        </w:rPr>
        <w:t> </w:t>
      </w:r>
      <w:r>
        <w:rPr>
          <w:sz w:val="22"/>
        </w:rPr>
        <w:t>cooperative</w:t>
      </w:r>
      <w:r>
        <w:rPr>
          <w:spacing w:val="-7"/>
          <w:sz w:val="22"/>
        </w:rPr>
        <w:t> </w:t>
      </w:r>
      <w:r>
        <w:rPr>
          <w:spacing w:val="-4"/>
          <w:sz w:val="22"/>
        </w:rPr>
        <w:t>unit</w:t>
      </w:r>
    </w:p>
    <w:p>
      <w:pPr>
        <w:pStyle w:val="BodyText"/>
        <w:spacing w:before="10"/>
        <w:rPr>
          <w:sz w:val="21"/>
        </w:rPr>
      </w:pPr>
    </w:p>
    <w:p>
      <w:pPr>
        <w:pStyle w:val="BodyText"/>
        <w:ind w:left="121" w:right="153"/>
        <w:jc w:val="both"/>
      </w:pPr>
      <w:r>
        <w:rPr/>
        <w:t>An</w:t>
      </w:r>
      <w:r>
        <w:rPr>
          <w:spacing w:val="-2"/>
        </w:rPr>
        <w:t> </w:t>
      </w:r>
      <w:r>
        <w:rPr/>
        <w:t>appraisal</w:t>
      </w:r>
      <w:r>
        <w:rPr>
          <w:spacing w:val="-2"/>
        </w:rPr>
        <w:t> </w:t>
      </w:r>
      <w:r>
        <w:rPr/>
        <w:t>is</w:t>
      </w:r>
      <w:r>
        <w:rPr>
          <w:spacing w:val="-1"/>
        </w:rPr>
        <w:t> </w:t>
      </w:r>
      <w:r>
        <w:rPr/>
        <w:t>required</w:t>
      </w:r>
      <w:r>
        <w:rPr>
          <w:spacing w:val="-4"/>
        </w:rPr>
        <w:t> </w:t>
      </w:r>
      <w:r>
        <w:rPr/>
        <w:t>and</w:t>
      </w:r>
      <w:r>
        <w:rPr>
          <w:spacing w:val="-2"/>
        </w:rPr>
        <w:t> </w:t>
      </w:r>
      <w:r>
        <w:rPr/>
        <w:t>may</w:t>
      </w:r>
      <w:r>
        <w:rPr>
          <w:spacing w:val="-4"/>
        </w:rPr>
        <w:t> </w:t>
      </w:r>
      <w:r>
        <w:rPr/>
        <w:t>be</w:t>
      </w:r>
      <w:r>
        <w:rPr>
          <w:spacing w:val="-2"/>
        </w:rPr>
        <w:t> </w:t>
      </w:r>
      <w:r>
        <w:rPr/>
        <w:t>provided</w:t>
      </w:r>
      <w:r>
        <w:rPr>
          <w:spacing w:val="-2"/>
        </w:rPr>
        <w:t> </w:t>
      </w:r>
      <w:r>
        <w:rPr/>
        <w:t>by</w:t>
      </w:r>
      <w:r>
        <w:rPr>
          <w:spacing w:val="-4"/>
        </w:rPr>
        <w:t> </w:t>
      </w:r>
      <w:r>
        <w:rPr/>
        <w:t>the</w:t>
      </w:r>
      <w:r>
        <w:rPr>
          <w:spacing w:val="-2"/>
        </w:rPr>
        <w:t> </w:t>
      </w:r>
      <w:r>
        <w:rPr/>
        <w:t>first</w:t>
      </w:r>
      <w:r>
        <w:rPr>
          <w:spacing w:val="-3"/>
        </w:rPr>
        <w:t> </w:t>
      </w:r>
      <w:r>
        <w:rPr/>
        <w:t>mortgage</w:t>
      </w:r>
      <w:r>
        <w:rPr>
          <w:spacing w:val="-4"/>
        </w:rPr>
        <w:t> </w:t>
      </w:r>
      <w:r>
        <w:rPr/>
        <w:t>lender</w:t>
      </w:r>
      <w:r>
        <w:rPr>
          <w:spacing w:val="-3"/>
        </w:rPr>
        <w:t> </w:t>
      </w:r>
      <w:r>
        <w:rPr/>
        <w:t>or Applicant. The</w:t>
      </w:r>
      <w:r>
        <w:rPr>
          <w:spacing w:val="-1"/>
        </w:rPr>
        <w:t> </w:t>
      </w:r>
      <w:r>
        <w:rPr/>
        <w:t>sale price of an assisted property may not exceed the “Appraised Value”.</w:t>
      </w:r>
    </w:p>
    <w:p>
      <w:pPr>
        <w:pStyle w:val="BodyText"/>
        <w:spacing w:before="6"/>
      </w:pPr>
    </w:p>
    <w:p>
      <w:pPr>
        <w:pStyle w:val="Heading5"/>
        <w:spacing w:before="1"/>
        <w:ind w:left="121"/>
      </w:pPr>
      <w:r>
        <w:rPr/>
        <w:t>Affordability</w:t>
      </w:r>
      <w:r>
        <w:rPr>
          <w:spacing w:val="-10"/>
        </w:rPr>
        <w:t> </w:t>
      </w:r>
      <w:r>
        <w:rPr>
          <w:spacing w:val="-2"/>
        </w:rPr>
        <w:t>Periods</w:t>
      </w:r>
    </w:p>
    <w:p>
      <w:pPr>
        <w:pStyle w:val="BodyText"/>
        <w:spacing w:before="49"/>
        <w:ind w:left="121" w:right="156"/>
        <w:jc w:val="both"/>
      </w:pPr>
      <w:r>
        <w:rPr/>
        <w:t>The residence must remain affordable for a certain period of time, which is dependent on the amount of funds invested.</w:t>
      </w:r>
    </w:p>
    <w:p>
      <w:pPr>
        <w:spacing w:after="0"/>
        <w:jc w:val="both"/>
        <w:sectPr>
          <w:pgSz w:w="12240" w:h="15840"/>
          <w:pgMar w:header="0" w:footer="1738" w:top="1360" w:bottom="1920" w:left="1320" w:right="1280"/>
        </w:sectPr>
      </w:pPr>
    </w:p>
    <w:tbl>
      <w:tblPr>
        <w:tblW w:w="0" w:type="auto"/>
        <w:jc w:val="left"/>
        <w:tblInd w:w="19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875"/>
        <w:gridCol w:w="2791"/>
      </w:tblGrid>
      <w:tr>
        <w:trPr>
          <w:trHeight w:val="292" w:hRule="atLeast"/>
        </w:trPr>
        <w:tc>
          <w:tcPr>
            <w:tcW w:w="2875" w:type="dxa"/>
            <w:shd w:val="clear" w:color="auto" w:fill="16365D"/>
          </w:tcPr>
          <w:p>
            <w:pPr>
              <w:pStyle w:val="TableParagraph"/>
              <w:spacing w:before="12"/>
              <w:ind w:left="208"/>
              <w:jc w:val="left"/>
              <w:rPr>
                <w:b/>
                <w:sz w:val="22"/>
              </w:rPr>
            </w:pPr>
            <w:r>
              <w:rPr>
                <w:b/>
                <w:color w:val="FFFFFF"/>
                <w:sz w:val="22"/>
              </w:rPr>
              <w:t>Amount</w:t>
            </w:r>
            <w:r>
              <w:rPr>
                <w:b/>
                <w:color w:val="FFFFFF"/>
                <w:spacing w:val="-2"/>
                <w:sz w:val="22"/>
              </w:rPr>
              <w:t> </w:t>
            </w:r>
            <w:r>
              <w:rPr>
                <w:b/>
                <w:color w:val="FFFFFF"/>
                <w:sz w:val="22"/>
              </w:rPr>
              <w:t>of</w:t>
            </w:r>
            <w:r>
              <w:rPr>
                <w:b/>
                <w:color w:val="FFFFFF"/>
                <w:spacing w:val="-1"/>
                <w:sz w:val="22"/>
              </w:rPr>
              <w:t> </w:t>
            </w:r>
            <w:r>
              <w:rPr>
                <w:b/>
                <w:color w:val="FFFFFF"/>
                <w:spacing w:val="-2"/>
                <w:sz w:val="22"/>
              </w:rPr>
              <w:t>Funds</w:t>
            </w:r>
          </w:p>
        </w:tc>
        <w:tc>
          <w:tcPr>
            <w:tcW w:w="2791" w:type="dxa"/>
            <w:shd w:val="clear" w:color="auto" w:fill="16365D"/>
          </w:tcPr>
          <w:p>
            <w:pPr>
              <w:pStyle w:val="TableParagraph"/>
              <w:spacing w:before="12"/>
              <w:ind w:left="-3"/>
              <w:jc w:val="left"/>
              <w:rPr>
                <w:b/>
                <w:sz w:val="22"/>
              </w:rPr>
            </w:pPr>
            <w:r>
              <w:rPr>
                <w:b/>
                <w:color w:val="FFFFFF"/>
                <w:sz w:val="22"/>
              </w:rPr>
              <w:t>Required</w:t>
            </w:r>
            <w:r>
              <w:rPr>
                <w:b/>
                <w:color w:val="FFFFFF"/>
                <w:spacing w:val="-8"/>
                <w:sz w:val="22"/>
              </w:rPr>
              <w:t> </w:t>
            </w:r>
            <w:r>
              <w:rPr>
                <w:b/>
                <w:color w:val="FFFFFF"/>
                <w:spacing w:val="-2"/>
                <w:sz w:val="22"/>
              </w:rPr>
              <w:t>Affordability</w:t>
            </w:r>
          </w:p>
        </w:tc>
      </w:tr>
      <w:tr>
        <w:trPr>
          <w:trHeight w:val="292" w:hRule="atLeast"/>
        </w:trPr>
        <w:tc>
          <w:tcPr>
            <w:tcW w:w="2875" w:type="dxa"/>
          </w:tcPr>
          <w:p>
            <w:pPr>
              <w:pStyle w:val="TableParagraph"/>
              <w:spacing w:before="12"/>
              <w:ind w:left="4"/>
              <w:jc w:val="left"/>
              <w:rPr>
                <w:sz w:val="22"/>
              </w:rPr>
            </w:pPr>
            <w:r>
              <w:rPr>
                <w:sz w:val="22"/>
              </w:rPr>
              <w:t>$45,000</w:t>
            </w:r>
            <w:r>
              <w:rPr>
                <w:spacing w:val="-3"/>
                <w:sz w:val="22"/>
              </w:rPr>
              <w:t> </w:t>
            </w:r>
            <w:r>
              <w:rPr>
                <w:sz w:val="22"/>
              </w:rPr>
              <w:t>or</w:t>
            </w:r>
            <w:r>
              <w:rPr>
                <w:spacing w:val="-1"/>
                <w:sz w:val="22"/>
              </w:rPr>
              <w:t> </w:t>
            </w:r>
            <w:r>
              <w:rPr>
                <w:spacing w:val="-4"/>
                <w:sz w:val="22"/>
              </w:rPr>
              <w:t>less</w:t>
            </w:r>
          </w:p>
        </w:tc>
        <w:tc>
          <w:tcPr>
            <w:tcW w:w="2791" w:type="dxa"/>
          </w:tcPr>
          <w:p>
            <w:pPr>
              <w:pStyle w:val="TableParagraph"/>
              <w:spacing w:before="12"/>
              <w:ind w:left="-3"/>
              <w:jc w:val="left"/>
              <w:rPr>
                <w:sz w:val="22"/>
              </w:rPr>
            </w:pPr>
            <w:r>
              <w:rPr>
                <w:sz w:val="22"/>
              </w:rPr>
              <w:t>5 </w:t>
            </w:r>
            <w:r>
              <w:rPr>
                <w:spacing w:val="-2"/>
                <w:sz w:val="22"/>
              </w:rPr>
              <w:t>Years</w:t>
            </w:r>
          </w:p>
        </w:tc>
      </w:tr>
    </w:tbl>
    <w:p>
      <w:pPr>
        <w:pStyle w:val="BodyText"/>
        <w:spacing w:before="6"/>
        <w:rPr>
          <w:sz w:val="15"/>
        </w:rPr>
      </w:pPr>
    </w:p>
    <w:p>
      <w:pPr>
        <w:pStyle w:val="Heading5"/>
        <w:spacing w:before="94"/>
      </w:pPr>
      <w:r>
        <w:rPr/>
        <w:t>Eligible</w:t>
      </w:r>
      <w:r>
        <w:rPr>
          <w:spacing w:val="-5"/>
        </w:rPr>
        <w:t> </w:t>
      </w:r>
      <w:r>
        <w:rPr>
          <w:spacing w:val="-2"/>
        </w:rPr>
        <w:t>Expenses</w:t>
      </w:r>
    </w:p>
    <w:p>
      <w:pPr>
        <w:pStyle w:val="BodyText"/>
        <w:spacing w:before="51"/>
        <w:ind w:left="119" w:right="157"/>
        <w:jc w:val="both"/>
      </w:pPr>
      <w:r>
        <w:rPr/>
        <w:pict>
          <v:shape style="position:absolute;margin-left:90.065002pt;margin-top:41.207016pt;width:395.3pt;height:419pt;mso-position-horizontal-relative:page;mso-position-vertical-relative:paragraph;z-index:-17726976" id="docshape40" coordorigin="1801,824" coordsize="7906,8380" path="m4498,8088l4492,8014,4477,7936,4455,7853,4432,7784,4403,7712,4367,7637,4325,7559,4276,7479,4237,7420,4200,7369,4200,8055,4197,8111,4186,8168,4167,8225,4138,8285,4097,8348,4044,8414,3979,8483,3674,8789,2216,7331,2517,7030,2598,6954,2672,6894,2740,6851,2801,6824,2868,6809,2941,6805,3020,6812,3105,6830,3195,6859,3255,6885,3317,6917,3380,6956,3446,7001,3514,7052,3584,7110,3656,7175,3729,7247,3789,7308,3845,7368,3896,7427,3943,7485,3986,7542,4025,7597,4059,7651,4101,7725,4136,7798,4163,7867,4183,7934,4196,7998,4200,8055,4200,7369,4194,7360,4148,7300,4098,7239,4045,7178,3989,7117,3929,7055,3865,6993,3801,6935,3737,6880,3673,6828,3643,6805,3609,6780,3546,6736,3482,6694,3419,6657,3346,6619,3274,6586,3203,6559,3132,6537,3062,6520,2992,6508,2923,6501,2850,6499,2779,6506,2709,6521,2642,6544,2577,6574,2528,6603,2476,6640,2420,6685,2359,6739,2294,6802,1801,7295,3710,9203,4124,8789,4226,8687,4287,8622,4341,8556,4386,8490,4424,8424,4454,8357,4476,8291,4491,8224,4498,8156,4498,8088xm6418,6495l6056,6367,5650,6224,5561,6195,5475,6171,5393,6152,5365,6147,5314,6138,5239,6128,5193,6126,5143,6129,5089,6136,5030,6147,5073,6077,5109,6008,5136,5938,5154,5870,5164,5801,5165,5733,5157,5665,5139,5587,5111,5511,5075,5436,5030,5364,4976,5293,4956,5270,4913,5224,4872,5186,4872,5743,4868,5799,4854,5854,4830,5910,4794,5969,4747,6030,4687,6093,4280,6501,3649,5869,4102,5416,4166,5359,4229,5316,4293,5287,4358,5271,4422,5270,4501,5285,4577,5315,4649,5360,4718,5419,4761,5467,4797,5518,4827,5572,4851,5628,4867,5686,4872,5743,4872,5186,4849,5165,4782,5112,4713,5067,4641,5028,4566,4996,4474,4968,4386,4955,4303,4957,4225,4973,4163,4998,4098,5034,4030,5083,3958,5142,3883,5213,3248,5848,5157,7756,5346,7567,4499,6719,4718,6501,4753,6466,4783,6439,4810,6418,4833,6403,4863,6390,4896,6379,4932,6371,4971,6367,5014,6367,5066,6372,5125,6383,5194,6399,5256,6416,5328,6437,5407,6462,5496,6491,6180,6733,6418,6495xm7780,5132l7415,4937,6555,4483,6555,4790,6070,5276,6030,5204,5989,5132,5748,4702,5708,4630,5668,4559,5629,4493,5590,4428,5550,4364,5509,4301,5467,4239,5424,4178,5380,4117,5436,4153,5498,4191,5564,4230,5635,4272,5792,4363,6555,4790,6555,4483,5862,4117,5286,3810,5082,4014,5277,4365,5316,4435,5701,5132,6207,6051,6441,6472,6642,6271,6565,6138,6298,5669,6221,5536,6481,5276,6820,4937,7173,5132,7565,5348,7780,5132xm8131,4782l7264,3915,7936,3243,7711,3018,7039,3690,6448,3099,7224,2323,6999,2097,6033,3063,7941,4971,8131,4782xm9707,3206l8024,1523,8497,1049,8272,824,7138,1959,7363,2184,7834,1712,9517,3395,9707,3206xe" filled="true" fillcolor="#c0c0c0" stroked="false">
            <v:path arrowok="t"/>
            <v:fill opacity="32896f" type="solid"/>
            <w10:wrap type="none"/>
          </v:shape>
        </w:pict>
      </w:r>
      <w:r>
        <w:rPr/>
        <w:t>Eligible</w:t>
      </w:r>
      <w:r>
        <w:rPr>
          <w:spacing w:val="-1"/>
        </w:rPr>
        <w:t> </w:t>
      </w:r>
      <w:r>
        <w:rPr/>
        <w:t>expenses</w:t>
      </w:r>
      <w:r>
        <w:rPr>
          <w:spacing w:val="-2"/>
        </w:rPr>
        <w:t> </w:t>
      </w:r>
      <w:r>
        <w:rPr/>
        <w:t>may</w:t>
      </w:r>
      <w:r>
        <w:rPr>
          <w:spacing w:val="-1"/>
        </w:rPr>
        <w:t> </w:t>
      </w:r>
      <w:r>
        <w:rPr/>
        <w:t>include</w:t>
      </w:r>
      <w:r>
        <w:rPr>
          <w:spacing w:val="-1"/>
        </w:rPr>
        <w:t> </w:t>
      </w:r>
      <w:r>
        <w:rPr/>
        <w:t>principle</w:t>
      </w:r>
      <w:r>
        <w:rPr>
          <w:spacing w:val="-1"/>
        </w:rPr>
        <w:t> </w:t>
      </w:r>
      <w:r>
        <w:rPr/>
        <w:t>reduction,</w:t>
      </w:r>
      <w:r>
        <w:rPr>
          <w:spacing w:val="-2"/>
        </w:rPr>
        <w:t> </w:t>
      </w:r>
      <w:r>
        <w:rPr/>
        <w:t>down</w:t>
      </w:r>
      <w:r>
        <w:rPr>
          <w:spacing w:val="-1"/>
        </w:rPr>
        <w:t> </w:t>
      </w:r>
      <w:r>
        <w:rPr/>
        <w:t>payment</w:t>
      </w:r>
      <w:r>
        <w:rPr>
          <w:spacing w:val="-2"/>
        </w:rPr>
        <w:t> </w:t>
      </w:r>
      <w:r>
        <w:rPr/>
        <w:t>and</w:t>
      </w:r>
      <w:r>
        <w:rPr>
          <w:spacing w:val="-1"/>
        </w:rPr>
        <w:t> </w:t>
      </w:r>
      <w:r>
        <w:rPr/>
        <w:t>closing</w:t>
      </w:r>
      <w:r>
        <w:rPr>
          <w:spacing w:val="-1"/>
        </w:rPr>
        <w:t> </w:t>
      </w:r>
      <w:r>
        <w:rPr/>
        <w:t>cost</w:t>
      </w:r>
      <w:r>
        <w:rPr>
          <w:spacing w:val="-2"/>
        </w:rPr>
        <w:t> </w:t>
      </w:r>
      <w:r>
        <w:rPr/>
        <w:t>assistance.</w:t>
      </w:r>
      <w:r>
        <w:rPr>
          <w:spacing w:val="-2"/>
        </w:rPr>
        <w:t> </w:t>
      </w:r>
      <w:r>
        <w:rPr/>
        <w:t>If the property is sold before the required affordability period has elapsed, the assistance funds must be recaptured on a pro-rated basis.</w:t>
      </w:r>
    </w:p>
    <w:p>
      <w:pPr>
        <w:pStyle w:val="BodyText"/>
        <w:spacing w:before="1"/>
        <w:rPr>
          <w:sz w:val="27"/>
        </w:rPr>
      </w:pPr>
    </w:p>
    <w:p>
      <w:pPr>
        <w:pStyle w:val="Heading5"/>
        <w:ind w:left="119"/>
      </w:pPr>
      <w:r>
        <w:rPr/>
        <w:t>Terms</w:t>
      </w:r>
      <w:r>
        <w:rPr>
          <w:spacing w:val="-3"/>
        </w:rPr>
        <w:t> </w:t>
      </w:r>
      <w:r>
        <w:rPr/>
        <w:t>of</w:t>
      </w:r>
      <w:r>
        <w:rPr>
          <w:spacing w:val="-3"/>
        </w:rPr>
        <w:t> </w:t>
      </w:r>
      <w:r>
        <w:rPr>
          <w:spacing w:val="-2"/>
        </w:rPr>
        <w:t>Assistance</w:t>
      </w:r>
    </w:p>
    <w:p>
      <w:pPr>
        <w:pStyle w:val="ListParagraph"/>
        <w:numPr>
          <w:ilvl w:val="0"/>
          <w:numId w:val="7"/>
        </w:numPr>
        <w:tabs>
          <w:tab w:pos="840" w:val="left" w:leader="none"/>
        </w:tabs>
        <w:spacing w:line="240" w:lineRule="auto" w:before="52" w:after="0"/>
        <w:ind w:left="839" w:right="155" w:hanging="361"/>
        <w:jc w:val="both"/>
        <w:rPr>
          <w:sz w:val="22"/>
        </w:rPr>
      </w:pPr>
      <w:r>
        <w:rPr>
          <w:sz w:val="22"/>
        </w:rPr>
        <w:t>The assistance for the DHAP Targeted Homebuyer Incentive Program will be offered in the form of a deferred, forgivable loan, which shall be forgivable annually based on the affordability</w:t>
      </w:r>
      <w:r>
        <w:rPr>
          <w:spacing w:val="-8"/>
          <w:sz w:val="22"/>
        </w:rPr>
        <w:t> </w:t>
      </w:r>
      <w:r>
        <w:rPr>
          <w:sz w:val="22"/>
        </w:rPr>
        <w:t>period,</w:t>
      </w:r>
      <w:r>
        <w:rPr>
          <w:spacing w:val="-10"/>
          <w:sz w:val="22"/>
        </w:rPr>
        <w:t> </w:t>
      </w:r>
      <w:r>
        <w:rPr>
          <w:sz w:val="22"/>
        </w:rPr>
        <w:t>subject</w:t>
      </w:r>
      <w:r>
        <w:rPr>
          <w:spacing w:val="-10"/>
          <w:sz w:val="22"/>
        </w:rPr>
        <w:t> </w:t>
      </w:r>
      <w:r>
        <w:rPr>
          <w:sz w:val="22"/>
        </w:rPr>
        <w:t>to</w:t>
      </w:r>
      <w:r>
        <w:rPr>
          <w:spacing w:val="-11"/>
          <w:sz w:val="22"/>
        </w:rPr>
        <w:t> </w:t>
      </w:r>
      <w:r>
        <w:rPr>
          <w:sz w:val="22"/>
        </w:rPr>
        <w:t>the</w:t>
      </w:r>
      <w:r>
        <w:rPr>
          <w:spacing w:val="-11"/>
          <w:sz w:val="22"/>
        </w:rPr>
        <w:t> </w:t>
      </w:r>
      <w:r>
        <w:rPr>
          <w:sz w:val="22"/>
        </w:rPr>
        <w:t>terms</w:t>
      </w:r>
      <w:r>
        <w:rPr>
          <w:spacing w:val="-11"/>
          <w:sz w:val="22"/>
        </w:rPr>
        <w:t> </w:t>
      </w:r>
      <w:r>
        <w:rPr>
          <w:sz w:val="22"/>
        </w:rPr>
        <w:t>of</w:t>
      </w:r>
      <w:r>
        <w:rPr>
          <w:spacing w:val="-10"/>
          <w:sz w:val="22"/>
        </w:rPr>
        <w:t> </w:t>
      </w:r>
      <w:r>
        <w:rPr>
          <w:sz w:val="22"/>
        </w:rPr>
        <w:t>the</w:t>
      </w:r>
      <w:r>
        <w:rPr>
          <w:spacing w:val="-11"/>
          <w:sz w:val="22"/>
        </w:rPr>
        <w:t> </w:t>
      </w:r>
      <w:r>
        <w:rPr>
          <w:sz w:val="22"/>
        </w:rPr>
        <w:t>contract.</w:t>
      </w:r>
      <w:r>
        <w:rPr>
          <w:spacing w:val="-10"/>
          <w:sz w:val="22"/>
        </w:rPr>
        <w:t> </w:t>
      </w:r>
      <w:r>
        <w:rPr>
          <w:sz w:val="22"/>
        </w:rPr>
        <w:t>In</w:t>
      </w:r>
      <w:r>
        <w:rPr>
          <w:spacing w:val="-11"/>
          <w:sz w:val="22"/>
        </w:rPr>
        <w:t> </w:t>
      </w:r>
      <w:r>
        <w:rPr>
          <w:sz w:val="22"/>
        </w:rPr>
        <w:t>the</w:t>
      </w:r>
      <w:r>
        <w:rPr>
          <w:spacing w:val="-9"/>
          <w:sz w:val="22"/>
        </w:rPr>
        <w:t> </w:t>
      </w:r>
      <w:r>
        <w:rPr>
          <w:sz w:val="22"/>
        </w:rPr>
        <w:t>event</w:t>
      </w:r>
      <w:r>
        <w:rPr>
          <w:spacing w:val="-10"/>
          <w:sz w:val="22"/>
        </w:rPr>
        <w:t> </w:t>
      </w:r>
      <w:r>
        <w:rPr>
          <w:sz w:val="22"/>
        </w:rPr>
        <w:t>of</w:t>
      </w:r>
      <w:r>
        <w:rPr>
          <w:spacing w:val="-10"/>
          <w:sz w:val="22"/>
        </w:rPr>
        <w:t> </w:t>
      </w:r>
      <w:r>
        <w:rPr>
          <w:sz w:val="22"/>
        </w:rPr>
        <w:t>any</w:t>
      </w:r>
      <w:r>
        <w:rPr>
          <w:spacing w:val="-11"/>
          <w:sz w:val="22"/>
        </w:rPr>
        <w:t> </w:t>
      </w:r>
      <w:r>
        <w:rPr>
          <w:sz w:val="22"/>
        </w:rPr>
        <w:t>of</w:t>
      </w:r>
      <w:r>
        <w:rPr>
          <w:spacing w:val="-10"/>
          <w:sz w:val="22"/>
        </w:rPr>
        <w:t> </w:t>
      </w:r>
      <w:r>
        <w:rPr>
          <w:sz w:val="22"/>
        </w:rPr>
        <w:t>the</w:t>
      </w:r>
      <w:r>
        <w:rPr>
          <w:spacing w:val="-11"/>
          <w:sz w:val="22"/>
        </w:rPr>
        <w:t> </w:t>
      </w:r>
      <w:r>
        <w:rPr>
          <w:sz w:val="22"/>
        </w:rPr>
        <w:t>following occurring prior to the completion of the affordability period the balance is payable immediately on a pro-rated basis.</w:t>
      </w:r>
    </w:p>
    <w:p>
      <w:pPr>
        <w:pStyle w:val="ListParagraph"/>
        <w:numPr>
          <w:ilvl w:val="0"/>
          <w:numId w:val="8"/>
        </w:numPr>
        <w:tabs>
          <w:tab w:pos="1200" w:val="left" w:leader="none"/>
        </w:tabs>
        <w:spacing w:line="264" w:lineRule="auto" w:before="0" w:after="0"/>
        <w:ind w:left="1199" w:right="157" w:hanging="361"/>
        <w:jc w:val="both"/>
        <w:rPr>
          <w:sz w:val="22"/>
        </w:rPr>
      </w:pPr>
      <w:r>
        <w:rPr>
          <w:sz w:val="22"/>
        </w:rPr>
        <w:t>The</w:t>
      </w:r>
      <w:r>
        <w:rPr>
          <w:spacing w:val="-16"/>
          <w:sz w:val="22"/>
        </w:rPr>
        <w:t> </w:t>
      </w:r>
      <w:r>
        <w:rPr>
          <w:sz w:val="22"/>
        </w:rPr>
        <w:t>sale,</w:t>
      </w:r>
      <w:r>
        <w:rPr>
          <w:spacing w:val="-15"/>
          <w:sz w:val="22"/>
        </w:rPr>
        <w:t> </w:t>
      </w:r>
      <w:r>
        <w:rPr>
          <w:sz w:val="22"/>
        </w:rPr>
        <w:t>conveyance,</w:t>
      </w:r>
      <w:r>
        <w:rPr>
          <w:spacing w:val="-15"/>
          <w:sz w:val="22"/>
        </w:rPr>
        <w:t> </w:t>
      </w:r>
      <w:r>
        <w:rPr>
          <w:sz w:val="22"/>
        </w:rPr>
        <w:t>transfer,</w:t>
      </w:r>
      <w:r>
        <w:rPr>
          <w:spacing w:val="-16"/>
          <w:sz w:val="22"/>
        </w:rPr>
        <w:t> </w:t>
      </w:r>
      <w:r>
        <w:rPr>
          <w:sz w:val="22"/>
        </w:rPr>
        <w:t>lease,</w:t>
      </w:r>
      <w:r>
        <w:rPr>
          <w:spacing w:val="-15"/>
          <w:sz w:val="22"/>
        </w:rPr>
        <w:t> </w:t>
      </w:r>
      <w:r>
        <w:rPr>
          <w:sz w:val="22"/>
        </w:rPr>
        <w:t>rental,</w:t>
      </w:r>
      <w:r>
        <w:rPr>
          <w:spacing w:val="-15"/>
          <w:sz w:val="22"/>
        </w:rPr>
        <w:t> </w:t>
      </w:r>
      <w:r>
        <w:rPr>
          <w:sz w:val="22"/>
        </w:rPr>
        <w:t>hypothecation</w:t>
      </w:r>
      <w:r>
        <w:rPr>
          <w:spacing w:val="-15"/>
          <w:sz w:val="22"/>
        </w:rPr>
        <w:t> </w:t>
      </w:r>
      <w:r>
        <w:rPr>
          <w:sz w:val="22"/>
        </w:rPr>
        <w:t>of</w:t>
      </w:r>
      <w:r>
        <w:rPr>
          <w:spacing w:val="-16"/>
          <w:sz w:val="22"/>
        </w:rPr>
        <w:t> </w:t>
      </w:r>
      <w:r>
        <w:rPr>
          <w:sz w:val="22"/>
        </w:rPr>
        <w:t>the</w:t>
      </w:r>
      <w:r>
        <w:rPr>
          <w:spacing w:val="-15"/>
          <w:sz w:val="22"/>
        </w:rPr>
        <w:t> </w:t>
      </w:r>
      <w:r>
        <w:rPr>
          <w:sz w:val="22"/>
        </w:rPr>
        <w:t>security,</w:t>
      </w:r>
      <w:r>
        <w:rPr>
          <w:spacing w:val="-15"/>
          <w:sz w:val="22"/>
        </w:rPr>
        <w:t> </w:t>
      </w:r>
      <w:r>
        <w:rPr>
          <w:sz w:val="22"/>
        </w:rPr>
        <w:t>or</w:t>
      </w:r>
      <w:r>
        <w:rPr>
          <w:spacing w:val="-14"/>
          <w:sz w:val="22"/>
        </w:rPr>
        <w:t> </w:t>
      </w:r>
      <w:r>
        <w:rPr>
          <w:sz w:val="22"/>
        </w:rPr>
        <w:t>any</w:t>
      </w:r>
      <w:r>
        <w:rPr>
          <w:spacing w:val="-15"/>
          <w:sz w:val="22"/>
        </w:rPr>
        <w:t> </w:t>
      </w:r>
      <w:r>
        <w:rPr>
          <w:sz w:val="22"/>
        </w:rPr>
        <w:t>part thereof, or any interest therein, or divestment of title or any interest therein in any manner</w:t>
      </w:r>
      <w:r>
        <w:rPr>
          <w:spacing w:val="-12"/>
          <w:sz w:val="22"/>
        </w:rPr>
        <w:t> </w:t>
      </w:r>
      <w:r>
        <w:rPr>
          <w:sz w:val="22"/>
        </w:rPr>
        <w:t>or</w:t>
      </w:r>
      <w:r>
        <w:rPr>
          <w:spacing w:val="-12"/>
          <w:sz w:val="22"/>
        </w:rPr>
        <w:t> </w:t>
      </w:r>
      <w:r>
        <w:rPr>
          <w:sz w:val="22"/>
        </w:rPr>
        <w:t>way,</w:t>
      </w:r>
      <w:r>
        <w:rPr>
          <w:spacing w:val="-9"/>
          <w:sz w:val="22"/>
        </w:rPr>
        <w:t> </w:t>
      </w:r>
      <w:r>
        <w:rPr>
          <w:sz w:val="22"/>
        </w:rPr>
        <w:t>whether</w:t>
      </w:r>
      <w:r>
        <w:rPr>
          <w:spacing w:val="-13"/>
          <w:sz w:val="22"/>
        </w:rPr>
        <w:t> </w:t>
      </w:r>
      <w:r>
        <w:rPr>
          <w:sz w:val="22"/>
        </w:rPr>
        <w:t>voluntarily</w:t>
      </w:r>
      <w:r>
        <w:rPr>
          <w:spacing w:val="-10"/>
          <w:sz w:val="22"/>
        </w:rPr>
        <w:t> </w:t>
      </w:r>
      <w:r>
        <w:rPr>
          <w:sz w:val="22"/>
        </w:rPr>
        <w:t>or</w:t>
      </w:r>
      <w:r>
        <w:rPr>
          <w:spacing w:val="-12"/>
          <w:sz w:val="22"/>
        </w:rPr>
        <w:t> </w:t>
      </w:r>
      <w:r>
        <w:rPr>
          <w:sz w:val="22"/>
        </w:rPr>
        <w:t>involuntarily,</w:t>
      </w:r>
      <w:r>
        <w:rPr>
          <w:spacing w:val="-9"/>
          <w:sz w:val="22"/>
        </w:rPr>
        <w:t> </w:t>
      </w:r>
      <w:r>
        <w:rPr>
          <w:sz w:val="22"/>
        </w:rPr>
        <w:t>without</w:t>
      </w:r>
      <w:r>
        <w:rPr>
          <w:spacing w:val="-9"/>
          <w:sz w:val="22"/>
        </w:rPr>
        <w:t> </w:t>
      </w:r>
      <w:r>
        <w:rPr>
          <w:sz w:val="22"/>
        </w:rPr>
        <w:t>the</w:t>
      </w:r>
      <w:r>
        <w:rPr>
          <w:spacing w:val="-11"/>
          <w:sz w:val="22"/>
        </w:rPr>
        <w:t> </w:t>
      </w:r>
      <w:r>
        <w:rPr>
          <w:sz w:val="22"/>
        </w:rPr>
        <w:t>prior</w:t>
      </w:r>
      <w:r>
        <w:rPr>
          <w:spacing w:val="-10"/>
          <w:sz w:val="22"/>
        </w:rPr>
        <w:t> </w:t>
      </w:r>
      <w:r>
        <w:rPr>
          <w:sz w:val="22"/>
        </w:rPr>
        <w:t>written</w:t>
      </w:r>
      <w:r>
        <w:rPr>
          <w:spacing w:val="-13"/>
          <w:sz w:val="22"/>
        </w:rPr>
        <w:t> </w:t>
      </w:r>
      <w:r>
        <w:rPr>
          <w:sz w:val="22"/>
        </w:rPr>
        <w:t>consent</w:t>
      </w:r>
      <w:r>
        <w:rPr>
          <w:spacing w:val="-9"/>
          <w:sz w:val="22"/>
        </w:rPr>
        <w:t> </w:t>
      </w:r>
      <w:r>
        <w:rPr>
          <w:sz w:val="22"/>
        </w:rPr>
        <w:t>of the City being first had and obtained; or</w:t>
      </w:r>
    </w:p>
    <w:p>
      <w:pPr>
        <w:pStyle w:val="ListParagraph"/>
        <w:numPr>
          <w:ilvl w:val="0"/>
          <w:numId w:val="8"/>
        </w:numPr>
        <w:tabs>
          <w:tab w:pos="1200" w:val="left" w:leader="none"/>
        </w:tabs>
        <w:spacing w:line="240" w:lineRule="auto" w:before="0" w:after="0"/>
        <w:ind w:left="1200" w:right="0" w:hanging="361"/>
        <w:jc w:val="both"/>
        <w:rPr>
          <w:sz w:val="22"/>
        </w:rPr>
      </w:pPr>
      <w:r>
        <w:rPr>
          <w:sz w:val="22"/>
        </w:rPr>
        <w:t>Failure</w:t>
      </w:r>
      <w:r>
        <w:rPr>
          <w:spacing w:val="-6"/>
          <w:sz w:val="22"/>
        </w:rPr>
        <w:t> </w:t>
      </w:r>
      <w:r>
        <w:rPr>
          <w:sz w:val="22"/>
        </w:rPr>
        <w:t>to</w:t>
      </w:r>
      <w:r>
        <w:rPr>
          <w:spacing w:val="-3"/>
          <w:sz w:val="22"/>
        </w:rPr>
        <w:t> </w:t>
      </w:r>
      <w:r>
        <w:rPr>
          <w:sz w:val="22"/>
        </w:rPr>
        <w:t>adhere</w:t>
      </w:r>
      <w:r>
        <w:rPr>
          <w:spacing w:val="-5"/>
          <w:sz w:val="22"/>
        </w:rPr>
        <w:t> </w:t>
      </w:r>
      <w:r>
        <w:rPr>
          <w:sz w:val="22"/>
        </w:rPr>
        <w:t>to</w:t>
      </w:r>
      <w:r>
        <w:rPr>
          <w:spacing w:val="-5"/>
          <w:sz w:val="22"/>
        </w:rPr>
        <w:t> </w:t>
      </w:r>
      <w:r>
        <w:rPr>
          <w:sz w:val="22"/>
        </w:rPr>
        <w:t>the</w:t>
      </w:r>
      <w:r>
        <w:rPr>
          <w:spacing w:val="-7"/>
          <w:sz w:val="22"/>
        </w:rPr>
        <w:t> </w:t>
      </w:r>
      <w:r>
        <w:rPr>
          <w:sz w:val="22"/>
        </w:rPr>
        <w:t>provisions</w:t>
      </w:r>
      <w:r>
        <w:rPr>
          <w:spacing w:val="-2"/>
          <w:sz w:val="22"/>
        </w:rPr>
        <w:t> </w:t>
      </w:r>
      <w:r>
        <w:rPr>
          <w:sz w:val="22"/>
        </w:rPr>
        <w:t>of</w:t>
      </w:r>
      <w:r>
        <w:rPr>
          <w:spacing w:val="-4"/>
          <w:sz w:val="22"/>
        </w:rPr>
        <w:t> </w:t>
      </w:r>
      <w:r>
        <w:rPr>
          <w:sz w:val="22"/>
        </w:rPr>
        <w:t>the</w:t>
      </w:r>
      <w:r>
        <w:rPr>
          <w:spacing w:val="-5"/>
          <w:sz w:val="22"/>
        </w:rPr>
        <w:t> </w:t>
      </w:r>
      <w:r>
        <w:rPr>
          <w:sz w:val="22"/>
        </w:rPr>
        <w:t>contract;</w:t>
      </w:r>
      <w:r>
        <w:rPr>
          <w:spacing w:val="-1"/>
          <w:sz w:val="22"/>
        </w:rPr>
        <w:t> </w:t>
      </w:r>
      <w:r>
        <w:rPr>
          <w:spacing w:val="-5"/>
          <w:sz w:val="22"/>
        </w:rPr>
        <w:t>or</w:t>
      </w:r>
    </w:p>
    <w:p>
      <w:pPr>
        <w:pStyle w:val="ListParagraph"/>
        <w:numPr>
          <w:ilvl w:val="0"/>
          <w:numId w:val="8"/>
        </w:numPr>
        <w:tabs>
          <w:tab w:pos="1201" w:val="left" w:leader="none"/>
        </w:tabs>
        <w:spacing w:line="249" w:lineRule="auto" w:before="11" w:after="0"/>
        <w:ind w:left="1199" w:right="154" w:hanging="360"/>
        <w:jc w:val="both"/>
        <w:rPr>
          <w:sz w:val="22"/>
        </w:rPr>
      </w:pPr>
      <w:r>
        <w:rPr>
          <w:sz w:val="22"/>
        </w:rPr>
        <w:t>Failure to adhere to the provisions under the City’s deed restrictions, deed of trust and/or the note, or any other lien encumbering the property.</w:t>
      </w:r>
    </w:p>
    <w:p>
      <w:pPr>
        <w:pStyle w:val="ListParagraph"/>
        <w:numPr>
          <w:ilvl w:val="0"/>
          <w:numId w:val="7"/>
        </w:numPr>
        <w:tabs>
          <w:tab w:pos="841" w:val="left" w:leader="none"/>
        </w:tabs>
        <w:spacing w:line="237" w:lineRule="auto" w:before="25" w:after="0"/>
        <w:ind w:left="840" w:right="159" w:hanging="361"/>
        <w:jc w:val="both"/>
        <w:rPr>
          <w:sz w:val="22"/>
        </w:rPr>
      </w:pPr>
      <w:r>
        <w:rPr>
          <w:sz w:val="22"/>
        </w:rPr>
        <w:t>Applicant must certify annually that the home is not for sale and is the primary residence of the Applicant until the affordability period ends.</w:t>
      </w:r>
    </w:p>
    <w:p>
      <w:pPr>
        <w:pStyle w:val="ListParagraph"/>
        <w:numPr>
          <w:ilvl w:val="0"/>
          <w:numId w:val="7"/>
        </w:numPr>
        <w:tabs>
          <w:tab w:pos="841" w:val="left" w:leader="none"/>
        </w:tabs>
        <w:spacing w:line="237" w:lineRule="auto" w:before="4" w:after="0"/>
        <w:ind w:left="840" w:right="157" w:hanging="361"/>
        <w:jc w:val="both"/>
        <w:rPr>
          <w:sz w:val="22"/>
        </w:rPr>
      </w:pPr>
      <w:r>
        <w:rPr>
          <w:sz w:val="22"/>
        </w:rPr>
        <w:t>If there is an underlying development agreement</w:t>
      </w:r>
      <w:r>
        <w:rPr>
          <w:spacing w:val="-1"/>
          <w:sz w:val="22"/>
        </w:rPr>
        <w:t> </w:t>
      </w:r>
      <w:r>
        <w:rPr>
          <w:sz w:val="22"/>
        </w:rPr>
        <w:t>associated with the property, additional requirements may apply. Such determination is made by the City.</w:t>
      </w:r>
    </w:p>
    <w:p>
      <w:pPr>
        <w:pStyle w:val="BodyText"/>
        <w:spacing w:before="9"/>
        <w:rPr>
          <w:sz w:val="21"/>
        </w:rPr>
      </w:pPr>
    </w:p>
    <w:p>
      <w:pPr>
        <w:pStyle w:val="Heading5"/>
      </w:pPr>
      <w:r>
        <w:rPr/>
        <w:t>Credit</w:t>
      </w:r>
      <w:r>
        <w:rPr>
          <w:spacing w:val="-8"/>
        </w:rPr>
        <w:t> </w:t>
      </w:r>
      <w:r>
        <w:rPr/>
        <w:t>Underwriting</w:t>
      </w:r>
      <w:r>
        <w:rPr>
          <w:spacing w:val="-7"/>
        </w:rPr>
        <w:t> </w:t>
      </w:r>
      <w:r>
        <w:rPr>
          <w:spacing w:val="-2"/>
        </w:rPr>
        <w:t>Standards</w:t>
      </w:r>
    </w:p>
    <w:p>
      <w:pPr>
        <w:pStyle w:val="BodyText"/>
        <w:spacing w:before="52"/>
        <w:ind w:left="120"/>
        <w:jc w:val="both"/>
      </w:pPr>
      <w:r>
        <w:rPr/>
        <w:t>Following</w:t>
      </w:r>
      <w:r>
        <w:rPr>
          <w:spacing w:val="-6"/>
        </w:rPr>
        <w:t> </w:t>
      </w:r>
      <w:r>
        <w:rPr/>
        <w:t>are</w:t>
      </w:r>
      <w:r>
        <w:rPr>
          <w:spacing w:val="-5"/>
        </w:rPr>
        <w:t> </w:t>
      </w:r>
      <w:r>
        <w:rPr/>
        <w:t>the</w:t>
      </w:r>
      <w:r>
        <w:rPr>
          <w:spacing w:val="-6"/>
        </w:rPr>
        <w:t> </w:t>
      </w:r>
      <w:r>
        <w:rPr/>
        <w:t>credit</w:t>
      </w:r>
      <w:r>
        <w:rPr>
          <w:spacing w:val="-8"/>
        </w:rPr>
        <w:t> </w:t>
      </w:r>
      <w:r>
        <w:rPr/>
        <w:t>and</w:t>
      </w:r>
      <w:r>
        <w:rPr>
          <w:spacing w:val="-5"/>
        </w:rPr>
        <w:t> </w:t>
      </w:r>
      <w:r>
        <w:rPr/>
        <w:t>underwriting</w:t>
      </w:r>
      <w:r>
        <w:rPr>
          <w:spacing w:val="-5"/>
        </w:rPr>
        <w:t> </w:t>
      </w:r>
      <w:r>
        <w:rPr/>
        <w:t>standards</w:t>
      </w:r>
      <w:r>
        <w:rPr>
          <w:spacing w:val="-4"/>
        </w:rPr>
        <w:t> </w:t>
      </w:r>
      <w:r>
        <w:rPr/>
        <w:t>for</w:t>
      </w:r>
      <w:r>
        <w:rPr>
          <w:spacing w:val="-3"/>
        </w:rPr>
        <w:t> </w:t>
      </w:r>
      <w:r>
        <w:rPr>
          <w:spacing w:val="-2"/>
        </w:rPr>
        <w:t>Applicant:</w:t>
      </w:r>
    </w:p>
    <w:p>
      <w:pPr>
        <w:pStyle w:val="BodyText"/>
      </w:pPr>
    </w:p>
    <w:p>
      <w:pPr>
        <w:pStyle w:val="ListParagraph"/>
        <w:numPr>
          <w:ilvl w:val="0"/>
          <w:numId w:val="7"/>
        </w:numPr>
        <w:tabs>
          <w:tab w:pos="841" w:val="left" w:leader="none"/>
        </w:tabs>
        <w:spacing w:line="240" w:lineRule="auto" w:before="0" w:after="0"/>
        <w:ind w:left="840" w:right="157" w:hanging="361"/>
        <w:jc w:val="both"/>
        <w:rPr>
          <w:sz w:val="22"/>
        </w:rPr>
      </w:pPr>
      <w:r>
        <w:rPr>
          <w:sz w:val="22"/>
        </w:rPr>
        <w:t>No Chapter 7 or Chapter 13 bankruptcy if primary or any mortgage is included as a secured creditor on the subject property for which the City will place a lien securing the </w:t>
      </w:r>
      <w:r>
        <w:rPr>
          <w:spacing w:val="-2"/>
          <w:sz w:val="22"/>
        </w:rPr>
        <w:t>loan.</w:t>
      </w:r>
    </w:p>
    <w:p>
      <w:pPr>
        <w:pStyle w:val="ListParagraph"/>
        <w:numPr>
          <w:ilvl w:val="0"/>
          <w:numId w:val="7"/>
        </w:numPr>
        <w:tabs>
          <w:tab w:pos="841" w:val="left" w:leader="none"/>
        </w:tabs>
        <w:spacing w:line="237" w:lineRule="auto" w:before="2" w:after="0"/>
        <w:ind w:left="840" w:right="157" w:hanging="361"/>
        <w:jc w:val="both"/>
        <w:rPr>
          <w:sz w:val="22"/>
        </w:rPr>
      </w:pPr>
      <w:r>
        <w:rPr>
          <w:sz w:val="22"/>
        </w:rPr>
        <w:t>Predatory lending describes lending practices that take advantage of clients by charging usurious interest rates or excessive fees and penalties. Loans will not be made with an interest rate more than 2% above the prevailing market rate.</w:t>
      </w:r>
    </w:p>
    <w:p>
      <w:pPr>
        <w:pStyle w:val="ListParagraph"/>
        <w:numPr>
          <w:ilvl w:val="0"/>
          <w:numId w:val="7"/>
        </w:numPr>
        <w:tabs>
          <w:tab w:pos="841" w:val="left" w:leader="none"/>
        </w:tabs>
        <w:spacing w:line="240" w:lineRule="auto" w:before="2" w:after="0"/>
        <w:ind w:left="840" w:right="155" w:hanging="361"/>
        <w:jc w:val="both"/>
        <w:rPr>
          <w:sz w:val="22"/>
        </w:rPr>
      </w:pPr>
      <w:r>
        <w:rPr>
          <w:sz w:val="22"/>
        </w:rPr>
        <w:t>The maximum assistance available for an Applicant will be $45,000 per household. Not all Applicants will qualify for the maximum assistance. The assistance available to any given Applicant is based on the City’s assessment of the Applicant’s need, taking into account the additional criteria outlined below.</w:t>
      </w:r>
    </w:p>
    <w:p>
      <w:pPr>
        <w:pStyle w:val="ListParagraph"/>
        <w:numPr>
          <w:ilvl w:val="0"/>
          <w:numId w:val="7"/>
        </w:numPr>
        <w:tabs>
          <w:tab w:pos="841" w:val="left" w:leader="none"/>
        </w:tabs>
        <w:spacing w:line="268" w:lineRule="exact" w:before="0" w:after="0"/>
        <w:ind w:left="840" w:right="0" w:hanging="361"/>
        <w:jc w:val="both"/>
        <w:rPr>
          <w:sz w:val="22"/>
        </w:rPr>
      </w:pPr>
      <w:r>
        <w:rPr>
          <w:sz w:val="22"/>
        </w:rPr>
        <w:t>First</w:t>
      </w:r>
      <w:r>
        <w:rPr>
          <w:spacing w:val="-4"/>
          <w:sz w:val="22"/>
        </w:rPr>
        <w:t> </w:t>
      </w:r>
      <w:r>
        <w:rPr>
          <w:sz w:val="22"/>
        </w:rPr>
        <w:t>mortgage</w:t>
      </w:r>
      <w:r>
        <w:rPr>
          <w:spacing w:val="-4"/>
          <w:sz w:val="22"/>
        </w:rPr>
        <w:t> </w:t>
      </w:r>
      <w:r>
        <w:rPr>
          <w:sz w:val="22"/>
        </w:rPr>
        <w:t>amount</w:t>
      </w:r>
      <w:r>
        <w:rPr>
          <w:spacing w:val="-4"/>
          <w:sz w:val="22"/>
        </w:rPr>
        <w:t> </w:t>
      </w:r>
      <w:r>
        <w:rPr>
          <w:sz w:val="22"/>
        </w:rPr>
        <w:t>must</w:t>
      </w:r>
      <w:r>
        <w:rPr>
          <w:spacing w:val="-3"/>
          <w:sz w:val="22"/>
        </w:rPr>
        <w:t> </w:t>
      </w:r>
      <w:r>
        <w:rPr>
          <w:sz w:val="22"/>
        </w:rPr>
        <w:t>have</w:t>
      </w:r>
      <w:r>
        <w:rPr>
          <w:spacing w:val="-5"/>
          <w:sz w:val="22"/>
        </w:rPr>
        <w:t> </w:t>
      </w:r>
      <w:r>
        <w:rPr>
          <w:sz w:val="22"/>
        </w:rPr>
        <w:t>a</w:t>
      </w:r>
      <w:r>
        <w:rPr>
          <w:spacing w:val="-4"/>
          <w:sz w:val="22"/>
        </w:rPr>
        <w:t> </w:t>
      </w:r>
      <w:r>
        <w:rPr>
          <w:sz w:val="22"/>
        </w:rPr>
        <w:t>front-end</w:t>
      </w:r>
      <w:r>
        <w:rPr>
          <w:spacing w:val="-5"/>
          <w:sz w:val="22"/>
        </w:rPr>
        <w:t> </w:t>
      </w:r>
      <w:r>
        <w:rPr>
          <w:sz w:val="22"/>
        </w:rPr>
        <w:t>ratio</w:t>
      </w:r>
      <w:r>
        <w:rPr>
          <w:spacing w:val="-2"/>
          <w:sz w:val="22"/>
        </w:rPr>
        <w:t> </w:t>
      </w:r>
      <w:r>
        <w:rPr>
          <w:sz w:val="22"/>
        </w:rPr>
        <w:t>of</w:t>
      </w:r>
      <w:r>
        <w:rPr>
          <w:spacing w:val="-4"/>
          <w:sz w:val="22"/>
        </w:rPr>
        <w:t> </w:t>
      </w:r>
      <w:r>
        <w:rPr>
          <w:sz w:val="22"/>
        </w:rPr>
        <w:t>up</w:t>
      </w:r>
      <w:r>
        <w:rPr>
          <w:spacing w:val="-4"/>
          <w:sz w:val="22"/>
        </w:rPr>
        <w:t> </w:t>
      </w:r>
      <w:r>
        <w:rPr>
          <w:sz w:val="22"/>
        </w:rPr>
        <w:t>to</w:t>
      </w:r>
      <w:r>
        <w:rPr>
          <w:spacing w:val="-2"/>
          <w:sz w:val="22"/>
        </w:rPr>
        <w:t> </w:t>
      </w:r>
      <w:r>
        <w:rPr>
          <w:spacing w:val="-5"/>
          <w:sz w:val="22"/>
        </w:rPr>
        <w:t>32%</w:t>
      </w:r>
    </w:p>
    <w:p>
      <w:pPr>
        <w:pStyle w:val="ListParagraph"/>
        <w:numPr>
          <w:ilvl w:val="0"/>
          <w:numId w:val="7"/>
        </w:numPr>
        <w:tabs>
          <w:tab w:pos="841" w:val="left" w:leader="none"/>
        </w:tabs>
        <w:spacing w:line="269" w:lineRule="exact" w:before="0" w:after="0"/>
        <w:ind w:left="840" w:right="0" w:hanging="361"/>
        <w:jc w:val="both"/>
        <w:rPr>
          <w:sz w:val="22"/>
        </w:rPr>
      </w:pPr>
      <w:r>
        <w:rPr>
          <w:sz w:val="22"/>
        </w:rPr>
        <w:t>First</w:t>
      </w:r>
      <w:r>
        <w:rPr>
          <w:spacing w:val="-7"/>
          <w:sz w:val="22"/>
        </w:rPr>
        <w:t> </w:t>
      </w:r>
      <w:r>
        <w:rPr>
          <w:sz w:val="22"/>
        </w:rPr>
        <w:t>mortgage</w:t>
      </w:r>
      <w:r>
        <w:rPr>
          <w:spacing w:val="-6"/>
          <w:sz w:val="22"/>
        </w:rPr>
        <w:t> </w:t>
      </w:r>
      <w:r>
        <w:rPr>
          <w:sz w:val="22"/>
        </w:rPr>
        <w:t>amount</w:t>
      </w:r>
      <w:r>
        <w:rPr>
          <w:spacing w:val="-4"/>
          <w:sz w:val="22"/>
        </w:rPr>
        <w:t> </w:t>
      </w:r>
      <w:r>
        <w:rPr>
          <w:sz w:val="22"/>
        </w:rPr>
        <w:t>must</w:t>
      </w:r>
      <w:r>
        <w:rPr>
          <w:spacing w:val="-4"/>
          <w:sz w:val="22"/>
        </w:rPr>
        <w:t> </w:t>
      </w:r>
      <w:r>
        <w:rPr>
          <w:sz w:val="22"/>
        </w:rPr>
        <w:t>have</w:t>
      </w:r>
      <w:r>
        <w:rPr>
          <w:spacing w:val="-6"/>
          <w:sz w:val="22"/>
        </w:rPr>
        <w:t> </w:t>
      </w:r>
      <w:r>
        <w:rPr>
          <w:sz w:val="22"/>
        </w:rPr>
        <w:t>a</w:t>
      </w:r>
      <w:r>
        <w:rPr>
          <w:spacing w:val="-3"/>
          <w:sz w:val="22"/>
        </w:rPr>
        <w:t> </w:t>
      </w:r>
      <w:r>
        <w:rPr>
          <w:sz w:val="22"/>
        </w:rPr>
        <w:t>back-end</w:t>
      </w:r>
      <w:r>
        <w:rPr>
          <w:spacing w:val="-6"/>
          <w:sz w:val="22"/>
        </w:rPr>
        <w:t> </w:t>
      </w:r>
      <w:r>
        <w:rPr>
          <w:sz w:val="22"/>
        </w:rPr>
        <w:t>ratio</w:t>
      </w:r>
      <w:r>
        <w:rPr>
          <w:spacing w:val="-3"/>
          <w:sz w:val="22"/>
        </w:rPr>
        <w:t> </w:t>
      </w:r>
      <w:r>
        <w:rPr>
          <w:sz w:val="22"/>
        </w:rPr>
        <w:t>no</w:t>
      </w:r>
      <w:r>
        <w:rPr>
          <w:spacing w:val="-4"/>
          <w:sz w:val="22"/>
        </w:rPr>
        <w:t> </w:t>
      </w:r>
      <w:r>
        <w:rPr>
          <w:sz w:val="22"/>
        </w:rPr>
        <w:t>higher</w:t>
      </w:r>
      <w:r>
        <w:rPr>
          <w:spacing w:val="-5"/>
          <w:sz w:val="22"/>
        </w:rPr>
        <w:t> </w:t>
      </w:r>
      <w:r>
        <w:rPr>
          <w:sz w:val="22"/>
        </w:rPr>
        <w:t>than</w:t>
      </w:r>
      <w:r>
        <w:rPr>
          <w:spacing w:val="-3"/>
          <w:sz w:val="22"/>
        </w:rPr>
        <w:t> </w:t>
      </w:r>
      <w:r>
        <w:rPr>
          <w:spacing w:val="-5"/>
          <w:sz w:val="22"/>
        </w:rPr>
        <w:t>45%</w:t>
      </w:r>
    </w:p>
    <w:p>
      <w:pPr>
        <w:pStyle w:val="BodyText"/>
        <w:spacing w:before="8"/>
        <w:rPr>
          <w:sz w:val="21"/>
        </w:rPr>
      </w:pPr>
    </w:p>
    <w:p>
      <w:pPr>
        <w:pStyle w:val="Heading5"/>
        <w:ind w:left="121"/>
        <w:jc w:val="left"/>
      </w:pPr>
      <w:r>
        <w:rPr>
          <w:spacing w:val="-2"/>
        </w:rPr>
        <w:t>Heirs</w:t>
      </w:r>
    </w:p>
    <w:p>
      <w:pPr>
        <w:pStyle w:val="BodyText"/>
        <w:spacing w:before="49"/>
        <w:ind w:left="121"/>
      </w:pPr>
      <w:r>
        <w:rPr/>
        <w:t>A loan may be transferred to the heir(s) of the borrower if the heir(s) are income qualified and</w:t>
      </w:r>
      <w:r>
        <w:rPr>
          <w:spacing w:val="80"/>
        </w:rPr>
        <w:t> </w:t>
      </w:r>
      <w:r>
        <w:rPr>
          <w:spacing w:val="-2"/>
        </w:rPr>
        <w:t>utilize</w:t>
      </w:r>
      <w:r>
        <w:rPr>
          <w:spacing w:val="-5"/>
        </w:rPr>
        <w:t> </w:t>
      </w:r>
      <w:r>
        <w:rPr>
          <w:spacing w:val="-2"/>
        </w:rPr>
        <w:t>the</w:t>
      </w:r>
      <w:r>
        <w:rPr>
          <w:spacing w:val="-5"/>
        </w:rPr>
        <w:t> </w:t>
      </w:r>
      <w:r>
        <w:rPr>
          <w:spacing w:val="-2"/>
        </w:rPr>
        <w:t>assisted</w:t>
      </w:r>
      <w:r>
        <w:rPr>
          <w:spacing w:val="-5"/>
        </w:rPr>
        <w:t> </w:t>
      </w:r>
      <w:r>
        <w:rPr>
          <w:spacing w:val="-2"/>
        </w:rPr>
        <w:t>property</w:t>
      </w:r>
      <w:r>
        <w:rPr>
          <w:spacing w:val="-8"/>
        </w:rPr>
        <w:t> </w:t>
      </w:r>
      <w:r>
        <w:rPr>
          <w:spacing w:val="-2"/>
        </w:rPr>
        <w:t>as</w:t>
      </w:r>
      <w:r>
        <w:rPr>
          <w:spacing w:val="-7"/>
        </w:rPr>
        <w:t> </w:t>
      </w:r>
      <w:r>
        <w:rPr>
          <w:spacing w:val="-2"/>
        </w:rPr>
        <w:t>their</w:t>
      </w:r>
      <w:r>
        <w:rPr>
          <w:spacing w:val="-3"/>
        </w:rPr>
        <w:t> </w:t>
      </w:r>
      <w:r>
        <w:rPr>
          <w:spacing w:val="-2"/>
        </w:rPr>
        <w:t>primary</w:t>
      </w:r>
      <w:r>
        <w:rPr>
          <w:spacing w:val="-7"/>
        </w:rPr>
        <w:t> </w:t>
      </w:r>
      <w:r>
        <w:rPr>
          <w:spacing w:val="-2"/>
        </w:rPr>
        <w:t>residence</w:t>
      </w:r>
      <w:r>
        <w:rPr>
          <w:spacing w:val="-5"/>
        </w:rPr>
        <w:t> </w:t>
      </w:r>
      <w:r>
        <w:rPr>
          <w:spacing w:val="-2"/>
        </w:rPr>
        <w:t>for</w:t>
      </w:r>
      <w:r>
        <w:rPr>
          <w:spacing w:val="-6"/>
        </w:rPr>
        <w:t> </w:t>
      </w:r>
      <w:r>
        <w:rPr>
          <w:spacing w:val="-2"/>
        </w:rPr>
        <w:t>the</w:t>
      </w:r>
      <w:r>
        <w:rPr>
          <w:spacing w:val="-7"/>
        </w:rPr>
        <w:t> </w:t>
      </w:r>
      <w:r>
        <w:rPr>
          <w:spacing w:val="-2"/>
        </w:rPr>
        <w:t>remainder</w:t>
      </w:r>
      <w:r>
        <w:rPr>
          <w:spacing w:val="-7"/>
        </w:rPr>
        <w:t> </w:t>
      </w:r>
      <w:r>
        <w:rPr>
          <w:spacing w:val="-2"/>
        </w:rPr>
        <w:t>of</w:t>
      </w:r>
      <w:r>
        <w:rPr>
          <w:spacing w:val="-6"/>
        </w:rPr>
        <w:t> </w:t>
      </w:r>
      <w:r>
        <w:rPr>
          <w:spacing w:val="-2"/>
        </w:rPr>
        <w:t>the</w:t>
      </w:r>
      <w:r>
        <w:rPr>
          <w:spacing w:val="-5"/>
        </w:rPr>
        <w:t> </w:t>
      </w:r>
      <w:r>
        <w:rPr>
          <w:spacing w:val="-2"/>
        </w:rPr>
        <w:t>affordability</w:t>
      </w:r>
      <w:r>
        <w:rPr>
          <w:spacing w:val="-3"/>
        </w:rPr>
        <w:t> </w:t>
      </w:r>
      <w:r>
        <w:rPr>
          <w:spacing w:val="-2"/>
        </w:rPr>
        <w:t>period.</w:t>
      </w:r>
    </w:p>
    <w:p>
      <w:pPr>
        <w:spacing w:after="0"/>
        <w:sectPr>
          <w:pgSz w:w="12240" w:h="15840"/>
          <w:pgMar w:header="0" w:footer="1738" w:top="1420" w:bottom="1920" w:left="1320" w:right="1280"/>
        </w:sectPr>
      </w:pPr>
    </w:p>
    <w:p>
      <w:pPr>
        <w:pStyle w:val="BodyText"/>
        <w:spacing w:before="80"/>
        <w:ind w:left="120" w:right="154"/>
        <w:jc w:val="both"/>
      </w:pPr>
      <w:r>
        <w:rPr/>
        <w:t>If</w:t>
      </w:r>
      <w:r>
        <w:rPr>
          <w:spacing w:val="-7"/>
        </w:rPr>
        <w:t> </w:t>
      </w:r>
      <w:r>
        <w:rPr/>
        <w:t>the</w:t>
      </w:r>
      <w:r>
        <w:rPr>
          <w:spacing w:val="-6"/>
        </w:rPr>
        <w:t> </w:t>
      </w:r>
      <w:r>
        <w:rPr/>
        <w:t>heir(s)</w:t>
      </w:r>
      <w:r>
        <w:rPr>
          <w:spacing w:val="-5"/>
        </w:rPr>
        <w:t> </w:t>
      </w:r>
      <w:r>
        <w:rPr/>
        <w:t>do</w:t>
      </w:r>
      <w:r>
        <w:rPr>
          <w:spacing w:val="-6"/>
        </w:rPr>
        <w:t> </w:t>
      </w:r>
      <w:r>
        <w:rPr/>
        <w:t>not</w:t>
      </w:r>
      <w:r>
        <w:rPr>
          <w:spacing w:val="-7"/>
        </w:rPr>
        <w:t> </w:t>
      </w:r>
      <w:r>
        <w:rPr/>
        <w:t>meet</w:t>
      </w:r>
      <w:r>
        <w:rPr>
          <w:spacing w:val="-7"/>
        </w:rPr>
        <w:t> </w:t>
      </w:r>
      <w:r>
        <w:rPr/>
        <w:t>the</w:t>
      </w:r>
      <w:r>
        <w:rPr>
          <w:spacing w:val="-6"/>
        </w:rPr>
        <w:t> </w:t>
      </w:r>
      <w:r>
        <w:rPr/>
        <w:t>income</w:t>
      </w:r>
      <w:r>
        <w:rPr>
          <w:spacing w:val="-9"/>
        </w:rPr>
        <w:t> </w:t>
      </w:r>
      <w:r>
        <w:rPr/>
        <w:t>requirements</w:t>
      </w:r>
      <w:r>
        <w:rPr>
          <w:spacing w:val="-8"/>
        </w:rPr>
        <w:t> </w:t>
      </w:r>
      <w:r>
        <w:rPr/>
        <w:t>of</w:t>
      </w:r>
      <w:r>
        <w:rPr>
          <w:spacing w:val="-5"/>
        </w:rPr>
        <w:t> </w:t>
      </w:r>
      <w:r>
        <w:rPr/>
        <w:t>the</w:t>
      </w:r>
      <w:r>
        <w:rPr>
          <w:spacing w:val="-6"/>
        </w:rPr>
        <w:t> </w:t>
      </w:r>
      <w:r>
        <w:rPr/>
        <w:t>program</w:t>
      </w:r>
      <w:r>
        <w:rPr>
          <w:spacing w:val="-5"/>
        </w:rPr>
        <w:t> </w:t>
      </w:r>
      <w:r>
        <w:rPr/>
        <w:t>and</w:t>
      </w:r>
      <w:r>
        <w:rPr>
          <w:spacing w:val="-9"/>
        </w:rPr>
        <w:t> </w:t>
      </w:r>
      <w:r>
        <w:rPr/>
        <w:t>the</w:t>
      </w:r>
      <w:r>
        <w:rPr>
          <w:spacing w:val="-6"/>
        </w:rPr>
        <w:t> </w:t>
      </w:r>
      <w:r>
        <w:rPr/>
        <w:t>loan</w:t>
      </w:r>
      <w:r>
        <w:rPr>
          <w:spacing w:val="-6"/>
        </w:rPr>
        <w:t> </w:t>
      </w:r>
      <w:r>
        <w:rPr/>
        <w:t>or</w:t>
      </w:r>
      <w:r>
        <w:rPr>
          <w:spacing w:val="-5"/>
        </w:rPr>
        <w:t> </w:t>
      </w:r>
      <w:r>
        <w:rPr/>
        <w:t>does</w:t>
      </w:r>
      <w:r>
        <w:rPr>
          <w:spacing w:val="-6"/>
        </w:rPr>
        <w:t> </w:t>
      </w:r>
      <w:r>
        <w:rPr/>
        <w:t>not</w:t>
      </w:r>
      <w:r>
        <w:rPr>
          <w:spacing w:val="-5"/>
        </w:rPr>
        <w:t> </w:t>
      </w:r>
      <w:r>
        <w:rPr/>
        <w:t>utilize the</w:t>
      </w:r>
      <w:r>
        <w:rPr>
          <w:spacing w:val="-2"/>
        </w:rPr>
        <w:t> </w:t>
      </w:r>
      <w:r>
        <w:rPr/>
        <w:t>property</w:t>
      </w:r>
      <w:r>
        <w:rPr>
          <w:spacing w:val="-1"/>
        </w:rPr>
        <w:t> </w:t>
      </w:r>
      <w:r>
        <w:rPr/>
        <w:t>as</w:t>
      </w:r>
      <w:r>
        <w:rPr>
          <w:spacing w:val="-1"/>
        </w:rPr>
        <w:t> </w:t>
      </w:r>
      <w:r>
        <w:rPr/>
        <w:t>their primary</w:t>
      </w:r>
      <w:r>
        <w:rPr>
          <w:spacing w:val="-1"/>
        </w:rPr>
        <w:t> </w:t>
      </w:r>
      <w:r>
        <w:rPr/>
        <w:t>residence, and</w:t>
      </w:r>
      <w:r>
        <w:rPr>
          <w:spacing w:val="-4"/>
        </w:rPr>
        <w:t> </w:t>
      </w:r>
      <w:r>
        <w:rPr/>
        <w:t>the</w:t>
      </w:r>
      <w:r>
        <w:rPr>
          <w:spacing w:val="-2"/>
        </w:rPr>
        <w:t> </w:t>
      </w:r>
      <w:r>
        <w:rPr/>
        <w:t>loan</w:t>
      </w:r>
      <w:r>
        <w:rPr>
          <w:spacing w:val="-2"/>
        </w:rPr>
        <w:t> </w:t>
      </w:r>
      <w:r>
        <w:rPr/>
        <w:t>is</w:t>
      </w:r>
      <w:r>
        <w:rPr>
          <w:spacing w:val="-1"/>
        </w:rPr>
        <w:t> </w:t>
      </w:r>
      <w:r>
        <w:rPr/>
        <w:t>still</w:t>
      </w:r>
      <w:r>
        <w:rPr>
          <w:spacing w:val="-2"/>
        </w:rPr>
        <w:t> </w:t>
      </w:r>
      <w:r>
        <w:rPr/>
        <w:t>within</w:t>
      </w:r>
      <w:r>
        <w:rPr>
          <w:spacing w:val="-2"/>
        </w:rPr>
        <w:t> </w:t>
      </w:r>
      <w:r>
        <w:rPr/>
        <w:t>the</w:t>
      </w:r>
      <w:r>
        <w:rPr>
          <w:spacing w:val="-2"/>
        </w:rPr>
        <w:t> </w:t>
      </w:r>
      <w:r>
        <w:rPr/>
        <w:t>period</w:t>
      </w:r>
      <w:r>
        <w:rPr>
          <w:spacing w:val="-2"/>
        </w:rPr>
        <w:t> </w:t>
      </w:r>
      <w:r>
        <w:rPr/>
        <w:t>of affordability,</w:t>
      </w:r>
      <w:r>
        <w:rPr>
          <w:spacing w:val="-2"/>
        </w:rPr>
        <w:t> </w:t>
      </w:r>
      <w:r>
        <w:rPr/>
        <w:t>then the prorated loan amount is due immediately and payable, in full, to the City.</w:t>
      </w:r>
    </w:p>
    <w:p>
      <w:pPr>
        <w:pStyle w:val="BodyText"/>
        <w:spacing w:before="5"/>
        <w:rPr>
          <w:sz w:val="26"/>
        </w:rPr>
      </w:pPr>
    </w:p>
    <w:p>
      <w:pPr>
        <w:pStyle w:val="Heading5"/>
        <w:jc w:val="left"/>
      </w:pPr>
      <w:r>
        <w:rPr>
          <w:spacing w:val="-2"/>
        </w:rPr>
        <w:t>Refinancing</w:t>
      </w:r>
    </w:p>
    <w:p>
      <w:pPr>
        <w:pStyle w:val="BodyText"/>
        <w:spacing w:before="49"/>
        <w:ind w:left="120" w:right="158"/>
        <w:jc w:val="both"/>
      </w:pPr>
      <w:r>
        <w:rPr/>
        <w:pict>
          <v:shape style="position:absolute;margin-left:90.065002pt;margin-top:31.387472pt;width:395.3pt;height:419pt;mso-position-horizontal-relative:page;mso-position-vertical-relative:paragraph;z-index:-17726464" id="docshape41" coordorigin="1801,628" coordsize="7906,8380" path="m4498,7891l4492,7818,4477,7740,4455,7657,4432,7588,4403,7516,4367,7441,4325,7363,4276,7282,4237,7223,4200,7173,4200,7858,4197,7915,4186,7971,4167,8029,4138,8088,4097,8151,4044,8217,3979,8287,3674,8592,2216,7134,2517,6834,2598,6757,2672,6698,2740,6654,2801,6628,2868,6613,2941,6609,3020,6616,3105,6634,3195,6663,3255,6688,3317,6721,3380,6759,3446,6804,3514,6856,3584,6914,3656,6979,3729,7050,3789,7112,3845,7172,3896,7231,3943,7289,3986,7345,4025,7400,4059,7454,4101,7529,4136,7601,4163,7671,4183,7738,4196,7802,4200,7858,4200,7173,4194,7164,4148,7104,4098,7043,4045,6982,3989,6921,3929,6859,3865,6797,3801,6738,3737,6683,3673,6632,3643,6609,3609,6584,3546,6539,3482,6498,3419,6460,3346,6422,3274,6390,3203,6363,3132,6341,3062,6324,2992,6312,2923,6305,2850,6303,2779,6310,2709,6325,2642,6348,2577,6378,2528,6406,2476,6443,2420,6489,2359,6543,2294,6606,1801,7099,3710,9007,4124,8592,4226,8490,4287,8425,4341,8360,4386,8294,4424,8227,4454,8161,4476,8094,4491,8028,4498,7960,4498,7891xm6418,6298l6056,6171,5650,6028,5561,5999,5475,5975,5393,5956,5365,5950,5314,5941,5239,5931,5193,5930,5143,5933,5089,5940,5030,5950,5073,5881,5109,5811,5136,5742,5154,5673,5164,5605,5165,5536,5157,5469,5139,5391,5111,5314,5075,5240,5030,5167,4976,5097,4956,5074,4913,5028,4872,4990,4872,5547,4868,5603,4854,5658,4830,5714,4794,5772,4747,5833,4687,5897,4280,6304,3649,5673,4102,5220,4166,5163,4229,5120,4293,5090,4358,5075,4422,5074,4501,5089,4577,5119,4649,5163,4718,5223,4761,5271,4797,5321,4827,5375,4851,5432,4867,5490,4872,5547,4872,4990,4849,4968,4782,4916,4713,4870,4641,4832,4566,4800,4474,4771,4386,4759,4303,4761,4225,4777,4163,4802,4098,4838,4030,4886,3958,4946,3883,5017,3248,5652,5157,7560,5346,7370,4499,6523,4718,6304,4753,6270,4783,6242,4810,6221,4833,6207,4863,6193,4896,6182,4932,6175,4971,6171,5014,6171,5066,6176,5125,6186,5194,6203,5256,6220,5328,6241,5407,6266,5496,6295,6180,6536,6418,6298xm7780,4936l7415,4741,6555,4287,6555,4594,6070,5079,6030,5008,5989,4936,5748,4505,5708,4434,5668,4362,5629,4297,5590,4232,5550,4168,5509,4105,5467,4043,5424,3981,5380,3921,5436,3956,5498,3994,5564,4034,5635,4076,5792,4166,6555,4594,6555,4287,5862,3921,5286,3614,5082,3818,5277,4168,5316,4238,5701,4936,6207,5855,6441,6276,6642,6075,6565,5941,6298,5473,6221,5339,6481,5079,6820,4741,7173,4936,7565,5152,7780,4936xm8131,4586l7264,3719,7936,3047,7711,2822,7039,3493,6448,2903,7224,2126,6999,1901,6033,2867,7941,4775,8131,4586xm9707,3010l8024,1327,8497,853,8272,628,7138,1762,7363,1988,7834,1516,9517,3199,9707,3010xe" filled="true" fillcolor="#c0c0c0" stroked="false">
            <v:path arrowok="t"/>
            <v:fill opacity="32896f" type="solid"/>
            <w10:wrap type="none"/>
          </v:shape>
        </w:pict>
      </w:r>
      <w:r>
        <w:rPr/>
        <w:t>Refinancing for better rate and term is permitted upon prior approval of the City. Refinancing of revolving loan accounts, vehicles, credit card debt, or property taxes are NOT allowable refinancing expenses. Cash out are also NOT allowed.</w:t>
      </w:r>
    </w:p>
    <w:p>
      <w:pPr>
        <w:pStyle w:val="BodyText"/>
        <w:spacing w:before="7"/>
        <w:rPr>
          <w:sz w:val="25"/>
        </w:rPr>
      </w:pPr>
    </w:p>
    <w:p>
      <w:pPr>
        <w:pStyle w:val="Heading3"/>
        <w:spacing w:before="0"/>
      </w:pPr>
      <w:bookmarkStart w:name="Anti-Displacement Assistance Program Pil" w:id="28"/>
      <w:bookmarkEnd w:id="28"/>
      <w:r>
        <w:rPr/>
      </w:r>
      <w:bookmarkStart w:name="_bookmark6" w:id="29"/>
      <w:bookmarkEnd w:id="29"/>
      <w:r>
        <w:rPr/>
      </w:r>
      <w:r>
        <w:rPr>
          <w:color w:val="001F5F"/>
        </w:rPr>
        <w:t>Anti-Displacement</w:t>
      </w:r>
      <w:r>
        <w:rPr>
          <w:color w:val="001F5F"/>
          <w:spacing w:val="-23"/>
        </w:rPr>
        <w:t> </w:t>
      </w:r>
      <w:r>
        <w:rPr>
          <w:color w:val="001F5F"/>
        </w:rPr>
        <w:t>Assistance</w:t>
      </w:r>
      <w:r>
        <w:rPr>
          <w:color w:val="001F5F"/>
          <w:spacing w:val="-22"/>
        </w:rPr>
        <w:t> </w:t>
      </w:r>
      <w:r>
        <w:rPr>
          <w:color w:val="001F5F"/>
        </w:rPr>
        <w:t>Program</w:t>
      </w:r>
      <w:r>
        <w:rPr>
          <w:color w:val="001F5F"/>
          <w:spacing w:val="-22"/>
        </w:rPr>
        <w:t> </w:t>
      </w:r>
      <w:r>
        <w:rPr>
          <w:color w:val="FF0000"/>
        </w:rPr>
        <w:t>Pillars</w:t>
      </w:r>
      <w:r>
        <w:rPr>
          <w:color w:val="FF0000"/>
          <w:spacing w:val="-12"/>
        </w:rPr>
        <w:t> </w:t>
      </w:r>
      <w:r>
        <w:rPr>
          <w:color w:val="FF0000"/>
        </w:rPr>
        <w:t>1,</w:t>
      </w:r>
      <w:r>
        <w:rPr>
          <w:color w:val="FF0000"/>
          <w:spacing w:val="-12"/>
        </w:rPr>
        <w:t> </w:t>
      </w:r>
      <w:r>
        <w:rPr>
          <w:color w:val="FF0000"/>
        </w:rPr>
        <w:t>3,</w:t>
      </w:r>
      <w:r>
        <w:rPr>
          <w:color w:val="FF0000"/>
          <w:spacing w:val="-12"/>
        </w:rPr>
        <w:t> </w:t>
      </w:r>
      <w:r>
        <w:rPr>
          <w:color w:val="FF0000"/>
        </w:rPr>
        <w:t>4,</w:t>
      </w:r>
      <w:r>
        <w:rPr>
          <w:color w:val="FF0000"/>
          <w:spacing w:val="-13"/>
        </w:rPr>
        <w:t> </w:t>
      </w:r>
      <w:r>
        <w:rPr>
          <w:color w:val="FF0000"/>
        </w:rPr>
        <w:t>5,</w:t>
      </w:r>
      <w:r>
        <w:rPr>
          <w:color w:val="FF0000"/>
          <w:spacing w:val="-12"/>
        </w:rPr>
        <w:t> </w:t>
      </w:r>
      <w:r>
        <w:rPr>
          <w:color w:val="FF0000"/>
        </w:rPr>
        <w:t>6,</w:t>
      </w:r>
      <w:r>
        <w:rPr>
          <w:color w:val="FF0000"/>
          <w:spacing w:val="-12"/>
        </w:rPr>
        <w:t> </w:t>
      </w:r>
      <w:r>
        <w:rPr>
          <w:color w:val="FF0000"/>
          <w:spacing w:val="-10"/>
        </w:rPr>
        <w:t>7</w:t>
      </w:r>
    </w:p>
    <w:p>
      <w:pPr>
        <w:pStyle w:val="BodyText"/>
        <w:spacing w:before="31"/>
        <w:ind w:left="119" w:right="256"/>
        <w:jc w:val="both"/>
      </w:pPr>
      <w:r>
        <w:rPr/>
        <w:t>The Anti-Displacement Assistance Program (ADAP) is designed to assist low-and moderate- income homebuyers with homeownership opportunities through the provision of financial assistance when purchasing a home in the city limits of Dallas. The program will help eligible residents living in Dallas who are facing rising rental costs, rising home prices and increasing mortgage</w:t>
      </w:r>
      <w:r>
        <w:rPr>
          <w:spacing w:val="-16"/>
        </w:rPr>
        <w:t> </w:t>
      </w:r>
      <w:r>
        <w:rPr/>
        <w:t>interest</w:t>
      </w:r>
      <w:r>
        <w:rPr>
          <w:spacing w:val="-15"/>
        </w:rPr>
        <w:t> </w:t>
      </w:r>
      <w:r>
        <w:rPr/>
        <w:t>rates</w:t>
      </w:r>
      <w:r>
        <w:rPr>
          <w:spacing w:val="-15"/>
        </w:rPr>
        <w:t> </w:t>
      </w:r>
      <w:r>
        <w:rPr/>
        <w:t>by</w:t>
      </w:r>
      <w:r>
        <w:rPr>
          <w:spacing w:val="-16"/>
        </w:rPr>
        <w:t> </w:t>
      </w:r>
      <w:r>
        <w:rPr/>
        <w:t>providing</w:t>
      </w:r>
      <w:r>
        <w:rPr>
          <w:spacing w:val="-15"/>
        </w:rPr>
        <w:t> </w:t>
      </w:r>
      <w:r>
        <w:rPr/>
        <w:t>an</w:t>
      </w:r>
      <w:r>
        <w:rPr>
          <w:spacing w:val="-15"/>
        </w:rPr>
        <w:t> </w:t>
      </w:r>
      <w:r>
        <w:rPr/>
        <w:t>opportunity</w:t>
      </w:r>
      <w:r>
        <w:rPr>
          <w:spacing w:val="-15"/>
        </w:rPr>
        <w:t> </w:t>
      </w:r>
      <w:r>
        <w:rPr/>
        <w:t>for</w:t>
      </w:r>
      <w:r>
        <w:rPr>
          <w:spacing w:val="-16"/>
        </w:rPr>
        <w:t> </w:t>
      </w:r>
      <w:r>
        <w:rPr/>
        <w:t>them</w:t>
      </w:r>
      <w:r>
        <w:rPr>
          <w:spacing w:val="-15"/>
        </w:rPr>
        <w:t> </w:t>
      </w:r>
      <w:r>
        <w:rPr/>
        <w:t>to</w:t>
      </w:r>
      <w:r>
        <w:rPr>
          <w:spacing w:val="-15"/>
        </w:rPr>
        <w:t> </w:t>
      </w:r>
      <w:r>
        <w:rPr/>
        <w:t>continue</w:t>
      </w:r>
      <w:r>
        <w:rPr>
          <w:spacing w:val="-16"/>
        </w:rPr>
        <w:t> </w:t>
      </w:r>
      <w:r>
        <w:rPr/>
        <w:t>to</w:t>
      </w:r>
      <w:r>
        <w:rPr>
          <w:spacing w:val="-15"/>
        </w:rPr>
        <w:t> </w:t>
      </w:r>
      <w:r>
        <w:rPr/>
        <w:t>reside</w:t>
      </w:r>
      <w:r>
        <w:rPr>
          <w:spacing w:val="-15"/>
        </w:rPr>
        <w:t> </w:t>
      </w:r>
      <w:r>
        <w:rPr/>
        <w:t>in</w:t>
      </w:r>
      <w:r>
        <w:rPr>
          <w:spacing w:val="-15"/>
        </w:rPr>
        <w:t> </w:t>
      </w:r>
      <w:r>
        <w:rPr/>
        <w:t>the</w:t>
      </w:r>
      <w:r>
        <w:rPr>
          <w:spacing w:val="-16"/>
        </w:rPr>
        <w:t> </w:t>
      </w:r>
      <w:r>
        <w:rPr/>
        <w:t>city</w:t>
      </w:r>
      <w:r>
        <w:rPr>
          <w:spacing w:val="-15"/>
        </w:rPr>
        <w:t> </w:t>
      </w:r>
      <w:r>
        <w:rPr/>
        <w:t>limits. This</w:t>
      </w:r>
      <w:r>
        <w:rPr>
          <w:spacing w:val="-9"/>
        </w:rPr>
        <w:t> </w:t>
      </w:r>
      <w:r>
        <w:rPr/>
        <w:t>program</w:t>
      </w:r>
      <w:r>
        <w:rPr>
          <w:spacing w:val="-7"/>
        </w:rPr>
        <w:t> </w:t>
      </w:r>
      <w:r>
        <w:rPr/>
        <w:t>is</w:t>
      </w:r>
      <w:r>
        <w:rPr>
          <w:spacing w:val="-11"/>
        </w:rPr>
        <w:t> </w:t>
      </w:r>
      <w:r>
        <w:rPr/>
        <w:t>for</w:t>
      </w:r>
      <w:r>
        <w:rPr>
          <w:spacing w:val="-7"/>
        </w:rPr>
        <w:t> </w:t>
      </w:r>
      <w:r>
        <w:rPr/>
        <w:t>homebuyers</w:t>
      </w:r>
      <w:r>
        <w:rPr>
          <w:spacing w:val="-8"/>
        </w:rPr>
        <w:t> </w:t>
      </w:r>
      <w:r>
        <w:rPr/>
        <w:t>with</w:t>
      </w:r>
      <w:r>
        <w:rPr>
          <w:spacing w:val="-9"/>
        </w:rPr>
        <w:t> </w:t>
      </w:r>
      <w:r>
        <w:rPr/>
        <w:t>a</w:t>
      </w:r>
      <w:r>
        <w:rPr>
          <w:spacing w:val="-14"/>
        </w:rPr>
        <w:t> </w:t>
      </w:r>
      <w:r>
        <w:rPr/>
        <w:t>Dallas</w:t>
      </w:r>
      <w:r>
        <w:rPr>
          <w:spacing w:val="-11"/>
        </w:rPr>
        <w:t> </w:t>
      </w:r>
      <w:r>
        <w:rPr/>
        <w:t>residency</w:t>
      </w:r>
      <w:r>
        <w:rPr>
          <w:spacing w:val="-8"/>
        </w:rPr>
        <w:t> </w:t>
      </w:r>
      <w:r>
        <w:rPr/>
        <w:t>of</w:t>
      </w:r>
      <w:r>
        <w:rPr>
          <w:spacing w:val="-5"/>
        </w:rPr>
        <w:t> </w:t>
      </w:r>
      <w:r>
        <w:rPr/>
        <w:t>10</w:t>
      </w:r>
      <w:r>
        <w:rPr>
          <w:spacing w:val="-14"/>
        </w:rPr>
        <w:t> </w:t>
      </w:r>
      <w:r>
        <w:rPr/>
        <w:t>years</w:t>
      </w:r>
      <w:r>
        <w:rPr>
          <w:spacing w:val="-13"/>
        </w:rPr>
        <w:t> </w:t>
      </w:r>
      <w:r>
        <w:rPr/>
        <w:t>or</w:t>
      </w:r>
      <w:r>
        <w:rPr>
          <w:spacing w:val="-12"/>
        </w:rPr>
        <w:t> </w:t>
      </w:r>
      <w:r>
        <w:rPr/>
        <w:t>more,</w:t>
      </w:r>
      <w:r>
        <w:rPr>
          <w:spacing w:val="-5"/>
        </w:rPr>
        <w:t> </w:t>
      </w:r>
      <w:r>
        <w:rPr/>
        <w:t>living</w:t>
      </w:r>
      <w:r>
        <w:rPr>
          <w:spacing w:val="-8"/>
        </w:rPr>
        <w:t> </w:t>
      </w:r>
      <w:r>
        <w:rPr/>
        <w:t>in</w:t>
      </w:r>
      <w:r>
        <w:rPr>
          <w:spacing w:val="-9"/>
        </w:rPr>
        <w:t> </w:t>
      </w:r>
      <w:r>
        <w:rPr/>
        <w:t>Dallas</w:t>
      </w:r>
      <w:r>
        <w:rPr>
          <w:spacing w:val="-8"/>
        </w:rPr>
        <w:t> </w:t>
      </w:r>
      <w:r>
        <w:rPr/>
        <w:t>as</w:t>
      </w:r>
      <w:r>
        <w:rPr>
          <w:spacing w:val="-11"/>
        </w:rPr>
        <w:t> </w:t>
      </w:r>
      <w:r>
        <w:rPr/>
        <w:t>a current resident, with an income between 50-120% of Area Median Income. Eligible applicants may receive down payment assistance funds based on need up to $50,000.00 per household.</w:t>
      </w:r>
    </w:p>
    <w:p>
      <w:pPr>
        <w:pStyle w:val="BodyText"/>
        <w:spacing w:before="9"/>
        <w:rPr>
          <w:sz w:val="21"/>
        </w:rPr>
      </w:pPr>
    </w:p>
    <w:p>
      <w:pPr>
        <w:pStyle w:val="Heading5"/>
        <w:spacing w:line="251" w:lineRule="exact"/>
        <w:ind w:left="119"/>
        <w:jc w:val="left"/>
      </w:pPr>
      <w:r>
        <w:rPr>
          <w:spacing w:val="-2"/>
        </w:rPr>
        <w:t>Eligibility</w:t>
      </w:r>
    </w:p>
    <w:p>
      <w:pPr>
        <w:pStyle w:val="BodyText"/>
        <w:spacing w:line="243" w:lineRule="exact"/>
        <w:ind w:left="220"/>
      </w:pPr>
      <w:r>
        <w:rPr/>
        <w:t>Applicant</w:t>
      </w:r>
      <w:r>
        <w:rPr>
          <w:spacing w:val="-6"/>
        </w:rPr>
        <w:t> </w:t>
      </w:r>
      <w:r>
        <w:rPr/>
        <w:t>must</w:t>
      </w:r>
      <w:r>
        <w:rPr>
          <w:spacing w:val="-8"/>
        </w:rPr>
        <w:t> </w:t>
      </w:r>
      <w:r>
        <w:rPr/>
        <w:t>meet</w:t>
      </w:r>
      <w:r>
        <w:rPr>
          <w:spacing w:val="-13"/>
        </w:rPr>
        <w:t> </w:t>
      </w:r>
      <w:r>
        <w:rPr/>
        <w:t>the</w:t>
      </w:r>
      <w:r>
        <w:rPr>
          <w:spacing w:val="-11"/>
        </w:rPr>
        <w:t> </w:t>
      </w:r>
      <w:r>
        <w:rPr/>
        <w:t>following</w:t>
      </w:r>
      <w:r>
        <w:rPr>
          <w:spacing w:val="-7"/>
        </w:rPr>
        <w:t> </w:t>
      </w:r>
      <w:r>
        <w:rPr>
          <w:spacing w:val="-2"/>
        </w:rPr>
        <w:t>criteria:</w:t>
      </w:r>
    </w:p>
    <w:p>
      <w:pPr>
        <w:pStyle w:val="ListParagraph"/>
        <w:numPr>
          <w:ilvl w:val="0"/>
          <w:numId w:val="9"/>
        </w:numPr>
        <w:tabs>
          <w:tab w:pos="580" w:val="left" w:leader="none"/>
          <w:tab w:pos="581" w:val="left" w:leader="none"/>
        </w:tabs>
        <w:spacing w:line="253" w:lineRule="exact" w:before="0" w:after="0"/>
        <w:ind w:left="580" w:right="0" w:hanging="361"/>
        <w:jc w:val="left"/>
        <w:rPr>
          <w:sz w:val="22"/>
        </w:rPr>
      </w:pPr>
      <w:r>
        <w:rPr>
          <w:sz w:val="22"/>
        </w:rPr>
        <w:t>Property</w:t>
      </w:r>
      <w:r>
        <w:rPr>
          <w:spacing w:val="-8"/>
          <w:sz w:val="22"/>
        </w:rPr>
        <w:t> </w:t>
      </w:r>
      <w:r>
        <w:rPr>
          <w:sz w:val="22"/>
        </w:rPr>
        <w:t>must</w:t>
      </w:r>
      <w:r>
        <w:rPr>
          <w:spacing w:val="-3"/>
          <w:sz w:val="22"/>
        </w:rPr>
        <w:t> </w:t>
      </w:r>
      <w:r>
        <w:rPr>
          <w:sz w:val="22"/>
        </w:rPr>
        <w:t>be</w:t>
      </w:r>
      <w:r>
        <w:rPr>
          <w:spacing w:val="-7"/>
          <w:sz w:val="22"/>
        </w:rPr>
        <w:t> </w:t>
      </w:r>
      <w:r>
        <w:rPr>
          <w:sz w:val="22"/>
        </w:rPr>
        <w:t>located</w:t>
      </w:r>
      <w:r>
        <w:rPr>
          <w:spacing w:val="-8"/>
          <w:sz w:val="22"/>
        </w:rPr>
        <w:t> </w:t>
      </w:r>
      <w:r>
        <w:rPr>
          <w:sz w:val="22"/>
        </w:rPr>
        <w:t>in</w:t>
      </w:r>
      <w:r>
        <w:rPr>
          <w:spacing w:val="-5"/>
          <w:sz w:val="22"/>
        </w:rPr>
        <w:t> </w:t>
      </w:r>
      <w:r>
        <w:rPr>
          <w:sz w:val="22"/>
        </w:rPr>
        <w:t>the</w:t>
      </w:r>
      <w:r>
        <w:rPr>
          <w:spacing w:val="-5"/>
          <w:sz w:val="22"/>
        </w:rPr>
        <w:t> </w:t>
      </w:r>
      <w:r>
        <w:rPr>
          <w:sz w:val="22"/>
        </w:rPr>
        <w:t>city</w:t>
      </w:r>
      <w:r>
        <w:rPr>
          <w:spacing w:val="-8"/>
          <w:sz w:val="22"/>
        </w:rPr>
        <w:t> </w:t>
      </w:r>
      <w:r>
        <w:rPr>
          <w:sz w:val="22"/>
        </w:rPr>
        <w:t>limits</w:t>
      </w:r>
      <w:r>
        <w:rPr>
          <w:spacing w:val="-7"/>
          <w:sz w:val="22"/>
        </w:rPr>
        <w:t> </w:t>
      </w:r>
      <w:r>
        <w:rPr>
          <w:sz w:val="22"/>
        </w:rPr>
        <w:t>of</w:t>
      </w:r>
      <w:r>
        <w:rPr>
          <w:spacing w:val="-1"/>
          <w:sz w:val="22"/>
        </w:rPr>
        <w:t> </w:t>
      </w:r>
      <w:r>
        <w:rPr>
          <w:spacing w:val="-2"/>
          <w:sz w:val="22"/>
        </w:rPr>
        <w:t>Dallas.</w:t>
      </w:r>
    </w:p>
    <w:p>
      <w:pPr>
        <w:pStyle w:val="ListParagraph"/>
        <w:numPr>
          <w:ilvl w:val="0"/>
          <w:numId w:val="9"/>
        </w:numPr>
        <w:tabs>
          <w:tab w:pos="580" w:val="left" w:leader="none"/>
          <w:tab w:pos="582" w:val="left" w:leader="none"/>
        </w:tabs>
        <w:spacing w:line="252" w:lineRule="exact" w:before="0" w:after="0"/>
        <w:ind w:left="581" w:right="0" w:hanging="362"/>
        <w:jc w:val="left"/>
        <w:rPr>
          <w:sz w:val="22"/>
        </w:rPr>
      </w:pPr>
      <w:r>
        <w:rPr>
          <w:sz w:val="22"/>
        </w:rPr>
        <w:t>Applicant</w:t>
      </w:r>
      <w:r>
        <w:rPr>
          <w:spacing w:val="-4"/>
          <w:sz w:val="22"/>
        </w:rPr>
        <w:t> </w:t>
      </w:r>
      <w:r>
        <w:rPr>
          <w:sz w:val="22"/>
        </w:rPr>
        <w:t>must</w:t>
      </w:r>
      <w:r>
        <w:rPr>
          <w:spacing w:val="-2"/>
          <w:sz w:val="22"/>
        </w:rPr>
        <w:t> </w:t>
      </w:r>
      <w:r>
        <w:rPr>
          <w:sz w:val="22"/>
        </w:rPr>
        <w:t>be</w:t>
      </w:r>
      <w:r>
        <w:rPr>
          <w:spacing w:val="-7"/>
          <w:sz w:val="22"/>
        </w:rPr>
        <w:t> </w:t>
      </w:r>
      <w:r>
        <w:rPr>
          <w:sz w:val="22"/>
        </w:rPr>
        <w:t>a</w:t>
      </w:r>
      <w:r>
        <w:rPr>
          <w:spacing w:val="-11"/>
          <w:sz w:val="22"/>
        </w:rPr>
        <w:t> </w:t>
      </w:r>
      <w:r>
        <w:rPr>
          <w:sz w:val="22"/>
        </w:rPr>
        <w:t>resident</w:t>
      </w:r>
      <w:r>
        <w:rPr>
          <w:spacing w:val="-1"/>
          <w:sz w:val="22"/>
        </w:rPr>
        <w:t> </w:t>
      </w:r>
      <w:r>
        <w:rPr>
          <w:sz w:val="22"/>
        </w:rPr>
        <w:t>living</w:t>
      </w:r>
      <w:r>
        <w:rPr>
          <w:spacing w:val="-3"/>
          <w:sz w:val="22"/>
        </w:rPr>
        <w:t> </w:t>
      </w:r>
      <w:r>
        <w:rPr>
          <w:sz w:val="22"/>
        </w:rPr>
        <w:t>in</w:t>
      </w:r>
      <w:r>
        <w:rPr>
          <w:spacing w:val="-10"/>
          <w:sz w:val="22"/>
        </w:rPr>
        <w:t> </w:t>
      </w:r>
      <w:r>
        <w:rPr>
          <w:sz w:val="22"/>
        </w:rPr>
        <w:t>the</w:t>
      </w:r>
      <w:r>
        <w:rPr>
          <w:spacing w:val="-8"/>
          <w:sz w:val="22"/>
        </w:rPr>
        <w:t> </w:t>
      </w:r>
      <w:r>
        <w:rPr>
          <w:sz w:val="22"/>
        </w:rPr>
        <w:t>city</w:t>
      </w:r>
      <w:r>
        <w:rPr>
          <w:spacing w:val="-9"/>
          <w:sz w:val="22"/>
        </w:rPr>
        <w:t> </w:t>
      </w:r>
      <w:r>
        <w:rPr>
          <w:sz w:val="22"/>
        </w:rPr>
        <w:t>limits</w:t>
      </w:r>
      <w:r>
        <w:rPr>
          <w:spacing w:val="-4"/>
          <w:sz w:val="22"/>
        </w:rPr>
        <w:t> </w:t>
      </w:r>
      <w:r>
        <w:rPr>
          <w:sz w:val="22"/>
        </w:rPr>
        <w:t>of</w:t>
      </w:r>
      <w:r>
        <w:rPr>
          <w:spacing w:val="-4"/>
          <w:sz w:val="22"/>
        </w:rPr>
        <w:t> </w:t>
      </w:r>
      <w:r>
        <w:rPr>
          <w:sz w:val="22"/>
        </w:rPr>
        <w:t>Dallas</w:t>
      </w:r>
      <w:r>
        <w:rPr>
          <w:spacing w:val="-5"/>
          <w:sz w:val="22"/>
        </w:rPr>
        <w:t> </w:t>
      </w:r>
      <w:r>
        <w:rPr>
          <w:sz w:val="22"/>
        </w:rPr>
        <w:t>at</w:t>
      </w:r>
      <w:r>
        <w:rPr>
          <w:spacing w:val="-6"/>
          <w:sz w:val="22"/>
        </w:rPr>
        <w:t> </w:t>
      </w:r>
      <w:r>
        <w:rPr>
          <w:sz w:val="22"/>
        </w:rPr>
        <w:t>the</w:t>
      </w:r>
      <w:r>
        <w:rPr>
          <w:spacing w:val="-8"/>
          <w:sz w:val="22"/>
        </w:rPr>
        <w:t> </w:t>
      </w:r>
      <w:r>
        <w:rPr>
          <w:sz w:val="22"/>
        </w:rPr>
        <w:t>time</w:t>
      </w:r>
      <w:r>
        <w:rPr>
          <w:spacing w:val="-5"/>
          <w:sz w:val="22"/>
        </w:rPr>
        <w:t> </w:t>
      </w:r>
      <w:r>
        <w:rPr>
          <w:sz w:val="22"/>
        </w:rPr>
        <w:t>of</w:t>
      </w:r>
      <w:r>
        <w:rPr>
          <w:spacing w:val="-6"/>
          <w:sz w:val="22"/>
        </w:rPr>
        <w:t> </w:t>
      </w:r>
      <w:r>
        <w:rPr>
          <w:spacing w:val="-2"/>
          <w:sz w:val="22"/>
        </w:rPr>
        <w:t>application.</w:t>
      </w:r>
    </w:p>
    <w:p>
      <w:pPr>
        <w:pStyle w:val="ListParagraph"/>
        <w:numPr>
          <w:ilvl w:val="0"/>
          <w:numId w:val="9"/>
        </w:numPr>
        <w:tabs>
          <w:tab w:pos="581" w:val="left" w:leader="none"/>
          <w:tab w:pos="582" w:val="left" w:leader="none"/>
        </w:tabs>
        <w:spacing w:line="261" w:lineRule="exact" w:before="0" w:after="0"/>
        <w:ind w:left="581" w:right="0" w:hanging="361"/>
        <w:jc w:val="left"/>
        <w:rPr>
          <w:sz w:val="22"/>
        </w:rPr>
      </w:pPr>
      <w:r>
        <w:rPr>
          <w:sz w:val="22"/>
        </w:rPr>
        <w:t>Applicant</w:t>
      </w:r>
      <w:r>
        <w:rPr>
          <w:spacing w:val="-10"/>
          <w:sz w:val="22"/>
        </w:rPr>
        <w:t> </w:t>
      </w:r>
      <w:r>
        <w:rPr>
          <w:sz w:val="22"/>
        </w:rPr>
        <w:t>must</w:t>
      </w:r>
      <w:r>
        <w:rPr>
          <w:spacing w:val="-5"/>
          <w:sz w:val="22"/>
        </w:rPr>
        <w:t> </w:t>
      </w:r>
      <w:r>
        <w:rPr>
          <w:sz w:val="22"/>
        </w:rPr>
        <w:t>have</w:t>
      </w:r>
      <w:r>
        <w:rPr>
          <w:spacing w:val="-9"/>
          <w:sz w:val="22"/>
        </w:rPr>
        <w:t> </w:t>
      </w:r>
      <w:r>
        <w:rPr>
          <w:sz w:val="22"/>
        </w:rPr>
        <w:t>at</w:t>
      </w:r>
      <w:r>
        <w:rPr>
          <w:spacing w:val="-5"/>
          <w:sz w:val="22"/>
        </w:rPr>
        <w:t> </w:t>
      </w:r>
      <w:r>
        <w:rPr>
          <w:sz w:val="22"/>
        </w:rPr>
        <w:t>least</w:t>
      </w:r>
      <w:r>
        <w:rPr>
          <w:spacing w:val="-5"/>
          <w:sz w:val="22"/>
        </w:rPr>
        <w:t> </w:t>
      </w:r>
      <w:r>
        <w:rPr>
          <w:sz w:val="22"/>
        </w:rPr>
        <w:t>10</w:t>
      </w:r>
      <w:r>
        <w:rPr>
          <w:spacing w:val="-11"/>
          <w:sz w:val="22"/>
        </w:rPr>
        <w:t> </w:t>
      </w:r>
      <w:r>
        <w:rPr>
          <w:sz w:val="22"/>
        </w:rPr>
        <w:t>cumulative</w:t>
      </w:r>
      <w:r>
        <w:rPr>
          <w:spacing w:val="-7"/>
          <w:sz w:val="22"/>
        </w:rPr>
        <w:t> </w:t>
      </w:r>
      <w:r>
        <w:rPr>
          <w:sz w:val="22"/>
        </w:rPr>
        <w:t>years</w:t>
      </w:r>
      <w:r>
        <w:rPr>
          <w:spacing w:val="-13"/>
          <w:sz w:val="22"/>
        </w:rPr>
        <w:t> </w:t>
      </w:r>
      <w:r>
        <w:rPr>
          <w:sz w:val="22"/>
        </w:rPr>
        <w:t>of</w:t>
      </w:r>
      <w:r>
        <w:rPr>
          <w:spacing w:val="-5"/>
          <w:sz w:val="22"/>
        </w:rPr>
        <w:t> </w:t>
      </w:r>
      <w:r>
        <w:rPr>
          <w:sz w:val="22"/>
        </w:rPr>
        <w:t>Dallas</w:t>
      </w:r>
      <w:r>
        <w:rPr>
          <w:spacing w:val="-8"/>
          <w:sz w:val="22"/>
        </w:rPr>
        <w:t> </w:t>
      </w:r>
      <w:r>
        <w:rPr>
          <w:spacing w:val="-2"/>
          <w:sz w:val="22"/>
        </w:rPr>
        <w:t>residency.</w:t>
      </w:r>
    </w:p>
    <w:p>
      <w:pPr>
        <w:pStyle w:val="ListParagraph"/>
        <w:numPr>
          <w:ilvl w:val="0"/>
          <w:numId w:val="9"/>
        </w:numPr>
        <w:tabs>
          <w:tab w:pos="583" w:val="left" w:leader="none"/>
        </w:tabs>
        <w:spacing w:line="240" w:lineRule="auto" w:before="4" w:after="0"/>
        <w:ind w:left="581" w:right="254" w:hanging="360"/>
        <w:jc w:val="both"/>
        <w:rPr>
          <w:sz w:val="22"/>
        </w:rPr>
      </w:pPr>
      <w:r>
        <w:rPr>
          <w:sz w:val="22"/>
        </w:rPr>
        <w:t>Household projected annual income must be between 50-120% of Area Median Income, but</w:t>
      </w:r>
      <w:r>
        <w:rPr>
          <w:spacing w:val="-11"/>
          <w:sz w:val="22"/>
        </w:rPr>
        <w:t> </w:t>
      </w:r>
      <w:r>
        <w:rPr>
          <w:sz w:val="22"/>
        </w:rPr>
        <w:t>not</w:t>
      </w:r>
      <w:r>
        <w:rPr>
          <w:spacing w:val="-12"/>
          <w:sz w:val="22"/>
        </w:rPr>
        <w:t> </w:t>
      </w:r>
      <w:r>
        <w:rPr>
          <w:sz w:val="22"/>
        </w:rPr>
        <w:t>to</w:t>
      </w:r>
      <w:r>
        <w:rPr>
          <w:spacing w:val="-11"/>
          <w:sz w:val="22"/>
        </w:rPr>
        <w:t> </w:t>
      </w:r>
      <w:r>
        <w:rPr>
          <w:sz w:val="22"/>
        </w:rPr>
        <w:t>exceed</w:t>
      </w:r>
      <w:r>
        <w:rPr>
          <w:spacing w:val="-11"/>
          <w:sz w:val="22"/>
        </w:rPr>
        <w:t> </w:t>
      </w:r>
      <w:r>
        <w:rPr>
          <w:sz w:val="22"/>
        </w:rPr>
        <w:t>120%</w:t>
      </w:r>
      <w:r>
        <w:rPr>
          <w:spacing w:val="-15"/>
          <w:sz w:val="22"/>
        </w:rPr>
        <w:t> </w:t>
      </w:r>
      <w:r>
        <w:rPr>
          <w:sz w:val="22"/>
        </w:rPr>
        <w:t>of</w:t>
      </w:r>
      <w:r>
        <w:rPr>
          <w:spacing w:val="-12"/>
          <w:sz w:val="22"/>
        </w:rPr>
        <w:t> </w:t>
      </w:r>
      <w:r>
        <w:rPr>
          <w:sz w:val="22"/>
        </w:rPr>
        <w:t>the</w:t>
      </w:r>
      <w:r>
        <w:rPr>
          <w:spacing w:val="-14"/>
          <w:sz w:val="22"/>
        </w:rPr>
        <w:t> </w:t>
      </w:r>
      <w:r>
        <w:rPr>
          <w:sz w:val="22"/>
        </w:rPr>
        <w:t>Area</w:t>
      </w:r>
      <w:r>
        <w:rPr>
          <w:spacing w:val="-16"/>
          <w:sz w:val="22"/>
        </w:rPr>
        <w:t> </w:t>
      </w:r>
      <w:r>
        <w:rPr>
          <w:sz w:val="22"/>
        </w:rPr>
        <w:t>Median</w:t>
      </w:r>
      <w:r>
        <w:rPr>
          <w:spacing w:val="-12"/>
          <w:sz w:val="22"/>
        </w:rPr>
        <w:t> </w:t>
      </w:r>
      <w:r>
        <w:rPr>
          <w:sz w:val="22"/>
        </w:rPr>
        <w:t>Income,</w:t>
      </w:r>
      <w:r>
        <w:rPr>
          <w:spacing w:val="-12"/>
          <w:sz w:val="22"/>
        </w:rPr>
        <w:t> </w:t>
      </w:r>
      <w:r>
        <w:rPr>
          <w:sz w:val="22"/>
        </w:rPr>
        <w:t>adjusted</w:t>
      </w:r>
      <w:r>
        <w:rPr>
          <w:spacing w:val="-16"/>
          <w:sz w:val="22"/>
        </w:rPr>
        <w:t> </w:t>
      </w:r>
      <w:r>
        <w:rPr>
          <w:sz w:val="22"/>
        </w:rPr>
        <w:t>for</w:t>
      </w:r>
      <w:r>
        <w:rPr>
          <w:spacing w:val="-11"/>
          <w:sz w:val="22"/>
        </w:rPr>
        <w:t> </w:t>
      </w:r>
      <w:r>
        <w:rPr>
          <w:sz w:val="22"/>
        </w:rPr>
        <w:t>household</w:t>
      </w:r>
      <w:r>
        <w:rPr>
          <w:spacing w:val="-14"/>
          <w:sz w:val="22"/>
        </w:rPr>
        <w:t> </w:t>
      </w:r>
      <w:r>
        <w:rPr>
          <w:sz w:val="22"/>
        </w:rPr>
        <w:t>size,</w:t>
      </w:r>
      <w:r>
        <w:rPr>
          <w:spacing w:val="-10"/>
          <w:sz w:val="22"/>
        </w:rPr>
        <w:t> </w:t>
      </w:r>
      <w:r>
        <w:rPr>
          <w:sz w:val="22"/>
        </w:rPr>
        <w:t>at</w:t>
      </w:r>
      <w:r>
        <w:rPr>
          <w:spacing w:val="-11"/>
          <w:sz w:val="22"/>
        </w:rPr>
        <w:t> </w:t>
      </w:r>
      <w:r>
        <w:rPr>
          <w:sz w:val="22"/>
        </w:rPr>
        <w:t>the</w:t>
      </w:r>
      <w:r>
        <w:rPr>
          <w:spacing w:val="-16"/>
          <w:sz w:val="22"/>
        </w:rPr>
        <w:t> </w:t>
      </w:r>
      <w:r>
        <w:rPr>
          <w:sz w:val="22"/>
        </w:rPr>
        <w:t>time of application to the program. Income eligibility shall be determined at the time of the application.</w:t>
      </w:r>
      <w:r>
        <w:rPr>
          <w:spacing w:val="-16"/>
          <w:sz w:val="22"/>
        </w:rPr>
        <w:t> </w:t>
      </w:r>
      <w:r>
        <w:rPr>
          <w:sz w:val="22"/>
        </w:rPr>
        <w:t>Applicant</w:t>
      </w:r>
      <w:r>
        <w:rPr>
          <w:spacing w:val="-15"/>
          <w:sz w:val="22"/>
        </w:rPr>
        <w:t> </w:t>
      </w:r>
      <w:r>
        <w:rPr>
          <w:sz w:val="22"/>
        </w:rPr>
        <w:t>household’s</w:t>
      </w:r>
      <w:r>
        <w:rPr>
          <w:spacing w:val="-15"/>
          <w:sz w:val="22"/>
        </w:rPr>
        <w:t> </w:t>
      </w:r>
      <w:r>
        <w:rPr>
          <w:sz w:val="22"/>
        </w:rPr>
        <w:t>income</w:t>
      </w:r>
      <w:r>
        <w:rPr>
          <w:spacing w:val="-16"/>
          <w:sz w:val="22"/>
        </w:rPr>
        <w:t> </w:t>
      </w:r>
      <w:r>
        <w:rPr>
          <w:sz w:val="22"/>
        </w:rPr>
        <w:t>eligibility</w:t>
      </w:r>
      <w:r>
        <w:rPr>
          <w:spacing w:val="-15"/>
          <w:sz w:val="22"/>
        </w:rPr>
        <w:t> </w:t>
      </w:r>
      <w:r>
        <w:rPr>
          <w:sz w:val="22"/>
        </w:rPr>
        <w:t>is</w:t>
      </w:r>
      <w:r>
        <w:rPr>
          <w:spacing w:val="-15"/>
          <w:sz w:val="22"/>
        </w:rPr>
        <w:t> </w:t>
      </w:r>
      <w:r>
        <w:rPr>
          <w:sz w:val="22"/>
        </w:rPr>
        <w:t>only</w:t>
      </w:r>
      <w:r>
        <w:rPr>
          <w:spacing w:val="-15"/>
          <w:sz w:val="22"/>
        </w:rPr>
        <w:t> </w:t>
      </w:r>
      <w:r>
        <w:rPr>
          <w:sz w:val="22"/>
        </w:rPr>
        <w:t>valid</w:t>
      </w:r>
      <w:r>
        <w:rPr>
          <w:spacing w:val="-16"/>
          <w:sz w:val="22"/>
        </w:rPr>
        <w:t> </w:t>
      </w:r>
      <w:r>
        <w:rPr>
          <w:sz w:val="22"/>
        </w:rPr>
        <w:t>for</w:t>
      </w:r>
      <w:r>
        <w:rPr>
          <w:spacing w:val="-15"/>
          <w:sz w:val="22"/>
        </w:rPr>
        <w:t> </w:t>
      </w:r>
      <w:r>
        <w:rPr>
          <w:sz w:val="22"/>
        </w:rPr>
        <w:t>six</w:t>
      </w:r>
      <w:r>
        <w:rPr>
          <w:spacing w:val="-15"/>
          <w:sz w:val="22"/>
        </w:rPr>
        <w:t> </w:t>
      </w:r>
      <w:r>
        <w:rPr>
          <w:sz w:val="22"/>
        </w:rPr>
        <w:t>months</w:t>
      </w:r>
      <w:r>
        <w:rPr>
          <w:spacing w:val="-16"/>
          <w:sz w:val="22"/>
        </w:rPr>
        <w:t> </w:t>
      </w:r>
      <w:r>
        <w:rPr>
          <w:sz w:val="22"/>
        </w:rPr>
        <w:t>from</w:t>
      </w:r>
      <w:r>
        <w:rPr>
          <w:spacing w:val="-15"/>
          <w:sz w:val="22"/>
        </w:rPr>
        <w:t> </w:t>
      </w:r>
      <w:r>
        <w:rPr>
          <w:sz w:val="22"/>
        </w:rPr>
        <w:t>the</w:t>
      </w:r>
      <w:r>
        <w:rPr>
          <w:spacing w:val="-15"/>
          <w:sz w:val="22"/>
        </w:rPr>
        <w:t> </w:t>
      </w:r>
      <w:r>
        <w:rPr>
          <w:sz w:val="22"/>
        </w:rPr>
        <w:t>date of the last application.</w:t>
      </w:r>
    </w:p>
    <w:p>
      <w:pPr>
        <w:pStyle w:val="ListParagraph"/>
        <w:numPr>
          <w:ilvl w:val="0"/>
          <w:numId w:val="9"/>
        </w:numPr>
        <w:tabs>
          <w:tab w:pos="582" w:val="left" w:leader="none"/>
        </w:tabs>
        <w:spacing w:line="237" w:lineRule="auto" w:before="3" w:after="0"/>
        <w:ind w:left="581" w:right="262" w:hanging="361"/>
        <w:jc w:val="both"/>
        <w:rPr>
          <w:sz w:val="22"/>
        </w:rPr>
      </w:pPr>
      <w:r>
        <w:rPr>
          <w:sz w:val="22"/>
        </w:rPr>
        <w:t>Applicant must have acceptable credit. High cost or sub-prime loans, adjustable-rate mortgages, interest only loans are not allowed.</w:t>
      </w:r>
    </w:p>
    <w:p>
      <w:pPr>
        <w:pStyle w:val="ListParagraph"/>
        <w:numPr>
          <w:ilvl w:val="0"/>
          <w:numId w:val="9"/>
        </w:numPr>
        <w:tabs>
          <w:tab w:pos="582" w:val="left" w:leader="none"/>
        </w:tabs>
        <w:spacing w:line="240" w:lineRule="auto" w:before="0" w:after="0"/>
        <w:ind w:left="581" w:right="256" w:hanging="361"/>
        <w:jc w:val="both"/>
        <w:rPr>
          <w:sz w:val="22"/>
        </w:rPr>
      </w:pPr>
      <w:r>
        <w:rPr>
          <w:sz w:val="22"/>
        </w:rPr>
        <w:t>Applicant must demonstrate that Applicant has at least two months of cash available and equal to Applicant’s projected monthly mortgage payment, including principal, interest, taxes, insurance, and any associated fees.</w:t>
      </w:r>
    </w:p>
    <w:p>
      <w:pPr>
        <w:pStyle w:val="ListParagraph"/>
        <w:numPr>
          <w:ilvl w:val="0"/>
          <w:numId w:val="9"/>
        </w:numPr>
        <w:tabs>
          <w:tab w:pos="583" w:val="left" w:leader="none"/>
        </w:tabs>
        <w:spacing w:line="237" w:lineRule="auto" w:before="0" w:after="0"/>
        <w:ind w:left="582" w:right="256" w:hanging="361"/>
        <w:jc w:val="both"/>
        <w:rPr>
          <w:sz w:val="22"/>
        </w:rPr>
      </w:pPr>
      <w:r>
        <w:rPr>
          <w:sz w:val="22"/>
        </w:rPr>
        <w:t>Applicant(s)</w:t>
      </w:r>
      <w:r>
        <w:rPr>
          <w:spacing w:val="-4"/>
          <w:sz w:val="22"/>
        </w:rPr>
        <w:t> </w:t>
      </w:r>
      <w:r>
        <w:rPr>
          <w:sz w:val="22"/>
        </w:rPr>
        <w:t>must</w:t>
      </w:r>
      <w:r>
        <w:rPr>
          <w:spacing w:val="-6"/>
          <w:sz w:val="22"/>
        </w:rPr>
        <w:t> </w:t>
      </w:r>
      <w:r>
        <w:rPr>
          <w:sz w:val="22"/>
        </w:rPr>
        <w:t>meet</w:t>
      </w:r>
      <w:r>
        <w:rPr>
          <w:spacing w:val="-4"/>
          <w:sz w:val="22"/>
        </w:rPr>
        <w:t> </w:t>
      </w:r>
      <w:r>
        <w:rPr>
          <w:sz w:val="22"/>
        </w:rPr>
        <w:t>the</w:t>
      </w:r>
      <w:r>
        <w:rPr>
          <w:spacing w:val="-3"/>
          <w:sz w:val="22"/>
        </w:rPr>
        <w:t> </w:t>
      </w:r>
      <w:r>
        <w:rPr>
          <w:sz w:val="22"/>
        </w:rPr>
        <w:t>citizenship</w:t>
      </w:r>
      <w:r>
        <w:rPr>
          <w:spacing w:val="-5"/>
          <w:sz w:val="22"/>
        </w:rPr>
        <w:t> </w:t>
      </w:r>
      <w:r>
        <w:rPr>
          <w:sz w:val="22"/>
        </w:rPr>
        <w:t>and/or</w:t>
      </w:r>
      <w:r>
        <w:rPr>
          <w:spacing w:val="-4"/>
          <w:sz w:val="22"/>
        </w:rPr>
        <w:t> </w:t>
      </w:r>
      <w:r>
        <w:rPr>
          <w:sz w:val="22"/>
        </w:rPr>
        <w:t>immigration</w:t>
      </w:r>
      <w:r>
        <w:rPr>
          <w:spacing w:val="-5"/>
          <w:sz w:val="22"/>
        </w:rPr>
        <w:t> </w:t>
      </w:r>
      <w:r>
        <w:rPr>
          <w:sz w:val="22"/>
        </w:rPr>
        <w:t>status</w:t>
      </w:r>
      <w:r>
        <w:rPr>
          <w:spacing w:val="-5"/>
          <w:sz w:val="22"/>
        </w:rPr>
        <w:t> </w:t>
      </w:r>
      <w:r>
        <w:rPr>
          <w:sz w:val="22"/>
        </w:rPr>
        <w:t>guidelines</w:t>
      </w:r>
      <w:r>
        <w:rPr>
          <w:spacing w:val="-2"/>
          <w:sz w:val="22"/>
        </w:rPr>
        <w:t> </w:t>
      </w:r>
      <w:r>
        <w:rPr>
          <w:sz w:val="22"/>
        </w:rPr>
        <w:t>set</w:t>
      </w:r>
      <w:r>
        <w:rPr>
          <w:spacing w:val="-3"/>
          <w:sz w:val="22"/>
        </w:rPr>
        <w:t> </w:t>
      </w:r>
      <w:r>
        <w:rPr>
          <w:sz w:val="22"/>
        </w:rPr>
        <w:t>forth</w:t>
      </w:r>
      <w:r>
        <w:rPr>
          <w:spacing w:val="-5"/>
          <w:sz w:val="22"/>
        </w:rPr>
        <w:t> </w:t>
      </w:r>
      <w:r>
        <w:rPr>
          <w:sz w:val="22"/>
        </w:rPr>
        <w:t>by</w:t>
      </w:r>
      <w:r>
        <w:rPr>
          <w:spacing w:val="-5"/>
          <w:sz w:val="22"/>
        </w:rPr>
        <w:t> </w:t>
      </w:r>
      <w:r>
        <w:rPr>
          <w:sz w:val="22"/>
        </w:rPr>
        <w:t>the Department of Housing and Urban Development (HUD).</w:t>
      </w:r>
    </w:p>
    <w:p>
      <w:pPr>
        <w:pStyle w:val="ListParagraph"/>
        <w:numPr>
          <w:ilvl w:val="0"/>
          <w:numId w:val="9"/>
        </w:numPr>
        <w:tabs>
          <w:tab w:pos="583" w:val="left" w:leader="none"/>
        </w:tabs>
        <w:spacing w:line="240" w:lineRule="auto" w:before="1" w:after="0"/>
        <w:ind w:left="581" w:right="255" w:hanging="360"/>
        <w:jc w:val="both"/>
        <w:rPr>
          <w:sz w:val="22"/>
        </w:rPr>
      </w:pPr>
      <w:r>
        <w:rPr>
          <w:sz w:val="22"/>
        </w:rPr>
        <w:t>City Council members, Department of Housing &amp; Neighborhood Revitalization employees </w:t>
      </w:r>
      <w:r>
        <w:rPr>
          <w:spacing w:val="-2"/>
          <w:sz w:val="22"/>
        </w:rPr>
        <w:t>and</w:t>
      </w:r>
      <w:r>
        <w:rPr>
          <w:spacing w:val="-6"/>
          <w:sz w:val="22"/>
        </w:rPr>
        <w:t> </w:t>
      </w:r>
      <w:r>
        <w:rPr>
          <w:spacing w:val="-2"/>
          <w:sz w:val="22"/>
        </w:rPr>
        <w:t>any</w:t>
      </w:r>
      <w:r>
        <w:rPr>
          <w:spacing w:val="-9"/>
          <w:sz w:val="22"/>
        </w:rPr>
        <w:t> </w:t>
      </w:r>
      <w:r>
        <w:rPr>
          <w:spacing w:val="-2"/>
          <w:sz w:val="22"/>
        </w:rPr>
        <w:t>employee,</w:t>
      </w:r>
      <w:r>
        <w:rPr>
          <w:spacing w:val="-10"/>
          <w:sz w:val="22"/>
        </w:rPr>
        <w:t> </w:t>
      </w:r>
      <w:r>
        <w:rPr>
          <w:spacing w:val="-2"/>
          <w:sz w:val="22"/>
        </w:rPr>
        <w:t>official</w:t>
      </w:r>
      <w:r>
        <w:rPr>
          <w:spacing w:val="-6"/>
          <w:sz w:val="22"/>
        </w:rPr>
        <w:t> </w:t>
      </w:r>
      <w:r>
        <w:rPr>
          <w:spacing w:val="-2"/>
          <w:sz w:val="22"/>
        </w:rPr>
        <w:t>or</w:t>
      </w:r>
      <w:r>
        <w:rPr>
          <w:spacing w:val="-7"/>
          <w:sz w:val="22"/>
        </w:rPr>
        <w:t> </w:t>
      </w:r>
      <w:r>
        <w:rPr>
          <w:spacing w:val="-2"/>
          <w:sz w:val="22"/>
        </w:rPr>
        <w:t>agent</w:t>
      </w:r>
      <w:r>
        <w:rPr>
          <w:spacing w:val="-7"/>
          <w:sz w:val="22"/>
        </w:rPr>
        <w:t> </w:t>
      </w:r>
      <w:r>
        <w:rPr>
          <w:spacing w:val="-2"/>
          <w:sz w:val="22"/>
        </w:rPr>
        <w:t>of</w:t>
      </w:r>
      <w:r>
        <w:rPr>
          <w:spacing w:val="-10"/>
          <w:sz w:val="22"/>
        </w:rPr>
        <w:t> </w:t>
      </w:r>
      <w:r>
        <w:rPr>
          <w:spacing w:val="-2"/>
          <w:sz w:val="22"/>
        </w:rPr>
        <w:t>the</w:t>
      </w:r>
      <w:r>
        <w:rPr>
          <w:spacing w:val="-9"/>
          <w:sz w:val="22"/>
        </w:rPr>
        <w:t> </w:t>
      </w:r>
      <w:r>
        <w:rPr>
          <w:spacing w:val="-2"/>
          <w:sz w:val="22"/>
        </w:rPr>
        <w:t>City</w:t>
      </w:r>
      <w:r>
        <w:rPr>
          <w:spacing w:val="-9"/>
          <w:sz w:val="22"/>
        </w:rPr>
        <w:t> </w:t>
      </w:r>
      <w:r>
        <w:rPr>
          <w:spacing w:val="-2"/>
          <w:sz w:val="22"/>
        </w:rPr>
        <w:t>who</w:t>
      </w:r>
      <w:r>
        <w:rPr>
          <w:spacing w:val="-12"/>
          <w:sz w:val="22"/>
        </w:rPr>
        <w:t> </w:t>
      </w:r>
      <w:r>
        <w:rPr>
          <w:spacing w:val="-2"/>
          <w:sz w:val="22"/>
        </w:rPr>
        <w:t>exercises</w:t>
      </w:r>
      <w:r>
        <w:rPr>
          <w:spacing w:val="-9"/>
          <w:sz w:val="22"/>
        </w:rPr>
        <w:t> </w:t>
      </w:r>
      <w:r>
        <w:rPr>
          <w:spacing w:val="-2"/>
          <w:sz w:val="22"/>
        </w:rPr>
        <w:t>any</w:t>
      </w:r>
      <w:r>
        <w:rPr>
          <w:spacing w:val="-9"/>
          <w:sz w:val="22"/>
        </w:rPr>
        <w:t> </w:t>
      </w:r>
      <w:r>
        <w:rPr>
          <w:spacing w:val="-2"/>
          <w:sz w:val="22"/>
        </w:rPr>
        <w:t>policy</w:t>
      </w:r>
      <w:r>
        <w:rPr>
          <w:spacing w:val="-5"/>
          <w:sz w:val="22"/>
        </w:rPr>
        <w:t> </w:t>
      </w:r>
      <w:r>
        <w:rPr>
          <w:spacing w:val="-2"/>
          <w:sz w:val="22"/>
        </w:rPr>
        <w:t>or</w:t>
      </w:r>
      <w:r>
        <w:rPr>
          <w:spacing w:val="-7"/>
          <w:sz w:val="22"/>
        </w:rPr>
        <w:t> </w:t>
      </w:r>
      <w:r>
        <w:rPr>
          <w:spacing w:val="-2"/>
          <w:sz w:val="22"/>
        </w:rPr>
        <w:t>program</w:t>
      </w:r>
      <w:r>
        <w:rPr>
          <w:spacing w:val="-10"/>
          <w:sz w:val="22"/>
        </w:rPr>
        <w:t> </w:t>
      </w:r>
      <w:r>
        <w:rPr>
          <w:spacing w:val="-2"/>
          <w:sz w:val="22"/>
        </w:rPr>
        <w:t>decision- </w:t>
      </w:r>
      <w:r>
        <w:rPr>
          <w:sz w:val="22"/>
        </w:rPr>
        <w:t>making function in connection with this program are ineligible for assistance under this program.</w:t>
      </w:r>
      <w:r>
        <w:rPr>
          <w:spacing w:val="-16"/>
          <w:sz w:val="22"/>
        </w:rPr>
        <w:t> </w:t>
      </w:r>
      <w:r>
        <w:rPr>
          <w:sz w:val="22"/>
        </w:rPr>
        <w:t>This</w:t>
      </w:r>
      <w:r>
        <w:rPr>
          <w:spacing w:val="-15"/>
          <w:sz w:val="22"/>
        </w:rPr>
        <w:t> </w:t>
      </w:r>
      <w:r>
        <w:rPr>
          <w:sz w:val="22"/>
        </w:rPr>
        <w:t>policy</w:t>
      </w:r>
      <w:r>
        <w:rPr>
          <w:spacing w:val="-15"/>
          <w:sz w:val="22"/>
        </w:rPr>
        <w:t> </w:t>
      </w:r>
      <w:r>
        <w:rPr>
          <w:sz w:val="22"/>
        </w:rPr>
        <w:t>extends</w:t>
      </w:r>
      <w:r>
        <w:rPr>
          <w:spacing w:val="-16"/>
          <w:sz w:val="22"/>
        </w:rPr>
        <w:t> </w:t>
      </w:r>
      <w:r>
        <w:rPr>
          <w:sz w:val="22"/>
        </w:rPr>
        <w:t>for</w:t>
      </w:r>
      <w:r>
        <w:rPr>
          <w:spacing w:val="-15"/>
          <w:sz w:val="22"/>
        </w:rPr>
        <w:t> </w:t>
      </w:r>
      <w:r>
        <w:rPr>
          <w:sz w:val="22"/>
        </w:rPr>
        <w:t>a</w:t>
      </w:r>
      <w:r>
        <w:rPr>
          <w:spacing w:val="-15"/>
          <w:sz w:val="22"/>
        </w:rPr>
        <w:t> </w:t>
      </w:r>
      <w:r>
        <w:rPr>
          <w:sz w:val="22"/>
        </w:rPr>
        <w:t>period</w:t>
      </w:r>
      <w:r>
        <w:rPr>
          <w:spacing w:val="-15"/>
          <w:sz w:val="22"/>
        </w:rPr>
        <w:t> </w:t>
      </w:r>
      <w:r>
        <w:rPr>
          <w:sz w:val="22"/>
        </w:rPr>
        <w:t>of</w:t>
      </w:r>
      <w:r>
        <w:rPr>
          <w:spacing w:val="-16"/>
          <w:sz w:val="22"/>
        </w:rPr>
        <w:t> </w:t>
      </w:r>
      <w:r>
        <w:rPr>
          <w:sz w:val="22"/>
        </w:rPr>
        <w:t>12</w:t>
      </w:r>
      <w:r>
        <w:rPr>
          <w:spacing w:val="-15"/>
          <w:sz w:val="22"/>
        </w:rPr>
        <w:t> </w:t>
      </w:r>
      <w:r>
        <w:rPr>
          <w:sz w:val="22"/>
        </w:rPr>
        <w:t>months</w:t>
      </w:r>
      <w:r>
        <w:rPr>
          <w:spacing w:val="-15"/>
          <w:sz w:val="22"/>
        </w:rPr>
        <w:t> </w:t>
      </w:r>
      <w:r>
        <w:rPr>
          <w:sz w:val="22"/>
        </w:rPr>
        <w:t>beyond</w:t>
      </w:r>
      <w:r>
        <w:rPr>
          <w:spacing w:val="-16"/>
          <w:sz w:val="22"/>
        </w:rPr>
        <w:t> </w:t>
      </w:r>
      <w:r>
        <w:rPr>
          <w:sz w:val="22"/>
        </w:rPr>
        <w:t>an</w:t>
      </w:r>
      <w:r>
        <w:rPr>
          <w:spacing w:val="-15"/>
          <w:sz w:val="22"/>
        </w:rPr>
        <w:t> </w:t>
      </w:r>
      <w:r>
        <w:rPr>
          <w:sz w:val="22"/>
        </w:rPr>
        <w:t>individual’s</w:t>
      </w:r>
      <w:r>
        <w:rPr>
          <w:spacing w:val="-15"/>
          <w:sz w:val="22"/>
        </w:rPr>
        <w:t> </w:t>
      </w:r>
      <w:r>
        <w:rPr>
          <w:sz w:val="22"/>
        </w:rPr>
        <w:t>disassociation with the City in such a capacity.</w:t>
      </w:r>
    </w:p>
    <w:p>
      <w:pPr>
        <w:pStyle w:val="ListParagraph"/>
        <w:numPr>
          <w:ilvl w:val="0"/>
          <w:numId w:val="9"/>
        </w:numPr>
        <w:tabs>
          <w:tab w:pos="581" w:val="left" w:leader="none"/>
        </w:tabs>
        <w:spacing w:line="237" w:lineRule="auto" w:before="2" w:after="0"/>
        <w:ind w:left="581" w:right="258" w:hanging="361"/>
        <w:jc w:val="both"/>
        <w:rPr>
          <w:sz w:val="22"/>
        </w:rPr>
      </w:pPr>
      <w:r>
        <w:rPr>
          <w:sz w:val="22"/>
        </w:rPr>
        <w:t>Property to be purchased must be for the primary residence of Applicant. Applicant must certify that the home is not for sale and will be the primary residence of Applicant.</w:t>
      </w:r>
    </w:p>
    <w:p>
      <w:pPr>
        <w:pStyle w:val="ListParagraph"/>
        <w:numPr>
          <w:ilvl w:val="0"/>
          <w:numId w:val="9"/>
        </w:numPr>
        <w:tabs>
          <w:tab w:pos="582" w:val="left" w:leader="none"/>
        </w:tabs>
        <w:spacing w:line="237" w:lineRule="auto" w:before="3" w:after="0"/>
        <w:ind w:left="581" w:right="260" w:hanging="361"/>
        <w:jc w:val="both"/>
        <w:rPr>
          <w:sz w:val="22"/>
        </w:rPr>
      </w:pPr>
      <w:r>
        <w:rPr>
          <w:sz w:val="22"/>
        </w:rPr>
        <w:t>Applicant must attend an 8-hour homeownership education class from a HUD-certified counseling agency within 12 months of application for assistance.</w:t>
      </w:r>
    </w:p>
    <w:p>
      <w:pPr>
        <w:pStyle w:val="ListParagraph"/>
        <w:numPr>
          <w:ilvl w:val="0"/>
          <w:numId w:val="9"/>
        </w:numPr>
        <w:tabs>
          <w:tab w:pos="582" w:val="left" w:leader="none"/>
        </w:tabs>
        <w:spacing w:line="240" w:lineRule="auto" w:before="4" w:after="0"/>
        <w:ind w:left="581" w:right="0" w:hanging="361"/>
        <w:jc w:val="both"/>
        <w:rPr>
          <w:sz w:val="22"/>
        </w:rPr>
      </w:pPr>
      <w:r>
        <w:rPr>
          <w:spacing w:val="-2"/>
          <w:sz w:val="22"/>
        </w:rPr>
        <w:t>Applicant</w:t>
      </w:r>
      <w:r>
        <w:rPr>
          <w:spacing w:val="-4"/>
          <w:sz w:val="22"/>
        </w:rPr>
        <w:t> </w:t>
      </w:r>
      <w:r>
        <w:rPr>
          <w:spacing w:val="-2"/>
          <w:sz w:val="22"/>
        </w:rPr>
        <w:t>must</w:t>
      </w:r>
      <w:r>
        <w:rPr>
          <w:spacing w:val="-7"/>
          <w:sz w:val="22"/>
        </w:rPr>
        <w:t> </w:t>
      </w:r>
      <w:r>
        <w:rPr>
          <w:spacing w:val="-2"/>
          <w:sz w:val="22"/>
        </w:rPr>
        <w:t>make</w:t>
      </w:r>
      <w:r>
        <w:rPr>
          <w:spacing w:val="-8"/>
          <w:sz w:val="22"/>
        </w:rPr>
        <w:t> </w:t>
      </w:r>
      <w:r>
        <w:rPr>
          <w:spacing w:val="-2"/>
          <w:sz w:val="22"/>
        </w:rPr>
        <w:t>a</w:t>
      </w:r>
      <w:r>
        <w:rPr>
          <w:spacing w:val="-8"/>
          <w:sz w:val="22"/>
        </w:rPr>
        <w:t> </w:t>
      </w:r>
      <w:r>
        <w:rPr>
          <w:spacing w:val="-2"/>
          <w:sz w:val="22"/>
        </w:rPr>
        <w:t>minimum</w:t>
      </w:r>
      <w:r>
        <w:rPr>
          <w:spacing w:val="-4"/>
          <w:sz w:val="22"/>
        </w:rPr>
        <w:t> </w:t>
      </w:r>
      <w:r>
        <w:rPr>
          <w:spacing w:val="-2"/>
          <w:sz w:val="22"/>
        </w:rPr>
        <w:t>initial</w:t>
      </w:r>
      <w:r>
        <w:rPr>
          <w:spacing w:val="-6"/>
          <w:sz w:val="22"/>
        </w:rPr>
        <w:t> </w:t>
      </w:r>
      <w:r>
        <w:rPr>
          <w:spacing w:val="-2"/>
          <w:sz w:val="22"/>
        </w:rPr>
        <w:t>cash</w:t>
      </w:r>
      <w:r>
        <w:rPr>
          <w:spacing w:val="-8"/>
          <w:sz w:val="22"/>
        </w:rPr>
        <w:t> </w:t>
      </w:r>
      <w:r>
        <w:rPr>
          <w:spacing w:val="-2"/>
          <w:sz w:val="22"/>
        </w:rPr>
        <w:t>investment</w:t>
      </w:r>
      <w:r>
        <w:rPr>
          <w:spacing w:val="-7"/>
          <w:sz w:val="22"/>
        </w:rPr>
        <w:t> </w:t>
      </w:r>
      <w:r>
        <w:rPr>
          <w:spacing w:val="-2"/>
          <w:sz w:val="22"/>
        </w:rPr>
        <w:t>of</w:t>
      </w:r>
      <w:r>
        <w:rPr>
          <w:spacing w:val="-7"/>
          <w:sz w:val="22"/>
        </w:rPr>
        <w:t> </w:t>
      </w:r>
      <w:r>
        <w:rPr>
          <w:spacing w:val="-2"/>
          <w:sz w:val="22"/>
        </w:rPr>
        <w:t>$1,000</w:t>
      </w:r>
      <w:r>
        <w:rPr>
          <w:spacing w:val="-10"/>
          <w:sz w:val="22"/>
        </w:rPr>
        <w:t> </w:t>
      </w:r>
      <w:r>
        <w:rPr>
          <w:spacing w:val="-2"/>
          <w:sz w:val="22"/>
        </w:rPr>
        <w:t>toward</w:t>
      </w:r>
      <w:r>
        <w:rPr>
          <w:spacing w:val="-6"/>
          <w:sz w:val="22"/>
        </w:rPr>
        <w:t> </w:t>
      </w:r>
      <w:r>
        <w:rPr>
          <w:spacing w:val="-2"/>
          <w:sz w:val="22"/>
        </w:rPr>
        <w:t>purchase</w:t>
      </w:r>
      <w:r>
        <w:rPr>
          <w:spacing w:val="-6"/>
          <w:sz w:val="22"/>
        </w:rPr>
        <w:t> </w:t>
      </w:r>
      <w:r>
        <w:rPr>
          <w:spacing w:val="-2"/>
          <w:sz w:val="22"/>
        </w:rPr>
        <w:t>of</w:t>
      </w:r>
      <w:r>
        <w:rPr>
          <w:spacing w:val="-3"/>
          <w:sz w:val="22"/>
        </w:rPr>
        <w:t> </w:t>
      </w:r>
      <w:r>
        <w:rPr>
          <w:spacing w:val="-2"/>
          <w:sz w:val="22"/>
        </w:rPr>
        <w:t>home.</w:t>
      </w:r>
    </w:p>
    <w:p>
      <w:pPr>
        <w:spacing w:after="0" w:line="240" w:lineRule="auto"/>
        <w:jc w:val="both"/>
        <w:rPr>
          <w:sz w:val="22"/>
        </w:rPr>
        <w:sectPr>
          <w:pgSz w:w="12240" w:h="15840"/>
          <w:pgMar w:header="0" w:footer="1738" w:top="1360" w:bottom="1920" w:left="1320" w:right="1280"/>
        </w:sectPr>
      </w:pPr>
    </w:p>
    <w:p>
      <w:pPr>
        <w:pStyle w:val="ListParagraph"/>
        <w:numPr>
          <w:ilvl w:val="0"/>
          <w:numId w:val="9"/>
        </w:numPr>
        <w:tabs>
          <w:tab w:pos="580" w:val="left" w:leader="none"/>
          <w:tab w:pos="581" w:val="left" w:leader="none"/>
        </w:tabs>
        <w:spacing w:line="237" w:lineRule="auto" w:before="84" w:after="0"/>
        <w:ind w:left="580" w:right="258" w:hanging="361"/>
        <w:jc w:val="left"/>
        <w:rPr>
          <w:sz w:val="22"/>
        </w:rPr>
      </w:pPr>
      <w:r>
        <w:rPr>
          <w:sz w:val="22"/>
        </w:rPr>
        <w:t>The</w:t>
      </w:r>
      <w:r>
        <w:rPr>
          <w:spacing w:val="-16"/>
          <w:sz w:val="22"/>
        </w:rPr>
        <w:t> </w:t>
      </w:r>
      <w:r>
        <w:rPr>
          <w:sz w:val="22"/>
        </w:rPr>
        <w:t>property</w:t>
      </w:r>
      <w:r>
        <w:rPr>
          <w:spacing w:val="-16"/>
          <w:sz w:val="22"/>
        </w:rPr>
        <w:t> </w:t>
      </w:r>
      <w:r>
        <w:rPr>
          <w:sz w:val="22"/>
        </w:rPr>
        <w:t>must</w:t>
      </w:r>
      <w:r>
        <w:rPr>
          <w:spacing w:val="-15"/>
          <w:sz w:val="22"/>
        </w:rPr>
        <w:t> </w:t>
      </w:r>
      <w:r>
        <w:rPr>
          <w:sz w:val="22"/>
        </w:rPr>
        <w:t>meet</w:t>
      </w:r>
      <w:r>
        <w:rPr>
          <w:spacing w:val="-15"/>
          <w:sz w:val="22"/>
        </w:rPr>
        <w:t> </w:t>
      </w:r>
      <w:r>
        <w:rPr>
          <w:sz w:val="22"/>
        </w:rPr>
        <w:t>federal</w:t>
      </w:r>
      <w:r>
        <w:rPr>
          <w:spacing w:val="-16"/>
          <w:sz w:val="22"/>
        </w:rPr>
        <w:t> </w:t>
      </w:r>
      <w:r>
        <w:rPr>
          <w:sz w:val="22"/>
        </w:rPr>
        <w:t>and</w:t>
      </w:r>
      <w:r>
        <w:rPr>
          <w:spacing w:val="-15"/>
          <w:sz w:val="22"/>
        </w:rPr>
        <w:t> </w:t>
      </w:r>
      <w:r>
        <w:rPr>
          <w:sz w:val="22"/>
        </w:rPr>
        <w:t>local</w:t>
      </w:r>
      <w:r>
        <w:rPr>
          <w:spacing w:val="-15"/>
          <w:sz w:val="22"/>
        </w:rPr>
        <w:t> </w:t>
      </w:r>
      <w:r>
        <w:rPr>
          <w:sz w:val="22"/>
        </w:rPr>
        <w:t>requirements,</w:t>
      </w:r>
      <w:r>
        <w:rPr>
          <w:spacing w:val="-15"/>
          <w:sz w:val="22"/>
        </w:rPr>
        <w:t> </w:t>
      </w:r>
      <w:r>
        <w:rPr>
          <w:sz w:val="22"/>
        </w:rPr>
        <w:t>including</w:t>
      </w:r>
      <w:r>
        <w:rPr>
          <w:spacing w:val="-16"/>
          <w:sz w:val="22"/>
        </w:rPr>
        <w:t> </w:t>
      </w:r>
      <w:r>
        <w:rPr>
          <w:sz w:val="22"/>
        </w:rPr>
        <w:t>but</w:t>
      </w:r>
      <w:r>
        <w:rPr>
          <w:spacing w:val="-15"/>
          <w:sz w:val="22"/>
        </w:rPr>
        <w:t> </w:t>
      </w:r>
      <w:r>
        <w:rPr>
          <w:sz w:val="22"/>
        </w:rPr>
        <w:t>not</w:t>
      </w:r>
      <w:r>
        <w:rPr>
          <w:spacing w:val="-15"/>
          <w:sz w:val="22"/>
        </w:rPr>
        <w:t> </w:t>
      </w:r>
      <w:r>
        <w:rPr>
          <w:sz w:val="22"/>
        </w:rPr>
        <w:t>limited</w:t>
      </w:r>
      <w:r>
        <w:rPr>
          <w:spacing w:val="-16"/>
          <w:sz w:val="22"/>
        </w:rPr>
        <w:t> </w:t>
      </w:r>
      <w:r>
        <w:rPr>
          <w:sz w:val="22"/>
        </w:rPr>
        <w:t>to</w:t>
      </w:r>
      <w:r>
        <w:rPr>
          <w:spacing w:val="-17"/>
          <w:sz w:val="22"/>
        </w:rPr>
        <w:t> </w:t>
      </w:r>
      <w:r>
        <w:rPr>
          <w:sz w:val="22"/>
        </w:rPr>
        <w:t>Minimum Housing Standards and international residential code.</w:t>
      </w:r>
    </w:p>
    <w:p>
      <w:pPr>
        <w:pStyle w:val="BodyText"/>
        <w:spacing w:before="9"/>
        <w:rPr>
          <w:sz w:val="21"/>
        </w:rPr>
      </w:pPr>
    </w:p>
    <w:p>
      <w:pPr>
        <w:pStyle w:val="Heading5"/>
        <w:spacing w:before="1"/>
      </w:pPr>
      <w:r>
        <w:rPr/>
        <w:t>Eligible</w:t>
      </w:r>
      <w:r>
        <w:rPr>
          <w:spacing w:val="-8"/>
        </w:rPr>
        <w:t> </w:t>
      </w:r>
      <w:r>
        <w:rPr>
          <w:spacing w:val="-2"/>
        </w:rPr>
        <w:t>Properties</w:t>
      </w:r>
    </w:p>
    <w:p>
      <w:pPr>
        <w:pStyle w:val="BodyText"/>
        <w:spacing w:before="1"/>
        <w:ind w:left="220" w:right="1351"/>
        <w:jc w:val="both"/>
      </w:pPr>
      <w:r>
        <w:rPr/>
        <w:pict>
          <v:shape style="position:absolute;margin-left:90.065002pt;margin-top:45.910812pt;width:395.3pt;height:419pt;mso-position-horizontal-relative:page;mso-position-vertical-relative:paragraph;z-index:-17725952" id="docshape42" coordorigin="1801,918" coordsize="7906,8380" path="m4498,8182l4492,8109,4477,8031,4455,7948,4432,7878,4403,7806,4367,7731,4325,7653,4276,7573,4237,7514,4200,7463,4200,8149,4197,8205,4186,8262,4167,8319,4138,8379,4097,8442,4044,8508,3979,8577,3674,8883,2216,7425,2517,7124,2598,7048,2672,6988,2740,6945,2801,6918,2868,6903,2941,6899,3020,6906,3105,6924,3195,6953,3255,6979,3317,7011,3380,7050,3446,7095,3514,7146,3584,7205,3656,7269,3729,7341,3789,7402,3845,7462,3896,7521,3943,7579,3986,7636,4025,7691,4059,7745,4101,7820,4136,7892,4163,7961,4183,8028,4196,8092,4200,8149,4200,7463,4194,7454,4148,7394,4098,7333,4045,7272,3989,7211,3929,7149,3865,7087,3801,7029,3737,6974,3673,6922,3643,6899,3609,6874,3546,6830,3482,6788,3419,6751,3346,6713,3274,6681,3203,6653,3132,6631,3062,6614,2992,6602,2923,6595,2850,6593,2779,6600,2709,6615,2642,6638,2577,6668,2528,6697,2476,6734,2420,6779,2359,6833,2294,6896,1801,7389,3710,9297,4124,8883,4226,8781,4287,8716,4341,8650,4386,8585,4424,8518,4454,8451,4476,8385,4491,8318,4498,8251,4498,8182xm6418,6589l6056,6461,5650,6318,5561,6289,5475,6265,5393,6246,5365,6241,5314,6232,5239,6222,5193,6220,5143,6223,5089,6230,5030,6241,5073,6171,5109,6102,5136,6033,5154,5964,5164,5895,5165,5827,5157,5759,5139,5681,5111,5605,5075,5530,5030,5458,4976,5387,4956,5364,4913,5318,4872,5280,4872,5837,4868,5893,4854,5948,4830,6004,4794,6063,4747,6124,4687,6188,4280,6595,3649,5963,4102,5510,4166,5453,4229,5410,4293,5381,4358,5365,4422,5364,4501,5379,4577,5409,4649,5454,4718,5514,4761,5561,4797,5612,4827,5666,4851,5722,4867,5780,4872,5837,4872,5280,4849,5259,4782,5206,4713,5161,4641,5122,4566,5090,4474,5062,4386,5049,4303,5051,4225,5067,4163,5092,4098,5129,4030,5177,3958,5236,3883,5307,3248,5942,5157,7850,5346,7661,4499,6813,4718,6595,4753,6560,4783,6533,4810,6512,4833,6497,4863,6484,4896,6473,4932,6465,4971,6461,5014,6461,5066,6466,5125,6477,5194,6493,5256,6510,5328,6531,5407,6556,5496,6586,6180,6827,6418,6589xm7780,5227l7415,5031,6555,4577,6555,4884,6070,5370,6030,5298,5989,5226,5748,4796,5708,4724,5668,4653,5629,4587,5590,4522,5550,4458,5509,4395,5467,4333,5424,4272,5380,4211,5436,4247,5498,4285,5564,4324,5635,4366,5792,4457,6555,4884,6555,4577,5862,4211,5286,3904,5082,4108,5277,4459,5316,4529,5701,5227,6207,6146,6441,6566,6642,6365,6565,6232,6298,5763,6221,5630,6481,5370,6820,5031,7173,5227,7565,5442,7780,5227xm8131,4876l7264,4009,7936,3337,7711,3112,7039,3784,6448,3193,7224,2417,6999,2192,6033,3157,7941,5065,8131,4876xm9707,3300l8024,1617,8497,1143,8272,918,7138,2053,7363,2278,7834,1806,9517,3489,9707,3300xe" filled="true" fillcolor="#c0c0c0" stroked="false">
            <v:path arrowok="t"/>
            <v:fill opacity="32896f" type="solid"/>
            <w10:wrap type="none"/>
          </v:shape>
        </w:pict>
      </w:r>
      <w:r>
        <w:rPr/>
        <w:t>The property can be privately or publicly owned prior to sale to the Applicant. The property must be within the Dallas, Texas city limits and meet the City’s minimum </w:t>
      </w:r>
      <w:r>
        <w:rPr>
          <w:spacing w:val="-2"/>
        </w:rPr>
        <w:t>housing</w:t>
      </w:r>
      <w:r>
        <w:rPr>
          <w:spacing w:val="-12"/>
        </w:rPr>
        <w:t> </w:t>
      </w:r>
      <w:r>
        <w:rPr>
          <w:spacing w:val="-2"/>
        </w:rPr>
        <w:t>standards</w:t>
      </w:r>
      <w:r>
        <w:rPr>
          <w:spacing w:val="-12"/>
        </w:rPr>
        <w:t> </w:t>
      </w:r>
      <w:r>
        <w:rPr>
          <w:spacing w:val="-2"/>
        </w:rPr>
        <w:t>and</w:t>
      </w:r>
      <w:r>
        <w:rPr>
          <w:spacing w:val="-13"/>
        </w:rPr>
        <w:t> </w:t>
      </w:r>
      <w:r>
        <w:rPr>
          <w:spacing w:val="-2"/>
        </w:rPr>
        <w:t>lead</w:t>
      </w:r>
      <w:r>
        <w:rPr>
          <w:spacing w:val="-10"/>
        </w:rPr>
        <w:t> </w:t>
      </w:r>
      <w:r>
        <w:rPr>
          <w:spacing w:val="-2"/>
        </w:rPr>
        <w:t>based</w:t>
      </w:r>
      <w:r>
        <w:rPr>
          <w:spacing w:val="-13"/>
        </w:rPr>
        <w:t> </w:t>
      </w:r>
      <w:r>
        <w:rPr>
          <w:spacing w:val="-2"/>
        </w:rPr>
        <w:t>paint</w:t>
      </w:r>
      <w:r>
        <w:rPr>
          <w:spacing w:val="-10"/>
        </w:rPr>
        <w:t> </w:t>
      </w:r>
      <w:r>
        <w:rPr>
          <w:spacing w:val="-2"/>
        </w:rPr>
        <w:t>requirements</w:t>
      </w:r>
      <w:r>
        <w:rPr>
          <w:spacing w:val="-12"/>
        </w:rPr>
        <w:t> </w:t>
      </w:r>
      <w:r>
        <w:rPr>
          <w:spacing w:val="-2"/>
        </w:rPr>
        <w:t>at</w:t>
      </w:r>
      <w:r>
        <w:rPr>
          <w:spacing w:val="-14"/>
        </w:rPr>
        <w:t> </w:t>
      </w:r>
      <w:r>
        <w:rPr>
          <w:spacing w:val="-2"/>
        </w:rPr>
        <w:t>the</w:t>
      </w:r>
      <w:r>
        <w:rPr>
          <w:spacing w:val="-13"/>
        </w:rPr>
        <w:t> </w:t>
      </w:r>
      <w:r>
        <w:rPr>
          <w:spacing w:val="-2"/>
        </w:rPr>
        <w:t>time</w:t>
      </w:r>
      <w:r>
        <w:rPr>
          <w:spacing w:val="-12"/>
        </w:rPr>
        <w:t> </w:t>
      </w:r>
      <w:r>
        <w:rPr>
          <w:spacing w:val="-2"/>
        </w:rPr>
        <w:t>of</w:t>
      </w:r>
      <w:r>
        <w:rPr>
          <w:spacing w:val="-12"/>
        </w:rPr>
        <w:t> </w:t>
      </w:r>
      <w:r>
        <w:rPr>
          <w:spacing w:val="-2"/>
        </w:rPr>
        <w:t>initial</w:t>
      </w:r>
      <w:r>
        <w:rPr>
          <w:spacing w:val="-13"/>
        </w:rPr>
        <w:t> </w:t>
      </w:r>
      <w:r>
        <w:rPr>
          <w:spacing w:val="-2"/>
        </w:rPr>
        <w:t>occupancy. </w:t>
      </w:r>
      <w:r>
        <w:rPr/>
        <w:t>All liens must be paid off at or before closing.</w:t>
      </w:r>
    </w:p>
    <w:p>
      <w:pPr>
        <w:pStyle w:val="BodyText"/>
        <w:spacing w:before="80"/>
        <w:ind w:left="221" w:right="1350"/>
        <w:jc w:val="both"/>
      </w:pPr>
      <w:r>
        <w:rPr/>
        <w:t>The property must contain adequate living and sleeping space for the Applicant household as verified by the property appraisal, site visit, and/or Dallas Appraisal District Data.</w:t>
      </w:r>
    </w:p>
    <w:p>
      <w:pPr>
        <w:pStyle w:val="BodyText"/>
      </w:pPr>
    </w:p>
    <w:p>
      <w:pPr>
        <w:pStyle w:val="BodyText"/>
        <w:spacing w:before="1"/>
        <w:ind w:left="221"/>
      </w:pPr>
      <w:r>
        <w:rPr/>
        <w:t>The</w:t>
      </w:r>
      <w:r>
        <w:rPr>
          <w:spacing w:val="-8"/>
        </w:rPr>
        <w:t> </w:t>
      </w:r>
      <w:r>
        <w:rPr/>
        <w:t>property</w:t>
      </w:r>
      <w:r>
        <w:rPr>
          <w:spacing w:val="-5"/>
        </w:rPr>
        <w:t> </w:t>
      </w:r>
      <w:r>
        <w:rPr/>
        <w:t>can</w:t>
      </w:r>
      <w:r>
        <w:rPr>
          <w:spacing w:val="-11"/>
        </w:rPr>
        <w:t> </w:t>
      </w:r>
      <w:r>
        <w:rPr/>
        <w:t>be</w:t>
      </w:r>
      <w:r>
        <w:rPr>
          <w:spacing w:val="-7"/>
        </w:rPr>
        <w:t> </w:t>
      </w:r>
      <w:r>
        <w:rPr/>
        <w:t>an</w:t>
      </w:r>
      <w:r>
        <w:rPr>
          <w:spacing w:val="-11"/>
        </w:rPr>
        <w:t> </w:t>
      </w:r>
      <w:r>
        <w:rPr/>
        <w:t>existing</w:t>
      </w:r>
      <w:r>
        <w:rPr>
          <w:spacing w:val="-5"/>
        </w:rPr>
        <w:t> </w:t>
      </w:r>
      <w:r>
        <w:rPr/>
        <w:t>property,</w:t>
      </w:r>
      <w:r>
        <w:rPr>
          <w:spacing w:val="-4"/>
        </w:rPr>
        <w:t> </w:t>
      </w:r>
      <w:r>
        <w:rPr/>
        <w:t>or</w:t>
      </w:r>
      <w:r>
        <w:rPr>
          <w:spacing w:val="-7"/>
        </w:rPr>
        <w:t> </w:t>
      </w:r>
      <w:r>
        <w:rPr/>
        <w:t>it</w:t>
      </w:r>
      <w:r>
        <w:rPr>
          <w:spacing w:val="-7"/>
        </w:rPr>
        <w:t> </w:t>
      </w:r>
      <w:r>
        <w:rPr/>
        <w:t>may</w:t>
      </w:r>
      <w:r>
        <w:rPr>
          <w:spacing w:val="-5"/>
        </w:rPr>
        <w:t> </w:t>
      </w:r>
      <w:r>
        <w:rPr/>
        <w:t>be</w:t>
      </w:r>
      <w:r>
        <w:rPr>
          <w:spacing w:val="-6"/>
        </w:rPr>
        <w:t> </w:t>
      </w:r>
      <w:r>
        <w:rPr/>
        <w:t>newly</w:t>
      </w:r>
      <w:r>
        <w:rPr>
          <w:spacing w:val="-8"/>
        </w:rPr>
        <w:t> </w:t>
      </w:r>
      <w:r>
        <w:rPr/>
        <w:t>constructed.</w:t>
      </w:r>
      <w:r>
        <w:rPr>
          <w:spacing w:val="-5"/>
        </w:rPr>
        <w:t> </w:t>
      </w:r>
      <w:r>
        <w:rPr/>
        <w:t>The</w:t>
      </w:r>
      <w:r>
        <w:rPr>
          <w:spacing w:val="-6"/>
        </w:rPr>
        <w:t> </w:t>
      </w:r>
      <w:r>
        <w:rPr/>
        <w:t>property</w:t>
      </w:r>
      <w:r>
        <w:rPr>
          <w:spacing w:val="-8"/>
        </w:rPr>
        <w:t> </w:t>
      </w:r>
      <w:r>
        <w:rPr/>
        <w:t>can</w:t>
      </w:r>
      <w:r>
        <w:rPr>
          <w:spacing w:val="-7"/>
        </w:rPr>
        <w:t> </w:t>
      </w:r>
      <w:r>
        <w:rPr>
          <w:spacing w:val="-5"/>
        </w:rPr>
        <w:t>be:</w:t>
      </w:r>
    </w:p>
    <w:p>
      <w:pPr>
        <w:pStyle w:val="BodyText"/>
        <w:spacing w:before="9"/>
      </w:pPr>
    </w:p>
    <w:p>
      <w:pPr>
        <w:pStyle w:val="ListParagraph"/>
        <w:numPr>
          <w:ilvl w:val="0"/>
          <w:numId w:val="10"/>
        </w:numPr>
        <w:tabs>
          <w:tab w:pos="1201" w:val="left" w:leader="none"/>
          <w:tab w:pos="1202" w:val="left" w:leader="none"/>
        </w:tabs>
        <w:spacing w:line="269" w:lineRule="exact" w:before="0" w:after="0"/>
        <w:ind w:left="1201" w:right="0" w:hanging="361"/>
        <w:jc w:val="left"/>
        <w:rPr>
          <w:sz w:val="22"/>
        </w:rPr>
      </w:pPr>
      <w:r>
        <w:rPr>
          <w:sz w:val="22"/>
        </w:rPr>
        <w:t>Single-family</w:t>
      </w:r>
      <w:r>
        <w:rPr>
          <w:spacing w:val="-9"/>
          <w:sz w:val="22"/>
        </w:rPr>
        <w:t> </w:t>
      </w:r>
      <w:r>
        <w:rPr>
          <w:sz w:val="22"/>
        </w:rPr>
        <w:t>property</w:t>
      </w:r>
      <w:r>
        <w:rPr>
          <w:spacing w:val="-12"/>
          <w:sz w:val="22"/>
        </w:rPr>
        <w:t> </w:t>
      </w:r>
      <w:r>
        <w:rPr>
          <w:sz w:val="22"/>
        </w:rPr>
        <w:t>(one</w:t>
      </w:r>
      <w:r>
        <w:rPr>
          <w:spacing w:val="-9"/>
          <w:sz w:val="22"/>
        </w:rPr>
        <w:t> </w:t>
      </w:r>
      <w:r>
        <w:rPr>
          <w:sz w:val="22"/>
        </w:rPr>
        <w:t>unit);</w:t>
      </w:r>
      <w:r>
        <w:rPr>
          <w:spacing w:val="-7"/>
          <w:sz w:val="22"/>
        </w:rPr>
        <w:t> </w:t>
      </w:r>
      <w:r>
        <w:rPr>
          <w:spacing w:val="-5"/>
          <w:sz w:val="22"/>
        </w:rPr>
        <w:t>or</w:t>
      </w:r>
    </w:p>
    <w:p>
      <w:pPr>
        <w:pStyle w:val="ListParagraph"/>
        <w:numPr>
          <w:ilvl w:val="0"/>
          <w:numId w:val="10"/>
        </w:numPr>
        <w:tabs>
          <w:tab w:pos="1201" w:val="left" w:leader="none"/>
          <w:tab w:pos="1202" w:val="left" w:leader="none"/>
        </w:tabs>
        <w:spacing w:line="269" w:lineRule="exact" w:before="0" w:after="0"/>
        <w:ind w:left="1201" w:right="0" w:hanging="361"/>
        <w:jc w:val="left"/>
        <w:rPr>
          <w:sz w:val="22"/>
        </w:rPr>
      </w:pPr>
      <w:r>
        <w:rPr>
          <w:sz w:val="22"/>
        </w:rPr>
        <w:t>Condominium</w:t>
      </w:r>
      <w:r>
        <w:rPr>
          <w:spacing w:val="-11"/>
          <w:sz w:val="22"/>
        </w:rPr>
        <w:t> </w:t>
      </w:r>
      <w:r>
        <w:rPr>
          <w:sz w:val="22"/>
        </w:rPr>
        <w:t>or</w:t>
      </w:r>
      <w:r>
        <w:rPr>
          <w:spacing w:val="-13"/>
          <w:sz w:val="22"/>
        </w:rPr>
        <w:t> </w:t>
      </w:r>
      <w:r>
        <w:rPr>
          <w:sz w:val="22"/>
        </w:rPr>
        <w:t>cooperative</w:t>
      </w:r>
      <w:r>
        <w:rPr>
          <w:spacing w:val="-9"/>
          <w:sz w:val="22"/>
        </w:rPr>
        <w:t> </w:t>
      </w:r>
      <w:r>
        <w:rPr>
          <w:spacing w:val="-4"/>
          <w:sz w:val="22"/>
        </w:rPr>
        <w:t>unit</w:t>
      </w:r>
    </w:p>
    <w:p>
      <w:pPr>
        <w:pStyle w:val="BodyText"/>
        <w:spacing w:before="10"/>
        <w:rPr>
          <w:sz w:val="21"/>
        </w:rPr>
      </w:pPr>
    </w:p>
    <w:p>
      <w:pPr>
        <w:pStyle w:val="BodyText"/>
        <w:ind w:left="222" w:right="50"/>
      </w:pPr>
      <w:r>
        <w:rPr/>
        <w:t>The</w:t>
      </w:r>
      <w:r>
        <w:rPr>
          <w:spacing w:val="-7"/>
        </w:rPr>
        <w:t> </w:t>
      </w:r>
      <w:r>
        <w:rPr/>
        <w:t>sales</w:t>
      </w:r>
      <w:r>
        <w:rPr>
          <w:spacing w:val="-4"/>
        </w:rPr>
        <w:t> </w:t>
      </w:r>
      <w:r>
        <w:rPr/>
        <w:t>price</w:t>
      </w:r>
      <w:r>
        <w:rPr>
          <w:spacing w:val="-5"/>
        </w:rPr>
        <w:t> </w:t>
      </w:r>
      <w:r>
        <w:rPr/>
        <w:t>will</w:t>
      </w:r>
      <w:r>
        <w:rPr>
          <w:spacing w:val="-7"/>
        </w:rPr>
        <w:t> </w:t>
      </w:r>
      <w:r>
        <w:rPr/>
        <w:t>be</w:t>
      </w:r>
      <w:r>
        <w:rPr>
          <w:spacing w:val="-7"/>
        </w:rPr>
        <w:t> </w:t>
      </w:r>
      <w:r>
        <w:rPr/>
        <w:t>based</w:t>
      </w:r>
      <w:r>
        <w:rPr>
          <w:spacing w:val="-7"/>
        </w:rPr>
        <w:t> </w:t>
      </w:r>
      <w:r>
        <w:rPr/>
        <w:t>on</w:t>
      </w:r>
      <w:r>
        <w:rPr>
          <w:spacing w:val="-7"/>
        </w:rPr>
        <w:t> </w:t>
      </w:r>
      <w:r>
        <w:rPr/>
        <w:t>qualifying</w:t>
      </w:r>
      <w:r>
        <w:rPr>
          <w:spacing w:val="-7"/>
        </w:rPr>
        <w:t> </w:t>
      </w:r>
      <w:r>
        <w:rPr/>
        <w:t>income</w:t>
      </w:r>
      <w:r>
        <w:rPr>
          <w:spacing w:val="-8"/>
        </w:rPr>
        <w:t> </w:t>
      </w:r>
      <w:r>
        <w:rPr/>
        <w:t>and</w:t>
      </w:r>
      <w:r>
        <w:rPr>
          <w:spacing w:val="-7"/>
        </w:rPr>
        <w:t> </w:t>
      </w:r>
      <w:r>
        <w:rPr/>
        <w:t>credit</w:t>
      </w:r>
      <w:r>
        <w:rPr>
          <w:spacing w:val="-6"/>
        </w:rPr>
        <w:t> </w:t>
      </w:r>
      <w:r>
        <w:rPr/>
        <w:t>as</w:t>
      </w:r>
      <w:r>
        <w:rPr>
          <w:spacing w:val="-7"/>
        </w:rPr>
        <w:t> </w:t>
      </w:r>
      <w:r>
        <w:rPr/>
        <w:t>determined</w:t>
      </w:r>
      <w:r>
        <w:rPr>
          <w:spacing w:val="-7"/>
        </w:rPr>
        <w:t> </w:t>
      </w:r>
      <w:r>
        <w:rPr/>
        <w:t>by</w:t>
      </w:r>
      <w:r>
        <w:rPr>
          <w:spacing w:val="-7"/>
        </w:rPr>
        <w:t> </w:t>
      </w:r>
      <w:r>
        <w:rPr/>
        <w:t>the</w:t>
      </w:r>
      <w:r>
        <w:rPr>
          <w:spacing w:val="-9"/>
        </w:rPr>
        <w:t> </w:t>
      </w:r>
      <w:r>
        <w:rPr/>
        <w:t>mortgage </w:t>
      </w:r>
      <w:r>
        <w:rPr>
          <w:spacing w:val="-2"/>
        </w:rPr>
        <w:t>lender.</w:t>
      </w:r>
    </w:p>
    <w:p>
      <w:pPr>
        <w:pStyle w:val="BodyText"/>
        <w:rPr>
          <w:sz w:val="24"/>
        </w:rPr>
      </w:pPr>
    </w:p>
    <w:p>
      <w:pPr>
        <w:pStyle w:val="BodyText"/>
        <w:spacing w:before="10"/>
        <w:rPr>
          <w:sz w:val="19"/>
        </w:rPr>
      </w:pPr>
    </w:p>
    <w:p>
      <w:pPr>
        <w:pStyle w:val="Heading5"/>
        <w:ind w:left="121"/>
        <w:jc w:val="left"/>
      </w:pPr>
      <w:r>
        <w:rPr/>
        <w:t>Affordability</w:t>
      </w:r>
      <w:r>
        <w:rPr>
          <w:spacing w:val="-14"/>
        </w:rPr>
        <w:t> </w:t>
      </w:r>
      <w:r>
        <w:rPr>
          <w:spacing w:val="-2"/>
        </w:rPr>
        <w:t>Periods</w:t>
      </w:r>
    </w:p>
    <w:p>
      <w:pPr>
        <w:pStyle w:val="BodyText"/>
        <w:spacing w:before="1"/>
        <w:ind w:left="221" w:right="1028"/>
      </w:pPr>
      <w:r>
        <w:rPr/>
        <w:t>The</w:t>
      </w:r>
      <w:r>
        <w:rPr>
          <w:spacing w:val="-11"/>
        </w:rPr>
        <w:t> </w:t>
      </w:r>
      <w:r>
        <w:rPr/>
        <w:t>residence</w:t>
      </w:r>
      <w:r>
        <w:rPr>
          <w:spacing w:val="-14"/>
        </w:rPr>
        <w:t> </w:t>
      </w:r>
      <w:r>
        <w:rPr/>
        <w:t>must</w:t>
      </w:r>
      <w:r>
        <w:rPr>
          <w:spacing w:val="-13"/>
        </w:rPr>
        <w:t> </w:t>
      </w:r>
      <w:r>
        <w:rPr/>
        <w:t>remain</w:t>
      </w:r>
      <w:r>
        <w:rPr>
          <w:spacing w:val="-10"/>
        </w:rPr>
        <w:t> </w:t>
      </w:r>
      <w:r>
        <w:rPr/>
        <w:t>affordable</w:t>
      </w:r>
      <w:r>
        <w:rPr>
          <w:spacing w:val="-14"/>
        </w:rPr>
        <w:t> </w:t>
      </w:r>
      <w:r>
        <w:rPr/>
        <w:t>for</w:t>
      </w:r>
      <w:r>
        <w:rPr>
          <w:spacing w:val="-8"/>
        </w:rPr>
        <w:t> </w:t>
      </w:r>
      <w:r>
        <w:rPr/>
        <w:t>a</w:t>
      </w:r>
      <w:r>
        <w:rPr>
          <w:spacing w:val="-15"/>
        </w:rPr>
        <w:t> </w:t>
      </w:r>
      <w:r>
        <w:rPr/>
        <w:t>certain</w:t>
      </w:r>
      <w:r>
        <w:rPr>
          <w:spacing w:val="-12"/>
        </w:rPr>
        <w:t> </w:t>
      </w:r>
      <w:r>
        <w:rPr/>
        <w:t>period</w:t>
      </w:r>
      <w:r>
        <w:rPr>
          <w:spacing w:val="-12"/>
        </w:rPr>
        <w:t> </w:t>
      </w:r>
      <w:r>
        <w:rPr/>
        <w:t>of</w:t>
      </w:r>
      <w:r>
        <w:rPr>
          <w:spacing w:val="-16"/>
        </w:rPr>
        <w:t> </w:t>
      </w:r>
      <w:r>
        <w:rPr/>
        <w:t>time,</w:t>
      </w:r>
      <w:r>
        <w:rPr>
          <w:spacing w:val="-7"/>
        </w:rPr>
        <w:t> </w:t>
      </w:r>
      <w:r>
        <w:rPr/>
        <w:t>which</w:t>
      </w:r>
      <w:r>
        <w:rPr>
          <w:spacing w:val="-14"/>
        </w:rPr>
        <w:t> </w:t>
      </w:r>
      <w:r>
        <w:rPr/>
        <w:t>is</w:t>
      </w:r>
      <w:r>
        <w:rPr>
          <w:spacing w:val="-16"/>
        </w:rPr>
        <w:t> </w:t>
      </w:r>
      <w:r>
        <w:rPr/>
        <w:t>dependent on the amount of funds invested. The City’s recapture provisions will apply.</w:t>
      </w:r>
    </w:p>
    <w:p>
      <w:pPr>
        <w:pStyle w:val="BodyText"/>
        <w:rPr>
          <w:sz w:val="20"/>
        </w:rPr>
      </w:pPr>
    </w:p>
    <w:p>
      <w:pPr>
        <w:pStyle w:val="BodyText"/>
        <w:spacing w:before="2"/>
        <w:rPr>
          <w:sz w:val="24"/>
        </w:rPr>
      </w:pPr>
    </w:p>
    <w:tbl>
      <w:tblPr>
        <w:tblW w:w="0" w:type="auto"/>
        <w:jc w:val="left"/>
        <w:tblInd w:w="27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2866"/>
        <w:gridCol w:w="2792"/>
      </w:tblGrid>
      <w:tr>
        <w:trPr>
          <w:trHeight w:val="285" w:hRule="atLeast"/>
        </w:trPr>
        <w:tc>
          <w:tcPr>
            <w:tcW w:w="2866" w:type="dxa"/>
            <w:shd w:val="clear" w:color="auto" w:fill="15365D"/>
          </w:tcPr>
          <w:p>
            <w:pPr>
              <w:pStyle w:val="TableParagraph"/>
              <w:spacing w:line="248" w:lineRule="exact"/>
              <w:ind w:left="208"/>
              <w:jc w:val="left"/>
              <w:rPr>
                <w:b/>
                <w:sz w:val="22"/>
              </w:rPr>
            </w:pPr>
            <w:r>
              <w:rPr>
                <w:b/>
                <w:color w:val="FFFFFF"/>
                <w:sz w:val="22"/>
              </w:rPr>
              <w:t>Amount</w:t>
            </w:r>
            <w:r>
              <w:rPr>
                <w:b/>
                <w:color w:val="FFFFFF"/>
                <w:spacing w:val="-7"/>
                <w:sz w:val="22"/>
              </w:rPr>
              <w:t> </w:t>
            </w:r>
            <w:r>
              <w:rPr>
                <w:b/>
                <w:color w:val="FFFFFF"/>
                <w:sz w:val="22"/>
              </w:rPr>
              <w:t>of</w:t>
            </w:r>
            <w:r>
              <w:rPr>
                <w:b/>
                <w:color w:val="FFFFFF"/>
                <w:spacing w:val="-4"/>
                <w:sz w:val="22"/>
              </w:rPr>
              <w:t> Funds</w:t>
            </w:r>
          </w:p>
        </w:tc>
        <w:tc>
          <w:tcPr>
            <w:tcW w:w="2792" w:type="dxa"/>
            <w:shd w:val="clear" w:color="auto" w:fill="15365D"/>
          </w:tcPr>
          <w:p>
            <w:pPr>
              <w:pStyle w:val="TableParagraph"/>
              <w:spacing w:line="248" w:lineRule="exact"/>
              <w:ind w:left="-1"/>
              <w:jc w:val="left"/>
              <w:rPr>
                <w:b/>
                <w:sz w:val="22"/>
              </w:rPr>
            </w:pPr>
            <w:r>
              <w:rPr>
                <w:b/>
                <w:color w:val="FFFFFF"/>
                <w:sz w:val="22"/>
              </w:rPr>
              <w:t>Required</w:t>
            </w:r>
            <w:r>
              <w:rPr>
                <w:b/>
                <w:color w:val="FFFFFF"/>
                <w:spacing w:val="-13"/>
                <w:sz w:val="22"/>
              </w:rPr>
              <w:t> </w:t>
            </w:r>
            <w:r>
              <w:rPr>
                <w:b/>
                <w:color w:val="FFFFFF"/>
                <w:spacing w:val="-2"/>
                <w:sz w:val="22"/>
              </w:rPr>
              <w:t>Affordability</w:t>
            </w:r>
          </w:p>
        </w:tc>
      </w:tr>
      <w:tr>
        <w:trPr>
          <w:trHeight w:val="285" w:hRule="atLeast"/>
        </w:trPr>
        <w:tc>
          <w:tcPr>
            <w:tcW w:w="2866" w:type="dxa"/>
          </w:tcPr>
          <w:p>
            <w:pPr>
              <w:pStyle w:val="TableParagraph"/>
              <w:spacing w:line="248" w:lineRule="exact"/>
              <w:ind w:left="14"/>
              <w:jc w:val="left"/>
              <w:rPr>
                <w:sz w:val="22"/>
              </w:rPr>
            </w:pPr>
            <w:r>
              <w:rPr>
                <w:sz w:val="22"/>
              </w:rPr>
              <w:t>$50,000</w:t>
            </w:r>
            <w:r>
              <w:rPr>
                <w:spacing w:val="-7"/>
                <w:sz w:val="22"/>
              </w:rPr>
              <w:t> </w:t>
            </w:r>
            <w:r>
              <w:rPr>
                <w:sz w:val="22"/>
              </w:rPr>
              <w:t>or</w:t>
            </w:r>
            <w:r>
              <w:rPr>
                <w:spacing w:val="-3"/>
                <w:sz w:val="22"/>
              </w:rPr>
              <w:t> </w:t>
            </w:r>
            <w:r>
              <w:rPr>
                <w:spacing w:val="-4"/>
                <w:sz w:val="22"/>
              </w:rPr>
              <w:t>less</w:t>
            </w:r>
          </w:p>
        </w:tc>
        <w:tc>
          <w:tcPr>
            <w:tcW w:w="2792" w:type="dxa"/>
          </w:tcPr>
          <w:p>
            <w:pPr>
              <w:pStyle w:val="TableParagraph"/>
              <w:spacing w:line="248" w:lineRule="exact"/>
              <w:ind w:left="-1"/>
              <w:jc w:val="left"/>
              <w:rPr>
                <w:sz w:val="22"/>
              </w:rPr>
            </w:pPr>
            <w:r>
              <w:rPr>
                <w:sz w:val="22"/>
              </w:rPr>
              <w:t>5 </w:t>
            </w:r>
            <w:r>
              <w:rPr>
                <w:spacing w:val="-2"/>
                <w:sz w:val="22"/>
              </w:rPr>
              <w:t>Years</w:t>
            </w:r>
          </w:p>
        </w:tc>
      </w:tr>
    </w:tbl>
    <w:p>
      <w:pPr>
        <w:pStyle w:val="BodyText"/>
        <w:spacing w:before="6"/>
        <w:rPr>
          <w:sz w:val="14"/>
        </w:rPr>
      </w:pPr>
    </w:p>
    <w:p>
      <w:pPr>
        <w:pStyle w:val="Heading5"/>
        <w:spacing w:before="94"/>
      </w:pPr>
      <w:r>
        <w:rPr/>
        <w:t>Eligible</w:t>
      </w:r>
      <w:r>
        <w:rPr>
          <w:spacing w:val="-10"/>
        </w:rPr>
        <w:t> </w:t>
      </w:r>
      <w:r>
        <w:rPr>
          <w:spacing w:val="-2"/>
        </w:rPr>
        <w:t>Expenses</w:t>
      </w:r>
    </w:p>
    <w:p>
      <w:pPr>
        <w:pStyle w:val="BodyText"/>
        <w:spacing w:before="1"/>
        <w:ind w:left="220" w:right="1353"/>
        <w:jc w:val="both"/>
      </w:pPr>
      <w:r>
        <w:rPr/>
        <w:t>Eligible</w:t>
      </w:r>
      <w:r>
        <w:rPr>
          <w:spacing w:val="-9"/>
        </w:rPr>
        <w:t> </w:t>
      </w:r>
      <w:r>
        <w:rPr/>
        <w:t>expenses</w:t>
      </w:r>
      <w:r>
        <w:rPr>
          <w:spacing w:val="-11"/>
        </w:rPr>
        <w:t> </w:t>
      </w:r>
      <w:r>
        <w:rPr/>
        <w:t>may</w:t>
      </w:r>
      <w:r>
        <w:rPr>
          <w:spacing w:val="-9"/>
        </w:rPr>
        <w:t> </w:t>
      </w:r>
      <w:r>
        <w:rPr/>
        <w:t>include</w:t>
      </w:r>
      <w:r>
        <w:rPr>
          <w:spacing w:val="-9"/>
        </w:rPr>
        <w:t> </w:t>
      </w:r>
      <w:r>
        <w:rPr/>
        <w:t>down</w:t>
      </w:r>
      <w:r>
        <w:rPr>
          <w:spacing w:val="-9"/>
        </w:rPr>
        <w:t> </w:t>
      </w:r>
      <w:r>
        <w:rPr/>
        <w:t>payment,</w:t>
      </w:r>
      <w:r>
        <w:rPr>
          <w:spacing w:val="-10"/>
        </w:rPr>
        <w:t> </w:t>
      </w:r>
      <w:r>
        <w:rPr/>
        <w:t>closing</w:t>
      </w:r>
      <w:r>
        <w:rPr>
          <w:spacing w:val="-9"/>
        </w:rPr>
        <w:t> </w:t>
      </w:r>
      <w:r>
        <w:rPr/>
        <w:t>cost</w:t>
      </w:r>
      <w:r>
        <w:rPr>
          <w:spacing w:val="-8"/>
        </w:rPr>
        <w:t> </w:t>
      </w:r>
      <w:r>
        <w:rPr/>
        <w:t>assistance</w:t>
      </w:r>
      <w:r>
        <w:rPr>
          <w:spacing w:val="-12"/>
        </w:rPr>
        <w:t> </w:t>
      </w:r>
      <w:r>
        <w:rPr/>
        <w:t>and</w:t>
      </w:r>
      <w:r>
        <w:rPr>
          <w:spacing w:val="-14"/>
        </w:rPr>
        <w:t> </w:t>
      </w:r>
      <w:r>
        <w:rPr/>
        <w:t>principal reduction. If the house is sold before the required affordability period has elapsed, the assistance funds must be recaptured on a pro-rated basis.</w:t>
      </w:r>
    </w:p>
    <w:p>
      <w:pPr>
        <w:pStyle w:val="BodyText"/>
        <w:spacing w:before="1"/>
      </w:pPr>
    </w:p>
    <w:p>
      <w:pPr>
        <w:pStyle w:val="Heading5"/>
        <w:ind w:left="119"/>
      </w:pPr>
      <w:r>
        <w:rPr/>
        <w:t>Terms</w:t>
      </w:r>
      <w:r>
        <w:rPr>
          <w:spacing w:val="-2"/>
        </w:rPr>
        <w:t> </w:t>
      </w:r>
      <w:r>
        <w:rPr/>
        <w:t>of</w:t>
      </w:r>
      <w:r>
        <w:rPr>
          <w:spacing w:val="-1"/>
        </w:rPr>
        <w:t> </w:t>
      </w:r>
      <w:r>
        <w:rPr>
          <w:spacing w:val="-2"/>
        </w:rPr>
        <w:t>Assistance</w:t>
      </w:r>
    </w:p>
    <w:p>
      <w:pPr>
        <w:pStyle w:val="ListParagraph"/>
        <w:numPr>
          <w:ilvl w:val="1"/>
          <w:numId w:val="9"/>
        </w:numPr>
        <w:tabs>
          <w:tab w:pos="840" w:val="left" w:leader="none"/>
        </w:tabs>
        <w:spacing w:line="237" w:lineRule="auto" w:before="3" w:after="0"/>
        <w:ind w:left="839" w:right="265" w:hanging="360"/>
        <w:jc w:val="both"/>
        <w:rPr>
          <w:sz w:val="22"/>
        </w:rPr>
      </w:pPr>
      <w:r>
        <w:rPr>
          <w:sz w:val="22"/>
        </w:rPr>
        <w:t>The assistance for the DHAP Anti-Displacement Assistance Program (ADAP) will be offered</w:t>
      </w:r>
      <w:r>
        <w:rPr>
          <w:spacing w:val="-16"/>
          <w:sz w:val="22"/>
        </w:rPr>
        <w:t> </w:t>
      </w:r>
      <w:r>
        <w:rPr>
          <w:sz w:val="22"/>
        </w:rPr>
        <w:t>in</w:t>
      </w:r>
      <w:r>
        <w:rPr>
          <w:spacing w:val="-15"/>
          <w:sz w:val="22"/>
        </w:rPr>
        <w:t> </w:t>
      </w:r>
      <w:r>
        <w:rPr>
          <w:sz w:val="22"/>
        </w:rPr>
        <w:t>the</w:t>
      </w:r>
      <w:r>
        <w:rPr>
          <w:spacing w:val="-15"/>
          <w:sz w:val="22"/>
        </w:rPr>
        <w:t> </w:t>
      </w:r>
      <w:r>
        <w:rPr>
          <w:sz w:val="22"/>
        </w:rPr>
        <w:t>form</w:t>
      </w:r>
      <w:r>
        <w:rPr>
          <w:spacing w:val="-16"/>
          <w:sz w:val="22"/>
        </w:rPr>
        <w:t> </w:t>
      </w:r>
      <w:r>
        <w:rPr>
          <w:sz w:val="22"/>
        </w:rPr>
        <w:t>of</w:t>
      </w:r>
      <w:r>
        <w:rPr>
          <w:spacing w:val="-15"/>
          <w:sz w:val="22"/>
        </w:rPr>
        <w:t> </w:t>
      </w:r>
      <w:r>
        <w:rPr>
          <w:sz w:val="22"/>
        </w:rPr>
        <w:t>a</w:t>
      </w:r>
      <w:r>
        <w:rPr>
          <w:spacing w:val="-15"/>
          <w:sz w:val="22"/>
        </w:rPr>
        <w:t> </w:t>
      </w:r>
      <w:r>
        <w:rPr>
          <w:sz w:val="22"/>
        </w:rPr>
        <w:t>deferred,</w:t>
      </w:r>
      <w:r>
        <w:rPr>
          <w:spacing w:val="-15"/>
          <w:sz w:val="22"/>
        </w:rPr>
        <w:t> </w:t>
      </w:r>
      <w:r>
        <w:rPr>
          <w:sz w:val="22"/>
        </w:rPr>
        <w:t>forgivable</w:t>
      </w:r>
      <w:r>
        <w:rPr>
          <w:spacing w:val="-16"/>
          <w:sz w:val="22"/>
        </w:rPr>
        <w:t> </w:t>
      </w:r>
      <w:r>
        <w:rPr>
          <w:sz w:val="22"/>
        </w:rPr>
        <w:t>loan,</w:t>
      </w:r>
      <w:r>
        <w:rPr>
          <w:spacing w:val="-15"/>
          <w:sz w:val="22"/>
        </w:rPr>
        <w:t> </w:t>
      </w:r>
      <w:r>
        <w:rPr>
          <w:sz w:val="22"/>
        </w:rPr>
        <w:t>which</w:t>
      </w:r>
      <w:r>
        <w:rPr>
          <w:spacing w:val="-15"/>
          <w:sz w:val="22"/>
        </w:rPr>
        <w:t> </w:t>
      </w:r>
      <w:r>
        <w:rPr>
          <w:sz w:val="22"/>
        </w:rPr>
        <w:t>shall</w:t>
      </w:r>
      <w:r>
        <w:rPr>
          <w:spacing w:val="-16"/>
          <w:sz w:val="22"/>
        </w:rPr>
        <w:t> </w:t>
      </w:r>
      <w:r>
        <w:rPr>
          <w:sz w:val="22"/>
        </w:rPr>
        <w:t>be</w:t>
      </w:r>
      <w:r>
        <w:rPr>
          <w:spacing w:val="-15"/>
          <w:sz w:val="22"/>
        </w:rPr>
        <w:t> </w:t>
      </w:r>
      <w:r>
        <w:rPr>
          <w:sz w:val="22"/>
        </w:rPr>
        <w:t>forgivable</w:t>
      </w:r>
      <w:r>
        <w:rPr>
          <w:spacing w:val="-15"/>
          <w:sz w:val="22"/>
        </w:rPr>
        <w:t> </w:t>
      </w:r>
      <w:r>
        <w:rPr>
          <w:sz w:val="22"/>
        </w:rPr>
        <w:t>annually</w:t>
      </w:r>
      <w:r>
        <w:rPr>
          <w:spacing w:val="-13"/>
          <w:sz w:val="22"/>
        </w:rPr>
        <w:t> </w:t>
      </w:r>
      <w:r>
        <w:rPr>
          <w:sz w:val="22"/>
        </w:rPr>
        <w:t>based on the affordability period, subject to the terms of the contract.</w:t>
      </w:r>
    </w:p>
    <w:p>
      <w:pPr>
        <w:pStyle w:val="ListParagraph"/>
        <w:numPr>
          <w:ilvl w:val="1"/>
          <w:numId w:val="9"/>
        </w:numPr>
        <w:tabs>
          <w:tab w:pos="840" w:val="left" w:leader="none"/>
        </w:tabs>
        <w:spacing w:line="237" w:lineRule="auto" w:before="5" w:after="0"/>
        <w:ind w:left="839" w:right="265" w:hanging="361"/>
        <w:jc w:val="both"/>
        <w:rPr>
          <w:sz w:val="22"/>
        </w:rPr>
      </w:pPr>
      <w:r>
        <w:rPr>
          <w:sz w:val="22"/>
        </w:rPr>
        <w:t>In the event of any of the following occurring prior to the completion of the affordability period the balance is payable immediately on a pro-rated basis.</w:t>
      </w:r>
    </w:p>
    <w:p>
      <w:pPr>
        <w:pStyle w:val="ListParagraph"/>
        <w:numPr>
          <w:ilvl w:val="0"/>
          <w:numId w:val="11"/>
        </w:numPr>
        <w:tabs>
          <w:tab w:pos="839" w:val="left" w:leader="none"/>
        </w:tabs>
        <w:spacing w:line="240" w:lineRule="auto" w:before="1" w:after="0"/>
        <w:ind w:left="838" w:right="262" w:hanging="360"/>
        <w:jc w:val="both"/>
        <w:rPr>
          <w:sz w:val="22"/>
        </w:rPr>
      </w:pPr>
      <w:r>
        <w:rPr>
          <w:sz w:val="22"/>
        </w:rPr>
        <w:t>The sale, conveyance, transfer, lease,</w:t>
      </w:r>
      <w:r>
        <w:rPr>
          <w:spacing w:val="-1"/>
          <w:sz w:val="22"/>
        </w:rPr>
        <w:t> </w:t>
      </w:r>
      <w:r>
        <w:rPr>
          <w:sz w:val="22"/>
        </w:rPr>
        <w:t>rental, hypothecation of</w:t>
      </w:r>
      <w:r>
        <w:rPr>
          <w:spacing w:val="-1"/>
          <w:sz w:val="22"/>
        </w:rPr>
        <w:t> </w:t>
      </w:r>
      <w:r>
        <w:rPr>
          <w:sz w:val="22"/>
        </w:rPr>
        <w:t>the security, or any part thereof,</w:t>
      </w:r>
      <w:r>
        <w:rPr>
          <w:spacing w:val="-11"/>
          <w:sz w:val="22"/>
        </w:rPr>
        <w:t> </w:t>
      </w:r>
      <w:r>
        <w:rPr>
          <w:sz w:val="22"/>
        </w:rPr>
        <w:t>or</w:t>
      </w:r>
      <w:r>
        <w:rPr>
          <w:spacing w:val="-11"/>
          <w:sz w:val="22"/>
        </w:rPr>
        <w:t> </w:t>
      </w:r>
      <w:r>
        <w:rPr>
          <w:sz w:val="22"/>
        </w:rPr>
        <w:t>any</w:t>
      </w:r>
      <w:r>
        <w:rPr>
          <w:spacing w:val="-11"/>
          <w:sz w:val="22"/>
        </w:rPr>
        <w:t> </w:t>
      </w:r>
      <w:r>
        <w:rPr>
          <w:sz w:val="22"/>
        </w:rPr>
        <w:t>interest</w:t>
      </w:r>
      <w:r>
        <w:rPr>
          <w:spacing w:val="-11"/>
          <w:sz w:val="22"/>
        </w:rPr>
        <w:t> </w:t>
      </w:r>
      <w:r>
        <w:rPr>
          <w:sz w:val="22"/>
        </w:rPr>
        <w:t>therein,</w:t>
      </w:r>
      <w:r>
        <w:rPr>
          <w:spacing w:val="-11"/>
          <w:sz w:val="22"/>
        </w:rPr>
        <w:t> </w:t>
      </w:r>
      <w:r>
        <w:rPr>
          <w:sz w:val="22"/>
        </w:rPr>
        <w:t>or</w:t>
      </w:r>
      <w:r>
        <w:rPr>
          <w:spacing w:val="-13"/>
          <w:sz w:val="22"/>
        </w:rPr>
        <w:t> </w:t>
      </w:r>
      <w:r>
        <w:rPr>
          <w:sz w:val="22"/>
        </w:rPr>
        <w:t>divestment</w:t>
      </w:r>
      <w:r>
        <w:rPr>
          <w:spacing w:val="-11"/>
          <w:sz w:val="22"/>
        </w:rPr>
        <w:t> </w:t>
      </w:r>
      <w:r>
        <w:rPr>
          <w:sz w:val="22"/>
        </w:rPr>
        <w:t>of</w:t>
      </w:r>
      <w:r>
        <w:rPr>
          <w:spacing w:val="-13"/>
          <w:sz w:val="22"/>
        </w:rPr>
        <w:t> </w:t>
      </w:r>
      <w:r>
        <w:rPr>
          <w:sz w:val="22"/>
        </w:rPr>
        <w:t>title</w:t>
      </w:r>
      <w:r>
        <w:rPr>
          <w:spacing w:val="-12"/>
          <w:sz w:val="22"/>
        </w:rPr>
        <w:t> </w:t>
      </w:r>
      <w:r>
        <w:rPr>
          <w:sz w:val="22"/>
        </w:rPr>
        <w:t>or</w:t>
      </w:r>
      <w:r>
        <w:rPr>
          <w:spacing w:val="-11"/>
          <w:sz w:val="22"/>
        </w:rPr>
        <w:t> </w:t>
      </w:r>
      <w:r>
        <w:rPr>
          <w:sz w:val="22"/>
        </w:rPr>
        <w:t>any</w:t>
      </w:r>
      <w:r>
        <w:rPr>
          <w:spacing w:val="-12"/>
          <w:sz w:val="22"/>
        </w:rPr>
        <w:t> </w:t>
      </w:r>
      <w:r>
        <w:rPr>
          <w:sz w:val="22"/>
        </w:rPr>
        <w:t>interest</w:t>
      </w:r>
      <w:r>
        <w:rPr>
          <w:spacing w:val="-11"/>
          <w:sz w:val="22"/>
        </w:rPr>
        <w:t> </w:t>
      </w:r>
      <w:r>
        <w:rPr>
          <w:sz w:val="22"/>
        </w:rPr>
        <w:t>therein</w:t>
      </w:r>
      <w:r>
        <w:rPr>
          <w:spacing w:val="-12"/>
          <w:sz w:val="22"/>
        </w:rPr>
        <w:t> </w:t>
      </w:r>
      <w:r>
        <w:rPr>
          <w:sz w:val="22"/>
        </w:rPr>
        <w:t>in</w:t>
      </w:r>
      <w:r>
        <w:rPr>
          <w:spacing w:val="-12"/>
          <w:sz w:val="22"/>
        </w:rPr>
        <w:t> </w:t>
      </w:r>
      <w:r>
        <w:rPr>
          <w:sz w:val="22"/>
        </w:rPr>
        <w:t>any</w:t>
      </w:r>
      <w:r>
        <w:rPr>
          <w:spacing w:val="-12"/>
          <w:sz w:val="22"/>
        </w:rPr>
        <w:t> </w:t>
      </w:r>
      <w:r>
        <w:rPr>
          <w:sz w:val="22"/>
        </w:rPr>
        <w:t>manner or way, whether voluntarily or involuntarily, without the prior written consent of the City being first had and obtained; or</w:t>
      </w:r>
    </w:p>
    <w:p>
      <w:pPr>
        <w:pStyle w:val="ListParagraph"/>
        <w:numPr>
          <w:ilvl w:val="0"/>
          <w:numId w:val="11"/>
        </w:numPr>
        <w:tabs>
          <w:tab w:pos="839" w:val="left" w:leader="none"/>
        </w:tabs>
        <w:spacing w:line="247" w:lineRule="exact" w:before="0" w:after="0"/>
        <w:ind w:left="838" w:right="0" w:hanging="361"/>
        <w:jc w:val="both"/>
        <w:rPr>
          <w:sz w:val="22"/>
        </w:rPr>
      </w:pPr>
      <w:r>
        <w:rPr>
          <w:sz w:val="22"/>
        </w:rPr>
        <w:t>Failure</w:t>
      </w:r>
      <w:r>
        <w:rPr>
          <w:spacing w:val="-11"/>
          <w:sz w:val="22"/>
        </w:rPr>
        <w:t> </w:t>
      </w:r>
      <w:r>
        <w:rPr>
          <w:sz w:val="22"/>
        </w:rPr>
        <w:t>to</w:t>
      </w:r>
      <w:r>
        <w:rPr>
          <w:spacing w:val="-6"/>
          <w:sz w:val="22"/>
        </w:rPr>
        <w:t> </w:t>
      </w:r>
      <w:r>
        <w:rPr>
          <w:sz w:val="22"/>
        </w:rPr>
        <w:t>adhere</w:t>
      </w:r>
      <w:r>
        <w:rPr>
          <w:spacing w:val="-9"/>
          <w:sz w:val="22"/>
        </w:rPr>
        <w:t> </w:t>
      </w:r>
      <w:r>
        <w:rPr>
          <w:sz w:val="22"/>
        </w:rPr>
        <w:t>to</w:t>
      </w:r>
      <w:r>
        <w:rPr>
          <w:spacing w:val="-8"/>
          <w:sz w:val="22"/>
        </w:rPr>
        <w:t> </w:t>
      </w:r>
      <w:r>
        <w:rPr>
          <w:sz w:val="22"/>
        </w:rPr>
        <w:t>the</w:t>
      </w:r>
      <w:r>
        <w:rPr>
          <w:spacing w:val="-8"/>
          <w:sz w:val="22"/>
        </w:rPr>
        <w:t> </w:t>
      </w:r>
      <w:r>
        <w:rPr>
          <w:sz w:val="22"/>
        </w:rPr>
        <w:t>provisions</w:t>
      </w:r>
      <w:r>
        <w:rPr>
          <w:spacing w:val="-5"/>
          <w:sz w:val="22"/>
        </w:rPr>
        <w:t> </w:t>
      </w:r>
      <w:r>
        <w:rPr>
          <w:sz w:val="22"/>
        </w:rPr>
        <w:t>of</w:t>
      </w:r>
      <w:r>
        <w:rPr>
          <w:spacing w:val="-6"/>
          <w:sz w:val="22"/>
        </w:rPr>
        <w:t> </w:t>
      </w:r>
      <w:r>
        <w:rPr>
          <w:sz w:val="22"/>
        </w:rPr>
        <w:t>the</w:t>
      </w:r>
      <w:r>
        <w:rPr>
          <w:spacing w:val="-8"/>
          <w:sz w:val="22"/>
        </w:rPr>
        <w:t> </w:t>
      </w:r>
      <w:r>
        <w:rPr>
          <w:sz w:val="22"/>
        </w:rPr>
        <w:t>contract;</w:t>
      </w:r>
      <w:r>
        <w:rPr>
          <w:spacing w:val="-4"/>
          <w:sz w:val="22"/>
        </w:rPr>
        <w:t> </w:t>
      </w:r>
      <w:r>
        <w:rPr>
          <w:spacing w:val="-5"/>
          <w:sz w:val="22"/>
        </w:rPr>
        <w:t>or</w:t>
      </w:r>
    </w:p>
    <w:p>
      <w:pPr>
        <w:pStyle w:val="ListParagraph"/>
        <w:numPr>
          <w:ilvl w:val="0"/>
          <w:numId w:val="11"/>
        </w:numPr>
        <w:tabs>
          <w:tab w:pos="839" w:val="left" w:leader="none"/>
        </w:tabs>
        <w:spacing w:line="240" w:lineRule="auto" w:before="7" w:after="0"/>
        <w:ind w:left="838" w:right="260" w:hanging="360"/>
        <w:jc w:val="both"/>
        <w:rPr>
          <w:sz w:val="22"/>
        </w:rPr>
      </w:pPr>
      <w:r>
        <w:rPr>
          <w:sz w:val="22"/>
        </w:rPr>
        <w:t>Failure</w:t>
      </w:r>
      <w:r>
        <w:rPr>
          <w:spacing w:val="-8"/>
          <w:sz w:val="22"/>
        </w:rPr>
        <w:t> </w:t>
      </w:r>
      <w:r>
        <w:rPr>
          <w:sz w:val="22"/>
        </w:rPr>
        <w:t>to</w:t>
      </w:r>
      <w:r>
        <w:rPr>
          <w:spacing w:val="-11"/>
          <w:sz w:val="22"/>
        </w:rPr>
        <w:t> </w:t>
      </w:r>
      <w:r>
        <w:rPr>
          <w:sz w:val="22"/>
        </w:rPr>
        <w:t>adhere</w:t>
      </w:r>
      <w:r>
        <w:rPr>
          <w:spacing w:val="-11"/>
          <w:sz w:val="22"/>
        </w:rPr>
        <w:t> </w:t>
      </w:r>
      <w:r>
        <w:rPr>
          <w:sz w:val="22"/>
        </w:rPr>
        <w:t>to</w:t>
      </w:r>
      <w:r>
        <w:rPr>
          <w:spacing w:val="-14"/>
          <w:sz w:val="22"/>
        </w:rPr>
        <w:t> </w:t>
      </w:r>
      <w:r>
        <w:rPr>
          <w:sz w:val="22"/>
        </w:rPr>
        <w:t>the</w:t>
      </w:r>
      <w:r>
        <w:rPr>
          <w:spacing w:val="-11"/>
          <w:sz w:val="22"/>
        </w:rPr>
        <w:t> </w:t>
      </w:r>
      <w:r>
        <w:rPr>
          <w:sz w:val="22"/>
        </w:rPr>
        <w:t>provisions</w:t>
      </w:r>
      <w:r>
        <w:rPr>
          <w:spacing w:val="-7"/>
          <w:sz w:val="22"/>
        </w:rPr>
        <w:t> </w:t>
      </w:r>
      <w:r>
        <w:rPr>
          <w:sz w:val="22"/>
        </w:rPr>
        <w:t>under</w:t>
      </w:r>
      <w:r>
        <w:rPr>
          <w:spacing w:val="-12"/>
          <w:sz w:val="22"/>
        </w:rPr>
        <w:t> </w:t>
      </w:r>
      <w:r>
        <w:rPr>
          <w:sz w:val="22"/>
        </w:rPr>
        <w:t>the</w:t>
      </w:r>
      <w:r>
        <w:rPr>
          <w:spacing w:val="-7"/>
          <w:sz w:val="22"/>
        </w:rPr>
        <w:t> </w:t>
      </w:r>
      <w:r>
        <w:rPr>
          <w:sz w:val="22"/>
        </w:rPr>
        <w:t>City’s</w:t>
      </w:r>
      <w:r>
        <w:rPr>
          <w:spacing w:val="-10"/>
          <w:sz w:val="22"/>
        </w:rPr>
        <w:t> </w:t>
      </w:r>
      <w:r>
        <w:rPr>
          <w:sz w:val="22"/>
        </w:rPr>
        <w:t>deed</w:t>
      </w:r>
      <w:r>
        <w:rPr>
          <w:spacing w:val="-11"/>
          <w:sz w:val="22"/>
        </w:rPr>
        <w:t> </w:t>
      </w:r>
      <w:r>
        <w:rPr>
          <w:sz w:val="22"/>
        </w:rPr>
        <w:t>restrictions,</w:t>
      </w:r>
      <w:r>
        <w:rPr>
          <w:spacing w:val="-8"/>
          <w:sz w:val="22"/>
        </w:rPr>
        <w:t> </w:t>
      </w:r>
      <w:r>
        <w:rPr>
          <w:sz w:val="22"/>
        </w:rPr>
        <w:t>deed</w:t>
      </w:r>
      <w:r>
        <w:rPr>
          <w:spacing w:val="-7"/>
          <w:sz w:val="22"/>
        </w:rPr>
        <w:t> </w:t>
      </w:r>
      <w:r>
        <w:rPr>
          <w:sz w:val="22"/>
        </w:rPr>
        <w:t>of</w:t>
      </w:r>
      <w:r>
        <w:rPr>
          <w:spacing w:val="-6"/>
          <w:sz w:val="22"/>
        </w:rPr>
        <w:t> </w:t>
      </w:r>
      <w:r>
        <w:rPr>
          <w:sz w:val="22"/>
        </w:rPr>
        <w:t>trust</w:t>
      </w:r>
      <w:r>
        <w:rPr>
          <w:spacing w:val="-4"/>
          <w:sz w:val="22"/>
        </w:rPr>
        <w:t> </w:t>
      </w:r>
      <w:r>
        <w:rPr>
          <w:sz w:val="22"/>
        </w:rPr>
        <w:t>and/or the note, or any other lien encumbering the property.</w:t>
      </w:r>
    </w:p>
    <w:p>
      <w:pPr>
        <w:spacing w:after="0" w:line="240" w:lineRule="auto"/>
        <w:jc w:val="both"/>
        <w:rPr>
          <w:sz w:val="22"/>
        </w:rPr>
        <w:sectPr>
          <w:pgSz w:w="12240" w:h="15840"/>
          <w:pgMar w:header="0" w:footer="1738" w:top="1360" w:bottom="1920" w:left="1320" w:right="1280"/>
        </w:sectPr>
      </w:pPr>
    </w:p>
    <w:p>
      <w:pPr>
        <w:pStyle w:val="ListParagraph"/>
        <w:numPr>
          <w:ilvl w:val="1"/>
          <w:numId w:val="11"/>
        </w:numPr>
        <w:tabs>
          <w:tab w:pos="841" w:val="left" w:leader="none"/>
        </w:tabs>
        <w:spacing w:line="237" w:lineRule="auto" w:before="84" w:after="0"/>
        <w:ind w:left="840" w:right="257" w:hanging="361"/>
        <w:jc w:val="both"/>
        <w:rPr>
          <w:sz w:val="22"/>
        </w:rPr>
      </w:pPr>
      <w:r>
        <w:rPr>
          <w:sz w:val="22"/>
        </w:rPr>
        <w:t>Applicant</w:t>
      </w:r>
      <w:r>
        <w:rPr>
          <w:spacing w:val="-3"/>
          <w:sz w:val="22"/>
        </w:rPr>
        <w:t> </w:t>
      </w:r>
      <w:r>
        <w:rPr>
          <w:sz w:val="22"/>
        </w:rPr>
        <w:t>must</w:t>
      </w:r>
      <w:r>
        <w:rPr>
          <w:spacing w:val="-3"/>
          <w:sz w:val="22"/>
        </w:rPr>
        <w:t> </w:t>
      </w:r>
      <w:r>
        <w:rPr>
          <w:sz w:val="22"/>
        </w:rPr>
        <w:t>certify</w:t>
      </w:r>
      <w:r>
        <w:rPr>
          <w:spacing w:val="-4"/>
          <w:sz w:val="22"/>
        </w:rPr>
        <w:t> </w:t>
      </w:r>
      <w:r>
        <w:rPr>
          <w:sz w:val="22"/>
        </w:rPr>
        <w:t>annually</w:t>
      </w:r>
      <w:r>
        <w:rPr>
          <w:spacing w:val="-4"/>
          <w:sz w:val="22"/>
        </w:rPr>
        <w:t> </w:t>
      </w:r>
      <w:r>
        <w:rPr>
          <w:sz w:val="22"/>
        </w:rPr>
        <w:t>that</w:t>
      </w:r>
      <w:r>
        <w:rPr>
          <w:spacing w:val="-5"/>
          <w:sz w:val="22"/>
        </w:rPr>
        <w:t> </w:t>
      </w:r>
      <w:r>
        <w:rPr>
          <w:sz w:val="22"/>
        </w:rPr>
        <w:t>the</w:t>
      </w:r>
      <w:r>
        <w:rPr>
          <w:spacing w:val="-6"/>
          <w:sz w:val="22"/>
        </w:rPr>
        <w:t> </w:t>
      </w:r>
      <w:r>
        <w:rPr>
          <w:sz w:val="22"/>
        </w:rPr>
        <w:t>home</w:t>
      </w:r>
      <w:r>
        <w:rPr>
          <w:spacing w:val="-6"/>
          <w:sz w:val="22"/>
        </w:rPr>
        <w:t> </w:t>
      </w:r>
      <w:r>
        <w:rPr>
          <w:sz w:val="22"/>
        </w:rPr>
        <w:t>is</w:t>
      </w:r>
      <w:r>
        <w:rPr>
          <w:spacing w:val="-4"/>
          <w:sz w:val="22"/>
        </w:rPr>
        <w:t> </w:t>
      </w:r>
      <w:r>
        <w:rPr>
          <w:sz w:val="22"/>
        </w:rPr>
        <w:t>not</w:t>
      </w:r>
      <w:r>
        <w:rPr>
          <w:spacing w:val="-5"/>
          <w:sz w:val="22"/>
        </w:rPr>
        <w:t> </w:t>
      </w:r>
      <w:r>
        <w:rPr>
          <w:sz w:val="22"/>
        </w:rPr>
        <w:t>for</w:t>
      </w:r>
      <w:r>
        <w:rPr>
          <w:spacing w:val="-5"/>
          <w:sz w:val="22"/>
        </w:rPr>
        <w:t> </w:t>
      </w:r>
      <w:r>
        <w:rPr>
          <w:sz w:val="22"/>
        </w:rPr>
        <w:t>sale</w:t>
      </w:r>
      <w:r>
        <w:rPr>
          <w:spacing w:val="-4"/>
          <w:sz w:val="22"/>
        </w:rPr>
        <w:t> </w:t>
      </w:r>
      <w:r>
        <w:rPr>
          <w:sz w:val="22"/>
        </w:rPr>
        <w:t>and</w:t>
      </w:r>
      <w:r>
        <w:rPr>
          <w:spacing w:val="-4"/>
          <w:sz w:val="22"/>
        </w:rPr>
        <w:t> </w:t>
      </w:r>
      <w:r>
        <w:rPr>
          <w:sz w:val="22"/>
        </w:rPr>
        <w:t>is</w:t>
      </w:r>
      <w:r>
        <w:rPr>
          <w:spacing w:val="-6"/>
          <w:sz w:val="22"/>
        </w:rPr>
        <w:t> </w:t>
      </w:r>
      <w:r>
        <w:rPr>
          <w:sz w:val="22"/>
        </w:rPr>
        <w:t>the</w:t>
      </w:r>
      <w:r>
        <w:rPr>
          <w:spacing w:val="-6"/>
          <w:sz w:val="22"/>
        </w:rPr>
        <w:t> </w:t>
      </w:r>
      <w:r>
        <w:rPr>
          <w:sz w:val="22"/>
        </w:rPr>
        <w:t>primary</w:t>
      </w:r>
      <w:r>
        <w:rPr>
          <w:spacing w:val="-6"/>
          <w:sz w:val="22"/>
        </w:rPr>
        <w:t> </w:t>
      </w:r>
      <w:r>
        <w:rPr>
          <w:sz w:val="22"/>
        </w:rPr>
        <w:t>residence of the Applicant until the affordability period ends.</w:t>
      </w:r>
    </w:p>
    <w:p>
      <w:pPr>
        <w:pStyle w:val="ListParagraph"/>
        <w:numPr>
          <w:ilvl w:val="1"/>
          <w:numId w:val="11"/>
        </w:numPr>
        <w:tabs>
          <w:tab w:pos="841" w:val="left" w:leader="none"/>
        </w:tabs>
        <w:spacing w:line="237" w:lineRule="auto" w:before="3" w:after="0"/>
        <w:ind w:left="840" w:right="263" w:hanging="361"/>
        <w:jc w:val="both"/>
        <w:rPr>
          <w:sz w:val="22"/>
        </w:rPr>
      </w:pPr>
      <w:r>
        <w:rPr>
          <w:sz w:val="22"/>
        </w:rPr>
        <w:t>If</w:t>
      </w:r>
      <w:r>
        <w:rPr>
          <w:spacing w:val="-9"/>
          <w:sz w:val="22"/>
        </w:rPr>
        <w:t> </w:t>
      </w:r>
      <w:r>
        <w:rPr>
          <w:sz w:val="22"/>
        </w:rPr>
        <w:t>there</w:t>
      </w:r>
      <w:r>
        <w:rPr>
          <w:spacing w:val="-11"/>
          <w:sz w:val="22"/>
        </w:rPr>
        <w:t> </w:t>
      </w:r>
      <w:r>
        <w:rPr>
          <w:sz w:val="22"/>
        </w:rPr>
        <w:t>is</w:t>
      </w:r>
      <w:r>
        <w:rPr>
          <w:spacing w:val="-8"/>
          <w:sz w:val="22"/>
        </w:rPr>
        <w:t> </w:t>
      </w:r>
      <w:r>
        <w:rPr>
          <w:sz w:val="22"/>
        </w:rPr>
        <w:t>an</w:t>
      </w:r>
      <w:r>
        <w:rPr>
          <w:spacing w:val="-8"/>
          <w:sz w:val="22"/>
        </w:rPr>
        <w:t> </w:t>
      </w:r>
      <w:r>
        <w:rPr>
          <w:sz w:val="22"/>
        </w:rPr>
        <w:t>underlying</w:t>
      </w:r>
      <w:r>
        <w:rPr>
          <w:spacing w:val="-8"/>
          <w:sz w:val="22"/>
        </w:rPr>
        <w:t> </w:t>
      </w:r>
      <w:r>
        <w:rPr>
          <w:sz w:val="22"/>
        </w:rPr>
        <w:t>development</w:t>
      </w:r>
      <w:r>
        <w:rPr>
          <w:spacing w:val="-7"/>
          <w:sz w:val="22"/>
        </w:rPr>
        <w:t> </w:t>
      </w:r>
      <w:r>
        <w:rPr>
          <w:sz w:val="22"/>
        </w:rPr>
        <w:t>agreement</w:t>
      </w:r>
      <w:r>
        <w:rPr>
          <w:spacing w:val="-9"/>
          <w:sz w:val="22"/>
        </w:rPr>
        <w:t> </w:t>
      </w:r>
      <w:r>
        <w:rPr>
          <w:sz w:val="22"/>
        </w:rPr>
        <w:t>associated</w:t>
      </w:r>
      <w:r>
        <w:rPr>
          <w:spacing w:val="-8"/>
          <w:sz w:val="22"/>
        </w:rPr>
        <w:t> </w:t>
      </w:r>
      <w:r>
        <w:rPr>
          <w:sz w:val="22"/>
        </w:rPr>
        <w:t>with</w:t>
      </w:r>
      <w:r>
        <w:rPr>
          <w:spacing w:val="-11"/>
          <w:sz w:val="22"/>
        </w:rPr>
        <w:t> </w:t>
      </w:r>
      <w:r>
        <w:rPr>
          <w:sz w:val="22"/>
        </w:rPr>
        <w:t>the</w:t>
      </w:r>
      <w:r>
        <w:rPr>
          <w:spacing w:val="-8"/>
          <w:sz w:val="22"/>
        </w:rPr>
        <w:t> </w:t>
      </w:r>
      <w:r>
        <w:rPr>
          <w:sz w:val="22"/>
        </w:rPr>
        <w:t>property,</w:t>
      </w:r>
      <w:r>
        <w:rPr>
          <w:spacing w:val="-9"/>
          <w:sz w:val="22"/>
        </w:rPr>
        <w:t> </w:t>
      </w:r>
      <w:r>
        <w:rPr>
          <w:sz w:val="22"/>
        </w:rPr>
        <w:t>additional requirements may apply. Such determination is made by the City.</w:t>
      </w:r>
    </w:p>
    <w:p>
      <w:pPr>
        <w:pStyle w:val="BodyText"/>
        <w:spacing w:before="8"/>
      </w:pPr>
    </w:p>
    <w:p>
      <w:pPr>
        <w:pStyle w:val="Heading5"/>
      </w:pPr>
      <w:r>
        <w:rPr/>
        <w:t>Credit</w:t>
      </w:r>
      <w:r>
        <w:rPr>
          <w:spacing w:val="-9"/>
        </w:rPr>
        <w:t> </w:t>
      </w:r>
      <w:r>
        <w:rPr/>
        <w:t>and</w:t>
      </w:r>
      <w:r>
        <w:rPr>
          <w:spacing w:val="-13"/>
        </w:rPr>
        <w:t> </w:t>
      </w:r>
      <w:r>
        <w:rPr/>
        <w:t>Underwriting</w:t>
      </w:r>
      <w:r>
        <w:rPr>
          <w:spacing w:val="-10"/>
        </w:rPr>
        <w:t> </w:t>
      </w:r>
      <w:r>
        <w:rPr>
          <w:spacing w:val="-2"/>
        </w:rPr>
        <w:t>Standards</w:t>
      </w:r>
    </w:p>
    <w:p>
      <w:pPr>
        <w:pStyle w:val="BodyText"/>
        <w:spacing w:before="2"/>
        <w:ind w:left="221"/>
        <w:jc w:val="both"/>
      </w:pPr>
      <w:r>
        <w:rPr/>
        <w:t>Following</w:t>
      </w:r>
      <w:r>
        <w:rPr>
          <w:spacing w:val="-9"/>
        </w:rPr>
        <w:t> </w:t>
      </w:r>
      <w:r>
        <w:rPr/>
        <w:t>are</w:t>
      </w:r>
      <w:r>
        <w:rPr>
          <w:spacing w:val="-8"/>
        </w:rPr>
        <w:t> </w:t>
      </w:r>
      <w:r>
        <w:rPr/>
        <w:t>the</w:t>
      </w:r>
      <w:r>
        <w:rPr>
          <w:spacing w:val="-11"/>
        </w:rPr>
        <w:t> </w:t>
      </w:r>
      <w:r>
        <w:rPr/>
        <w:t>credit</w:t>
      </w:r>
      <w:r>
        <w:rPr>
          <w:spacing w:val="-10"/>
        </w:rPr>
        <w:t> </w:t>
      </w:r>
      <w:r>
        <w:rPr/>
        <w:t>and</w:t>
      </w:r>
      <w:r>
        <w:rPr>
          <w:spacing w:val="-7"/>
        </w:rPr>
        <w:t> </w:t>
      </w:r>
      <w:r>
        <w:rPr/>
        <w:t>underwriting</w:t>
      </w:r>
      <w:r>
        <w:rPr>
          <w:spacing w:val="-9"/>
        </w:rPr>
        <w:t> </w:t>
      </w:r>
      <w:r>
        <w:rPr/>
        <w:t>standards</w:t>
      </w:r>
      <w:r>
        <w:rPr>
          <w:spacing w:val="-6"/>
        </w:rPr>
        <w:t> </w:t>
      </w:r>
      <w:r>
        <w:rPr/>
        <w:t>for</w:t>
      </w:r>
      <w:r>
        <w:rPr>
          <w:spacing w:val="-6"/>
        </w:rPr>
        <w:t> </w:t>
      </w:r>
      <w:r>
        <w:rPr>
          <w:spacing w:val="-2"/>
        </w:rPr>
        <w:t>Applicant:</w:t>
      </w:r>
    </w:p>
    <w:p>
      <w:pPr>
        <w:pStyle w:val="ListParagraph"/>
        <w:numPr>
          <w:ilvl w:val="1"/>
          <w:numId w:val="11"/>
        </w:numPr>
        <w:tabs>
          <w:tab w:pos="841" w:val="left" w:leader="none"/>
        </w:tabs>
        <w:spacing w:line="240" w:lineRule="auto" w:before="80" w:after="0"/>
        <w:ind w:left="841" w:right="257" w:hanging="361"/>
        <w:jc w:val="both"/>
        <w:rPr>
          <w:sz w:val="22"/>
        </w:rPr>
      </w:pPr>
      <w:r>
        <w:rPr/>
        <w:pict>
          <v:shape style="position:absolute;margin-left:90.065002pt;margin-top:6.684908pt;width:395.3pt;height:419pt;mso-position-horizontal-relative:page;mso-position-vertical-relative:paragraph;z-index:-17725440" id="docshape43" coordorigin="1801,134" coordsize="7906,8380" path="m4498,7397l4492,7324,4477,7246,4455,7163,4432,7094,4403,7022,4367,6947,4325,6869,4276,6788,4237,6729,4200,6679,4200,7364,4197,7420,4186,7477,4167,7535,4138,7594,4097,7657,4044,7723,3979,7792,3674,8098,2216,6640,2517,6340,2598,6263,2672,6203,2740,6160,2801,6134,2868,6119,2941,6115,3020,6122,3105,6139,3195,6169,3255,6194,3317,6227,3380,6265,3446,6310,3514,6362,3584,6420,3656,6485,3729,6556,3789,6617,3845,6678,3896,6737,3943,6795,3986,6851,4025,6906,4059,6960,4101,7035,4136,7107,4163,7177,4183,7244,4196,7308,4200,7364,4200,6679,4194,6670,4148,6609,4098,6549,4045,6488,3989,6427,3929,6365,3865,6303,3801,6244,3737,6189,3673,6138,3643,6115,3609,6090,3546,6045,3482,6004,3419,5966,3346,5928,3274,5896,3203,5869,3132,5847,3062,5830,2992,5818,2923,5811,2850,5809,2779,5816,2709,5831,2642,5854,2577,5884,2528,5912,2476,5949,2420,5995,2359,6049,2294,6111,1801,6605,3710,8513,4124,8098,4226,7996,4287,7931,4341,7866,4386,7800,4424,7733,4454,7667,4476,7600,4491,7534,4498,7466,4498,7397xm6418,5804l6056,5677,5650,5534,5561,5505,5475,5481,5393,5462,5365,5456,5314,5447,5239,5437,5193,5436,5143,5438,5089,5446,5030,5456,5073,5387,5109,5317,5136,5248,5154,5179,5164,5111,5165,5042,5157,4975,5139,4897,5111,4820,5075,4746,5030,4673,4976,4602,4956,4580,4913,4534,4872,4496,4872,5053,4868,5109,4854,5163,4830,5220,4794,5278,4747,5339,4687,5403,4280,5810,3649,5179,4102,4726,4166,4669,4229,4626,4293,4596,4358,4581,4422,4580,4501,4595,4577,4625,4649,4669,4718,4729,4761,4777,4797,4827,4827,4881,4851,4938,4867,4996,4872,5053,4872,4496,4849,4474,4782,4422,4713,4376,4641,4338,4566,4306,4474,4277,4386,4265,4303,4267,4225,4283,4163,4307,4098,4344,4030,4392,3958,4452,3883,4523,3248,5157,5157,7066,5346,6876,4499,6029,4718,5810,4753,5776,4783,5748,4810,5727,4833,5713,4863,5699,4896,5688,4932,5681,4971,5677,5014,5677,5066,5682,5125,5692,5194,5709,5256,5726,5328,5747,5407,5772,5496,5801,6180,6042,6418,5804xm7780,4442l7415,4247,6555,3793,6555,4100,6070,4585,6030,4514,5989,4442,5748,4011,5708,3940,5668,3868,5629,3803,5590,3738,5550,3674,5509,3611,5467,3549,5424,3487,5380,3427,5436,3462,5498,3500,5564,3540,5635,3582,5792,3672,6555,4100,6555,3793,5862,3427,5286,3120,5082,3324,5277,3674,5316,3744,5701,4442,6207,5361,6441,5782,6642,5581,6565,5447,6298,4979,6221,4845,6481,4585,6820,4247,7173,4442,7565,4658,7780,4442xm8131,4092l7264,3225,7936,2553,7711,2328,7039,2999,6448,2408,7224,1632,6999,1407,6033,2373,7941,4281,8131,4092xm9707,2516l8024,832,8497,359,8272,134,7138,1268,7363,1493,7834,1022,9517,2705,9707,2516xe" filled="true" fillcolor="#c0c0c0" stroked="false">
            <v:path arrowok="t"/>
            <v:fill opacity="32896f" type="solid"/>
            <w10:wrap type="none"/>
          </v:shape>
        </w:pict>
      </w:r>
      <w:r>
        <w:rPr>
          <w:sz w:val="22"/>
        </w:rPr>
        <w:t>No Chapter 7 or Chapter 13 bankruptcy if primary or any mortgage is included as a secured creditor on the subject property for which the City will place a lien securing the </w:t>
      </w:r>
      <w:r>
        <w:rPr>
          <w:spacing w:val="-2"/>
          <w:sz w:val="22"/>
        </w:rPr>
        <w:t>loan.</w:t>
      </w:r>
    </w:p>
    <w:p>
      <w:pPr>
        <w:pStyle w:val="ListParagraph"/>
        <w:numPr>
          <w:ilvl w:val="1"/>
          <w:numId w:val="11"/>
        </w:numPr>
        <w:tabs>
          <w:tab w:pos="842" w:val="left" w:leader="none"/>
        </w:tabs>
        <w:spacing w:line="237" w:lineRule="auto" w:before="1" w:after="0"/>
        <w:ind w:left="840" w:right="254" w:hanging="360"/>
        <w:jc w:val="both"/>
        <w:rPr>
          <w:sz w:val="22"/>
        </w:rPr>
      </w:pPr>
      <w:r>
        <w:rPr>
          <w:sz w:val="22"/>
        </w:rPr>
        <w:t>Predatory</w:t>
      </w:r>
      <w:r>
        <w:rPr>
          <w:spacing w:val="-5"/>
          <w:sz w:val="22"/>
        </w:rPr>
        <w:t> </w:t>
      </w:r>
      <w:r>
        <w:rPr>
          <w:sz w:val="22"/>
        </w:rPr>
        <w:t>lending</w:t>
      </w:r>
      <w:r>
        <w:rPr>
          <w:spacing w:val="-5"/>
          <w:sz w:val="22"/>
        </w:rPr>
        <w:t> </w:t>
      </w:r>
      <w:r>
        <w:rPr>
          <w:sz w:val="22"/>
        </w:rPr>
        <w:t>describes</w:t>
      </w:r>
      <w:r>
        <w:rPr>
          <w:spacing w:val="-5"/>
          <w:sz w:val="22"/>
        </w:rPr>
        <w:t> </w:t>
      </w:r>
      <w:r>
        <w:rPr>
          <w:sz w:val="22"/>
        </w:rPr>
        <w:t>lending</w:t>
      </w:r>
      <w:r>
        <w:rPr>
          <w:spacing w:val="-5"/>
          <w:sz w:val="22"/>
        </w:rPr>
        <w:t> </w:t>
      </w:r>
      <w:r>
        <w:rPr>
          <w:sz w:val="22"/>
        </w:rPr>
        <w:t>practices</w:t>
      </w:r>
      <w:r>
        <w:rPr>
          <w:spacing w:val="-7"/>
          <w:sz w:val="22"/>
        </w:rPr>
        <w:t> </w:t>
      </w:r>
      <w:r>
        <w:rPr>
          <w:sz w:val="22"/>
        </w:rPr>
        <w:t>that</w:t>
      </w:r>
      <w:r>
        <w:rPr>
          <w:spacing w:val="-5"/>
          <w:sz w:val="22"/>
        </w:rPr>
        <w:t> </w:t>
      </w:r>
      <w:r>
        <w:rPr>
          <w:sz w:val="22"/>
        </w:rPr>
        <w:t>take</w:t>
      </w:r>
      <w:r>
        <w:rPr>
          <w:spacing w:val="-5"/>
          <w:sz w:val="22"/>
        </w:rPr>
        <w:t> </w:t>
      </w:r>
      <w:r>
        <w:rPr>
          <w:sz w:val="22"/>
        </w:rPr>
        <w:t>advantage</w:t>
      </w:r>
      <w:r>
        <w:rPr>
          <w:spacing w:val="-5"/>
          <w:sz w:val="22"/>
        </w:rPr>
        <w:t> </w:t>
      </w:r>
      <w:r>
        <w:rPr>
          <w:sz w:val="22"/>
        </w:rPr>
        <w:t>of</w:t>
      </w:r>
      <w:r>
        <w:rPr>
          <w:spacing w:val="-5"/>
          <w:sz w:val="22"/>
        </w:rPr>
        <w:t> </w:t>
      </w:r>
      <w:r>
        <w:rPr>
          <w:sz w:val="22"/>
        </w:rPr>
        <w:t>clients</w:t>
      </w:r>
      <w:r>
        <w:rPr>
          <w:spacing w:val="-5"/>
          <w:sz w:val="22"/>
        </w:rPr>
        <w:t> </w:t>
      </w:r>
      <w:r>
        <w:rPr>
          <w:sz w:val="22"/>
        </w:rPr>
        <w:t>by</w:t>
      </w:r>
      <w:r>
        <w:rPr>
          <w:spacing w:val="-5"/>
          <w:sz w:val="22"/>
        </w:rPr>
        <w:t> </w:t>
      </w:r>
      <w:r>
        <w:rPr>
          <w:sz w:val="22"/>
        </w:rPr>
        <w:t>charging usurious interest rates or excessive fees and penalties. Loans will not be made with an interest rate more than 2% above the prevailing market rate.</w:t>
      </w:r>
    </w:p>
    <w:p>
      <w:pPr>
        <w:pStyle w:val="ListParagraph"/>
        <w:numPr>
          <w:ilvl w:val="1"/>
          <w:numId w:val="11"/>
        </w:numPr>
        <w:tabs>
          <w:tab w:pos="841" w:val="left" w:leader="none"/>
        </w:tabs>
        <w:spacing w:line="240" w:lineRule="auto" w:before="3" w:after="0"/>
        <w:ind w:left="840" w:right="258" w:hanging="361"/>
        <w:jc w:val="both"/>
        <w:rPr>
          <w:sz w:val="22"/>
        </w:rPr>
      </w:pPr>
      <w:r>
        <w:rPr>
          <w:sz w:val="22"/>
        </w:rPr>
        <w:t>The</w:t>
      </w:r>
      <w:r>
        <w:rPr>
          <w:spacing w:val="-8"/>
          <w:sz w:val="22"/>
        </w:rPr>
        <w:t> </w:t>
      </w:r>
      <w:r>
        <w:rPr>
          <w:sz w:val="22"/>
        </w:rPr>
        <w:t>maximum</w:t>
      </w:r>
      <w:r>
        <w:rPr>
          <w:spacing w:val="-10"/>
          <w:sz w:val="22"/>
        </w:rPr>
        <w:t> </w:t>
      </w:r>
      <w:r>
        <w:rPr>
          <w:sz w:val="22"/>
        </w:rPr>
        <w:t>assistance</w:t>
      </w:r>
      <w:r>
        <w:rPr>
          <w:spacing w:val="-8"/>
          <w:sz w:val="22"/>
        </w:rPr>
        <w:t> </w:t>
      </w:r>
      <w:r>
        <w:rPr>
          <w:sz w:val="22"/>
        </w:rPr>
        <w:t>available</w:t>
      </w:r>
      <w:r>
        <w:rPr>
          <w:spacing w:val="-8"/>
          <w:sz w:val="22"/>
        </w:rPr>
        <w:t> </w:t>
      </w:r>
      <w:r>
        <w:rPr>
          <w:sz w:val="22"/>
        </w:rPr>
        <w:t>will</w:t>
      </w:r>
      <w:r>
        <w:rPr>
          <w:spacing w:val="-9"/>
          <w:sz w:val="22"/>
        </w:rPr>
        <w:t> </w:t>
      </w:r>
      <w:r>
        <w:rPr>
          <w:sz w:val="22"/>
        </w:rPr>
        <w:t>be</w:t>
      </w:r>
      <w:r>
        <w:rPr>
          <w:spacing w:val="-8"/>
          <w:sz w:val="22"/>
        </w:rPr>
        <w:t> </w:t>
      </w:r>
      <w:r>
        <w:rPr>
          <w:sz w:val="22"/>
        </w:rPr>
        <w:t>$50,000</w:t>
      </w:r>
      <w:r>
        <w:rPr>
          <w:spacing w:val="-8"/>
          <w:sz w:val="22"/>
        </w:rPr>
        <w:t> </w:t>
      </w:r>
      <w:r>
        <w:rPr>
          <w:sz w:val="22"/>
        </w:rPr>
        <w:t>per</w:t>
      </w:r>
      <w:r>
        <w:rPr>
          <w:spacing w:val="-10"/>
          <w:sz w:val="22"/>
        </w:rPr>
        <w:t> </w:t>
      </w:r>
      <w:r>
        <w:rPr>
          <w:sz w:val="22"/>
        </w:rPr>
        <w:t>household.</w:t>
      </w:r>
      <w:r>
        <w:rPr>
          <w:spacing w:val="-9"/>
          <w:sz w:val="22"/>
        </w:rPr>
        <w:t> </w:t>
      </w:r>
      <w:r>
        <w:rPr>
          <w:sz w:val="22"/>
        </w:rPr>
        <w:t>Not</w:t>
      </w:r>
      <w:r>
        <w:rPr>
          <w:spacing w:val="-7"/>
          <w:sz w:val="22"/>
        </w:rPr>
        <w:t> </w:t>
      </w:r>
      <w:r>
        <w:rPr>
          <w:sz w:val="22"/>
        </w:rPr>
        <w:t>all</w:t>
      </w:r>
      <w:r>
        <w:rPr>
          <w:spacing w:val="-11"/>
          <w:sz w:val="22"/>
        </w:rPr>
        <w:t> </w:t>
      </w:r>
      <w:r>
        <w:rPr>
          <w:sz w:val="22"/>
        </w:rPr>
        <w:t>Applicants</w:t>
      </w:r>
      <w:r>
        <w:rPr>
          <w:spacing w:val="-8"/>
          <w:sz w:val="22"/>
        </w:rPr>
        <w:t> </w:t>
      </w:r>
      <w:r>
        <w:rPr>
          <w:sz w:val="22"/>
        </w:rPr>
        <w:t>will qualify for the maximum assistance. The assistance available to any given Applicant is based</w:t>
      </w:r>
      <w:r>
        <w:rPr>
          <w:spacing w:val="-16"/>
          <w:sz w:val="22"/>
        </w:rPr>
        <w:t> </w:t>
      </w:r>
      <w:r>
        <w:rPr>
          <w:sz w:val="22"/>
        </w:rPr>
        <w:t>on</w:t>
      </w:r>
      <w:r>
        <w:rPr>
          <w:spacing w:val="-15"/>
          <w:sz w:val="22"/>
        </w:rPr>
        <w:t> </w:t>
      </w:r>
      <w:r>
        <w:rPr>
          <w:sz w:val="22"/>
        </w:rPr>
        <w:t>the</w:t>
      </w:r>
      <w:r>
        <w:rPr>
          <w:spacing w:val="-15"/>
          <w:sz w:val="22"/>
        </w:rPr>
        <w:t> </w:t>
      </w:r>
      <w:r>
        <w:rPr>
          <w:sz w:val="22"/>
        </w:rPr>
        <w:t>City’s</w:t>
      </w:r>
      <w:r>
        <w:rPr>
          <w:spacing w:val="-16"/>
          <w:sz w:val="22"/>
        </w:rPr>
        <w:t> </w:t>
      </w:r>
      <w:r>
        <w:rPr>
          <w:sz w:val="22"/>
        </w:rPr>
        <w:t>assessment</w:t>
      </w:r>
      <w:r>
        <w:rPr>
          <w:spacing w:val="-15"/>
          <w:sz w:val="22"/>
        </w:rPr>
        <w:t> </w:t>
      </w:r>
      <w:r>
        <w:rPr>
          <w:sz w:val="22"/>
        </w:rPr>
        <w:t>of</w:t>
      </w:r>
      <w:r>
        <w:rPr>
          <w:spacing w:val="-15"/>
          <w:sz w:val="22"/>
        </w:rPr>
        <w:t> </w:t>
      </w:r>
      <w:r>
        <w:rPr>
          <w:sz w:val="22"/>
        </w:rPr>
        <w:t>the</w:t>
      </w:r>
      <w:r>
        <w:rPr>
          <w:spacing w:val="-15"/>
          <w:sz w:val="22"/>
        </w:rPr>
        <w:t> </w:t>
      </w:r>
      <w:r>
        <w:rPr>
          <w:sz w:val="22"/>
        </w:rPr>
        <w:t>Applicant’s</w:t>
      </w:r>
      <w:r>
        <w:rPr>
          <w:spacing w:val="-16"/>
          <w:sz w:val="22"/>
        </w:rPr>
        <w:t> </w:t>
      </w:r>
      <w:r>
        <w:rPr>
          <w:sz w:val="22"/>
        </w:rPr>
        <w:t>need,</w:t>
      </w:r>
      <w:r>
        <w:rPr>
          <w:spacing w:val="-15"/>
          <w:sz w:val="22"/>
        </w:rPr>
        <w:t> </w:t>
      </w:r>
      <w:r>
        <w:rPr>
          <w:sz w:val="22"/>
        </w:rPr>
        <w:t>taking</w:t>
      </w:r>
      <w:r>
        <w:rPr>
          <w:spacing w:val="-15"/>
          <w:sz w:val="22"/>
        </w:rPr>
        <w:t> </w:t>
      </w:r>
      <w:r>
        <w:rPr>
          <w:sz w:val="22"/>
        </w:rPr>
        <w:t>into</w:t>
      </w:r>
      <w:r>
        <w:rPr>
          <w:spacing w:val="-16"/>
          <w:sz w:val="22"/>
        </w:rPr>
        <w:t> </w:t>
      </w:r>
      <w:r>
        <w:rPr>
          <w:sz w:val="22"/>
        </w:rPr>
        <w:t>account</w:t>
      </w:r>
      <w:r>
        <w:rPr>
          <w:spacing w:val="-15"/>
          <w:sz w:val="22"/>
        </w:rPr>
        <w:t> </w:t>
      </w:r>
      <w:r>
        <w:rPr>
          <w:sz w:val="22"/>
        </w:rPr>
        <w:t>the</w:t>
      </w:r>
      <w:r>
        <w:rPr>
          <w:spacing w:val="-15"/>
          <w:sz w:val="22"/>
        </w:rPr>
        <w:t> </w:t>
      </w:r>
      <w:r>
        <w:rPr>
          <w:sz w:val="22"/>
        </w:rPr>
        <w:t>additional criteria outlined below.</w:t>
      </w:r>
    </w:p>
    <w:p>
      <w:pPr>
        <w:pStyle w:val="ListParagraph"/>
        <w:numPr>
          <w:ilvl w:val="1"/>
          <w:numId w:val="11"/>
        </w:numPr>
        <w:tabs>
          <w:tab w:pos="841" w:val="left" w:leader="none"/>
        </w:tabs>
        <w:spacing w:line="238" w:lineRule="exact" w:before="0" w:after="0"/>
        <w:ind w:left="840" w:right="0" w:hanging="361"/>
        <w:jc w:val="both"/>
        <w:rPr>
          <w:sz w:val="22"/>
        </w:rPr>
      </w:pPr>
      <w:r>
        <w:rPr>
          <w:sz w:val="22"/>
        </w:rPr>
        <w:t>First</w:t>
      </w:r>
      <w:r>
        <w:rPr>
          <w:spacing w:val="-9"/>
          <w:sz w:val="22"/>
        </w:rPr>
        <w:t> </w:t>
      </w:r>
      <w:r>
        <w:rPr>
          <w:sz w:val="22"/>
        </w:rPr>
        <w:t>mortgage</w:t>
      </w:r>
      <w:r>
        <w:rPr>
          <w:spacing w:val="-7"/>
          <w:sz w:val="22"/>
        </w:rPr>
        <w:t> </w:t>
      </w:r>
      <w:r>
        <w:rPr>
          <w:sz w:val="22"/>
        </w:rPr>
        <w:t>amount</w:t>
      </w:r>
      <w:r>
        <w:rPr>
          <w:spacing w:val="-6"/>
          <w:sz w:val="22"/>
        </w:rPr>
        <w:t> </w:t>
      </w:r>
      <w:r>
        <w:rPr>
          <w:sz w:val="22"/>
        </w:rPr>
        <w:t>must</w:t>
      </w:r>
      <w:r>
        <w:rPr>
          <w:spacing w:val="-5"/>
          <w:sz w:val="22"/>
        </w:rPr>
        <w:t> </w:t>
      </w:r>
      <w:r>
        <w:rPr>
          <w:sz w:val="22"/>
        </w:rPr>
        <w:t>have</w:t>
      </w:r>
      <w:r>
        <w:rPr>
          <w:spacing w:val="-7"/>
          <w:sz w:val="22"/>
        </w:rPr>
        <w:t> </w:t>
      </w:r>
      <w:r>
        <w:rPr>
          <w:sz w:val="22"/>
        </w:rPr>
        <w:t>a</w:t>
      </w:r>
      <w:r>
        <w:rPr>
          <w:spacing w:val="-10"/>
          <w:sz w:val="22"/>
        </w:rPr>
        <w:t> </w:t>
      </w:r>
      <w:r>
        <w:rPr>
          <w:sz w:val="22"/>
        </w:rPr>
        <w:t>front-end</w:t>
      </w:r>
      <w:r>
        <w:rPr>
          <w:spacing w:val="-10"/>
          <w:sz w:val="22"/>
        </w:rPr>
        <w:t> </w:t>
      </w:r>
      <w:r>
        <w:rPr>
          <w:sz w:val="22"/>
        </w:rPr>
        <w:t>ratio</w:t>
      </w:r>
      <w:r>
        <w:rPr>
          <w:spacing w:val="-3"/>
          <w:sz w:val="22"/>
        </w:rPr>
        <w:t> </w:t>
      </w:r>
      <w:r>
        <w:rPr>
          <w:sz w:val="22"/>
        </w:rPr>
        <w:t>no</w:t>
      </w:r>
      <w:r>
        <w:rPr>
          <w:spacing w:val="-6"/>
          <w:sz w:val="22"/>
        </w:rPr>
        <w:t> </w:t>
      </w:r>
      <w:r>
        <w:rPr>
          <w:sz w:val="22"/>
        </w:rPr>
        <w:t>higher</w:t>
      </w:r>
      <w:r>
        <w:rPr>
          <w:spacing w:val="-6"/>
          <w:sz w:val="22"/>
        </w:rPr>
        <w:t> </w:t>
      </w:r>
      <w:r>
        <w:rPr>
          <w:sz w:val="22"/>
        </w:rPr>
        <w:t>than</w:t>
      </w:r>
      <w:r>
        <w:rPr>
          <w:spacing w:val="-5"/>
          <w:sz w:val="22"/>
        </w:rPr>
        <w:t> 35%</w:t>
      </w:r>
    </w:p>
    <w:p>
      <w:pPr>
        <w:pStyle w:val="ListParagraph"/>
        <w:numPr>
          <w:ilvl w:val="1"/>
          <w:numId w:val="11"/>
        </w:numPr>
        <w:tabs>
          <w:tab w:pos="841" w:val="left" w:leader="none"/>
        </w:tabs>
        <w:spacing w:line="261" w:lineRule="exact" w:before="0" w:after="0"/>
        <w:ind w:left="841" w:right="0" w:hanging="361"/>
        <w:jc w:val="both"/>
        <w:rPr>
          <w:sz w:val="22"/>
        </w:rPr>
      </w:pPr>
      <w:r>
        <w:rPr>
          <w:sz w:val="22"/>
        </w:rPr>
        <w:t>First</w:t>
      </w:r>
      <w:r>
        <w:rPr>
          <w:spacing w:val="-14"/>
          <w:sz w:val="22"/>
        </w:rPr>
        <w:t> </w:t>
      </w:r>
      <w:r>
        <w:rPr>
          <w:sz w:val="22"/>
        </w:rPr>
        <w:t>mortgage</w:t>
      </w:r>
      <w:r>
        <w:rPr>
          <w:spacing w:val="-7"/>
          <w:sz w:val="22"/>
        </w:rPr>
        <w:t> </w:t>
      </w:r>
      <w:r>
        <w:rPr>
          <w:sz w:val="22"/>
        </w:rPr>
        <w:t>amount</w:t>
      </w:r>
      <w:r>
        <w:rPr>
          <w:spacing w:val="-7"/>
          <w:sz w:val="22"/>
        </w:rPr>
        <w:t> </w:t>
      </w:r>
      <w:r>
        <w:rPr>
          <w:sz w:val="22"/>
        </w:rPr>
        <w:t>must</w:t>
      </w:r>
      <w:r>
        <w:rPr>
          <w:spacing w:val="-5"/>
          <w:sz w:val="22"/>
        </w:rPr>
        <w:t> </w:t>
      </w:r>
      <w:r>
        <w:rPr>
          <w:sz w:val="22"/>
        </w:rPr>
        <w:t>have</w:t>
      </w:r>
      <w:r>
        <w:rPr>
          <w:spacing w:val="-7"/>
          <w:sz w:val="22"/>
        </w:rPr>
        <w:t> </w:t>
      </w:r>
      <w:r>
        <w:rPr>
          <w:sz w:val="22"/>
        </w:rPr>
        <w:t>a</w:t>
      </w:r>
      <w:r>
        <w:rPr>
          <w:spacing w:val="-6"/>
          <w:sz w:val="22"/>
        </w:rPr>
        <w:t> </w:t>
      </w:r>
      <w:r>
        <w:rPr>
          <w:sz w:val="22"/>
        </w:rPr>
        <w:t>back-end</w:t>
      </w:r>
      <w:r>
        <w:rPr>
          <w:spacing w:val="-11"/>
          <w:sz w:val="22"/>
        </w:rPr>
        <w:t> </w:t>
      </w:r>
      <w:r>
        <w:rPr>
          <w:sz w:val="22"/>
        </w:rPr>
        <w:t>ratio</w:t>
      </w:r>
      <w:r>
        <w:rPr>
          <w:spacing w:val="-5"/>
          <w:sz w:val="22"/>
        </w:rPr>
        <w:t> </w:t>
      </w:r>
      <w:r>
        <w:rPr>
          <w:sz w:val="22"/>
        </w:rPr>
        <w:t>no</w:t>
      </w:r>
      <w:r>
        <w:rPr>
          <w:spacing w:val="-4"/>
          <w:sz w:val="22"/>
        </w:rPr>
        <w:t> </w:t>
      </w:r>
      <w:r>
        <w:rPr>
          <w:sz w:val="22"/>
        </w:rPr>
        <w:t>higher</w:t>
      </w:r>
      <w:r>
        <w:rPr>
          <w:spacing w:val="-9"/>
          <w:sz w:val="22"/>
        </w:rPr>
        <w:t> </w:t>
      </w:r>
      <w:r>
        <w:rPr>
          <w:sz w:val="22"/>
        </w:rPr>
        <w:t>than</w:t>
      </w:r>
      <w:r>
        <w:rPr>
          <w:spacing w:val="-5"/>
          <w:sz w:val="22"/>
        </w:rPr>
        <w:t> 45%</w:t>
      </w:r>
    </w:p>
    <w:p>
      <w:pPr>
        <w:pStyle w:val="BodyText"/>
        <w:spacing w:before="6"/>
      </w:pPr>
    </w:p>
    <w:p>
      <w:pPr>
        <w:pStyle w:val="Heading5"/>
        <w:spacing w:line="252" w:lineRule="exact"/>
        <w:ind w:left="121"/>
        <w:jc w:val="left"/>
      </w:pPr>
      <w:r>
        <w:rPr>
          <w:spacing w:val="-2"/>
        </w:rPr>
        <w:t>Heirs</w:t>
      </w:r>
    </w:p>
    <w:p>
      <w:pPr>
        <w:pStyle w:val="BodyText"/>
        <w:ind w:left="221" w:right="1349"/>
        <w:jc w:val="both"/>
      </w:pPr>
      <w:r>
        <w:rPr>
          <w:spacing w:val="-4"/>
        </w:rPr>
        <w:t>A</w:t>
      </w:r>
      <w:r>
        <w:rPr>
          <w:spacing w:val="-12"/>
        </w:rPr>
        <w:t> </w:t>
      </w:r>
      <w:r>
        <w:rPr>
          <w:spacing w:val="-4"/>
        </w:rPr>
        <w:t>loan</w:t>
      </w:r>
      <w:r>
        <w:rPr>
          <w:spacing w:val="-6"/>
        </w:rPr>
        <w:t> </w:t>
      </w:r>
      <w:r>
        <w:rPr>
          <w:spacing w:val="-4"/>
        </w:rPr>
        <w:t>may</w:t>
      </w:r>
      <w:r>
        <w:rPr>
          <w:spacing w:val="-5"/>
        </w:rPr>
        <w:t> </w:t>
      </w:r>
      <w:r>
        <w:rPr>
          <w:spacing w:val="-4"/>
        </w:rPr>
        <w:t>be</w:t>
      </w:r>
      <w:r>
        <w:rPr>
          <w:spacing w:val="-12"/>
        </w:rPr>
        <w:t> </w:t>
      </w:r>
      <w:r>
        <w:rPr>
          <w:spacing w:val="-4"/>
        </w:rPr>
        <w:t>transferred</w:t>
      </w:r>
      <w:r>
        <w:rPr>
          <w:spacing w:val="-9"/>
        </w:rPr>
        <w:t> </w:t>
      </w:r>
      <w:r>
        <w:rPr>
          <w:spacing w:val="-4"/>
        </w:rPr>
        <w:t>to</w:t>
      </w:r>
      <w:r>
        <w:rPr>
          <w:spacing w:val="-10"/>
        </w:rPr>
        <w:t> </w:t>
      </w:r>
      <w:r>
        <w:rPr>
          <w:spacing w:val="-4"/>
        </w:rPr>
        <w:t>the</w:t>
      </w:r>
      <w:r>
        <w:rPr>
          <w:spacing w:val="-7"/>
        </w:rPr>
        <w:t> </w:t>
      </w:r>
      <w:r>
        <w:rPr>
          <w:spacing w:val="-4"/>
        </w:rPr>
        <w:t>heir(s)</w:t>
      </w:r>
      <w:r>
        <w:rPr>
          <w:spacing w:val="-8"/>
        </w:rPr>
        <w:t> </w:t>
      </w:r>
      <w:r>
        <w:rPr>
          <w:spacing w:val="-4"/>
        </w:rPr>
        <w:t>of</w:t>
      </w:r>
      <w:r>
        <w:rPr>
          <w:spacing w:val="-11"/>
        </w:rPr>
        <w:t> </w:t>
      </w:r>
      <w:r>
        <w:rPr>
          <w:spacing w:val="-4"/>
        </w:rPr>
        <w:t>the</w:t>
      </w:r>
      <w:r>
        <w:rPr>
          <w:spacing w:val="-7"/>
        </w:rPr>
        <w:t> </w:t>
      </w:r>
      <w:r>
        <w:rPr>
          <w:spacing w:val="-4"/>
        </w:rPr>
        <w:t>borrower if</w:t>
      </w:r>
      <w:r>
        <w:rPr>
          <w:spacing w:val="-7"/>
        </w:rPr>
        <w:t> </w:t>
      </w:r>
      <w:r>
        <w:rPr>
          <w:spacing w:val="-4"/>
        </w:rPr>
        <w:t>the</w:t>
      </w:r>
      <w:r>
        <w:rPr>
          <w:spacing w:val="-10"/>
        </w:rPr>
        <w:t> </w:t>
      </w:r>
      <w:r>
        <w:rPr>
          <w:spacing w:val="-4"/>
        </w:rPr>
        <w:t>heir(s)</w:t>
      </w:r>
      <w:r>
        <w:rPr>
          <w:spacing w:val="-8"/>
        </w:rPr>
        <w:t> </w:t>
      </w:r>
      <w:r>
        <w:rPr>
          <w:spacing w:val="-4"/>
        </w:rPr>
        <w:t>utilize the</w:t>
      </w:r>
      <w:r>
        <w:rPr>
          <w:spacing w:val="-10"/>
        </w:rPr>
        <w:t> </w:t>
      </w:r>
      <w:r>
        <w:rPr>
          <w:spacing w:val="-4"/>
        </w:rPr>
        <w:t>assisted </w:t>
      </w:r>
      <w:r>
        <w:rPr/>
        <w:t>property as their primary residence for the remainder of the affordability period. If the heir(s)</w:t>
      </w:r>
      <w:r>
        <w:rPr>
          <w:spacing w:val="-1"/>
        </w:rPr>
        <w:t> </w:t>
      </w:r>
      <w:r>
        <w:rPr/>
        <w:t>do</w:t>
      </w:r>
      <w:r>
        <w:rPr>
          <w:spacing w:val="-2"/>
        </w:rPr>
        <w:t> </w:t>
      </w:r>
      <w:r>
        <w:rPr/>
        <w:t>not</w:t>
      </w:r>
      <w:r>
        <w:rPr>
          <w:spacing w:val="-1"/>
        </w:rPr>
        <w:t> </w:t>
      </w:r>
      <w:r>
        <w:rPr/>
        <w:t>utilize the</w:t>
      </w:r>
      <w:r>
        <w:rPr>
          <w:spacing w:val="-4"/>
        </w:rPr>
        <w:t> </w:t>
      </w:r>
      <w:r>
        <w:rPr/>
        <w:t>property</w:t>
      </w:r>
      <w:r>
        <w:rPr>
          <w:spacing w:val="-2"/>
        </w:rPr>
        <w:t> </w:t>
      </w:r>
      <w:r>
        <w:rPr/>
        <w:t>as</w:t>
      </w:r>
      <w:r>
        <w:rPr>
          <w:spacing w:val="-8"/>
        </w:rPr>
        <w:t> </w:t>
      </w:r>
      <w:r>
        <w:rPr/>
        <w:t>their primary</w:t>
      </w:r>
      <w:r>
        <w:rPr>
          <w:spacing w:val="-4"/>
        </w:rPr>
        <w:t> </w:t>
      </w:r>
      <w:r>
        <w:rPr/>
        <w:t>residence,</w:t>
      </w:r>
      <w:r>
        <w:rPr>
          <w:spacing w:val="-1"/>
        </w:rPr>
        <w:t> </w:t>
      </w:r>
      <w:r>
        <w:rPr/>
        <w:t>and</w:t>
      </w:r>
      <w:r>
        <w:rPr>
          <w:spacing w:val="-4"/>
        </w:rPr>
        <w:t> </w:t>
      </w:r>
      <w:r>
        <w:rPr/>
        <w:t>the loan</w:t>
      </w:r>
      <w:r>
        <w:rPr>
          <w:spacing w:val="-2"/>
        </w:rPr>
        <w:t> </w:t>
      </w:r>
      <w:r>
        <w:rPr/>
        <w:t>is</w:t>
      </w:r>
      <w:r>
        <w:rPr>
          <w:spacing w:val="-2"/>
        </w:rPr>
        <w:t> </w:t>
      </w:r>
      <w:r>
        <w:rPr/>
        <w:t>still within the period of affordability, then the prorated loan amount is due immediately and payable, in full, to the City.</w:t>
      </w:r>
    </w:p>
    <w:p>
      <w:pPr>
        <w:pStyle w:val="BodyText"/>
        <w:spacing w:before="9"/>
        <w:rPr>
          <w:sz w:val="21"/>
        </w:rPr>
      </w:pPr>
    </w:p>
    <w:p>
      <w:pPr>
        <w:pStyle w:val="Heading5"/>
        <w:spacing w:before="1"/>
        <w:jc w:val="left"/>
      </w:pPr>
      <w:r>
        <w:rPr>
          <w:spacing w:val="-2"/>
        </w:rPr>
        <w:t>Refinancing</w:t>
      </w:r>
    </w:p>
    <w:p>
      <w:pPr>
        <w:pStyle w:val="BodyText"/>
        <w:spacing w:before="1"/>
        <w:ind w:left="221" w:right="1355"/>
        <w:jc w:val="both"/>
      </w:pPr>
      <w:r>
        <w:rPr/>
        <w:t>Refinancing for better rate and term is permitted upon prior approval of the City. Refinancing</w:t>
      </w:r>
      <w:r>
        <w:rPr>
          <w:spacing w:val="-6"/>
        </w:rPr>
        <w:t> </w:t>
      </w:r>
      <w:r>
        <w:rPr/>
        <w:t>of</w:t>
      </w:r>
      <w:r>
        <w:rPr>
          <w:spacing w:val="-7"/>
        </w:rPr>
        <w:t> </w:t>
      </w:r>
      <w:r>
        <w:rPr/>
        <w:t>revolving</w:t>
      </w:r>
      <w:r>
        <w:rPr>
          <w:spacing w:val="-6"/>
        </w:rPr>
        <w:t> </w:t>
      </w:r>
      <w:r>
        <w:rPr/>
        <w:t>loan</w:t>
      </w:r>
      <w:r>
        <w:rPr>
          <w:spacing w:val="-6"/>
        </w:rPr>
        <w:t> </w:t>
      </w:r>
      <w:r>
        <w:rPr/>
        <w:t>accounts,</w:t>
      </w:r>
      <w:r>
        <w:rPr>
          <w:spacing w:val="-7"/>
        </w:rPr>
        <w:t> </w:t>
      </w:r>
      <w:r>
        <w:rPr/>
        <w:t>vehicles,</w:t>
      </w:r>
      <w:r>
        <w:rPr>
          <w:spacing w:val="-7"/>
        </w:rPr>
        <w:t> </w:t>
      </w:r>
      <w:r>
        <w:rPr/>
        <w:t>credit</w:t>
      </w:r>
      <w:r>
        <w:rPr>
          <w:spacing w:val="-7"/>
        </w:rPr>
        <w:t> </w:t>
      </w:r>
      <w:r>
        <w:rPr/>
        <w:t>card</w:t>
      </w:r>
      <w:r>
        <w:rPr>
          <w:spacing w:val="-8"/>
        </w:rPr>
        <w:t> </w:t>
      </w:r>
      <w:r>
        <w:rPr/>
        <w:t>debt,</w:t>
      </w:r>
      <w:r>
        <w:rPr>
          <w:spacing w:val="-7"/>
        </w:rPr>
        <w:t> </w:t>
      </w:r>
      <w:r>
        <w:rPr/>
        <w:t>or</w:t>
      </w:r>
      <w:r>
        <w:rPr>
          <w:spacing w:val="-7"/>
        </w:rPr>
        <w:t> </w:t>
      </w:r>
      <w:r>
        <w:rPr/>
        <w:t>property</w:t>
      </w:r>
      <w:r>
        <w:rPr>
          <w:spacing w:val="-8"/>
        </w:rPr>
        <w:t> </w:t>
      </w:r>
      <w:r>
        <w:rPr/>
        <w:t>taxes are NOT allowable refinancing expenses. Cash out are also NOT allowed.</w:t>
      </w:r>
    </w:p>
    <w:p>
      <w:pPr>
        <w:spacing w:after="0"/>
        <w:jc w:val="both"/>
        <w:sectPr>
          <w:pgSz w:w="12240" w:h="15840"/>
          <w:pgMar w:header="0" w:footer="1738" w:top="1360" w:bottom="1920" w:left="1320" w:right="1280"/>
        </w:sectPr>
      </w:pPr>
    </w:p>
    <w:p>
      <w:pPr>
        <w:pStyle w:val="Heading3"/>
        <w:jc w:val="both"/>
      </w:pPr>
      <w:bookmarkStart w:name="Title Clearing and Clouded Title Prevent" w:id="30"/>
      <w:bookmarkEnd w:id="30"/>
      <w:r>
        <w:rPr/>
      </w:r>
      <w:bookmarkStart w:name="_bookmark7" w:id="31"/>
      <w:bookmarkEnd w:id="31"/>
      <w:r>
        <w:rPr/>
      </w:r>
      <w:r>
        <w:rPr>
          <w:color w:val="001F5F"/>
        </w:rPr>
        <w:t>Title</w:t>
      </w:r>
      <w:r>
        <w:rPr>
          <w:color w:val="001F5F"/>
          <w:spacing w:val="-10"/>
        </w:rPr>
        <w:t> </w:t>
      </w:r>
      <w:r>
        <w:rPr>
          <w:color w:val="001F5F"/>
        </w:rPr>
        <w:t>Clearing</w:t>
      </w:r>
      <w:r>
        <w:rPr>
          <w:color w:val="001F5F"/>
          <w:spacing w:val="-10"/>
        </w:rPr>
        <w:t> </w:t>
      </w:r>
      <w:r>
        <w:rPr>
          <w:color w:val="001F5F"/>
        </w:rPr>
        <w:t>and</w:t>
      </w:r>
      <w:r>
        <w:rPr>
          <w:color w:val="001F5F"/>
          <w:spacing w:val="-10"/>
        </w:rPr>
        <w:t> </w:t>
      </w:r>
      <w:r>
        <w:rPr>
          <w:color w:val="001F5F"/>
        </w:rPr>
        <w:t>Clouded</w:t>
      </w:r>
      <w:r>
        <w:rPr>
          <w:color w:val="001F5F"/>
          <w:spacing w:val="-9"/>
        </w:rPr>
        <w:t> </w:t>
      </w:r>
      <w:r>
        <w:rPr>
          <w:color w:val="001F5F"/>
        </w:rPr>
        <w:t>Title</w:t>
      </w:r>
      <w:r>
        <w:rPr>
          <w:color w:val="001F5F"/>
          <w:spacing w:val="-10"/>
        </w:rPr>
        <w:t> </w:t>
      </w:r>
      <w:r>
        <w:rPr>
          <w:color w:val="001F5F"/>
        </w:rPr>
        <w:t>Prevention</w:t>
      </w:r>
      <w:r>
        <w:rPr>
          <w:color w:val="001F5F"/>
          <w:spacing w:val="-10"/>
        </w:rPr>
        <w:t> </w:t>
      </w:r>
      <w:r>
        <w:rPr>
          <w:color w:val="001F5F"/>
        </w:rPr>
        <w:t>Program</w:t>
      </w:r>
      <w:r>
        <w:rPr>
          <w:color w:val="001F5F"/>
          <w:spacing w:val="-6"/>
        </w:rPr>
        <w:t> </w:t>
      </w:r>
      <w:r>
        <w:rPr>
          <w:color w:val="FF0000"/>
        </w:rPr>
        <w:t>Pillars</w:t>
      </w:r>
      <w:r>
        <w:rPr>
          <w:color w:val="FF0000"/>
          <w:spacing w:val="-8"/>
        </w:rPr>
        <w:t> </w:t>
      </w:r>
      <w:r>
        <w:rPr>
          <w:color w:val="FF0000"/>
        </w:rPr>
        <w:t>1,</w:t>
      </w:r>
      <w:r>
        <w:rPr>
          <w:color w:val="FF0000"/>
          <w:spacing w:val="-10"/>
        </w:rPr>
        <w:t> </w:t>
      </w:r>
      <w:r>
        <w:rPr>
          <w:color w:val="FF0000"/>
        </w:rPr>
        <w:t>3,</w:t>
      </w:r>
      <w:r>
        <w:rPr>
          <w:color w:val="FF0000"/>
          <w:spacing w:val="-9"/>
        </w:rPr>
        <w:t> </w:t>
      </w:r>
      <w:r>
        <w:rPr>
          <w:color w:val="FF0000"/>
          <w:spacing w:val="-10"/>
        </w:rPr>
        <w:t>6</w:t>
      </w:r>
    </w:p>
    <w:p>
      <w:pPr>
        <w:pStyle w:val="BodyText"/>
        <w:spacing w:before="28"/>
        <w:ind w:left="120"/>
        <w:jc w:val="both"/>
      </w:pPr>
      <w:r>
        <w:rPr/>
        <w:t>Added</w:t>
      </w:r>
      <w:r>
        <w:rPr>
          <w:spacing w:val="-5"/>
        </w:rPr>
        <w:t> </w:t>
      </w:r>
      <w:r>
        <w:rPr/>
        <w:t>September</w:t>
      </w:r>
      <w:r>
        <w:rPr>
          <w:spacing w:val="-6"/>
        </w:rPr>
        <w:t> </w:t>
      </w:r>
      <w:r>
        <w:rPr/>
        <w:t>25,</w:t>
      </w:r>
      <w:r>
        <w:rPr>
          <w:spacing w:val="-6"/>
        </w:rPr>
        <w:t> </w:t>
      </w:r>
      <w:r>
        <w:rPr/>
        <w:t>2019</w:t>
      </w:r>
      <w:r>
        <w:rPr>
          <w:spacing w:val="-5"/>
        </w:rPr>
        <w:t> </w:t>
      </w:r>
      <w:r>
        <w:rPr/>
        <w:t>by</w:t>
      </w:r>
      <w:r>
        <w:rPr>
          <w:spacing w:val="-4"/>
        </w:rPr>
        <w:t> </w:t>
      </w:r>
      <w:r>
        <w:rPr/>
        <w:t>Resolution</w:t>
      </w:r>
      <w:r>
        <w:rPr>
          <w:spacing w:val="-7"/>
        </w:rPr>
        <w:t> </w:t>
      </w:r>
      <w:r>
        <w:rPr/>
        <w:t>No.</w:t>
      </w:r>
      <w:r>
        <w:rPr>
          <w:spacing w:val="-6"/>
        </w:rPr>
        <w:t> </w:t>
      </w:r>
      <w:r>
        <w:rPr/>
        <w:t>19-</w:t>
      </w:r>
      <w:r>
        <w:rPr>
          <w:spacing w:val="-4"/>
        </w:rPr>
        <w:t>1498</w:t>
      </w:r>
    </w:p>
    <w:p>
      <w:pPr>
        <w:pStyle w:val="BodyText"/>
      </w:pPr>
    </w:p>
    <w:p>
      <w:pPr>
        <w:pStyle w:val="BodyText"/>
        <w:ind w:left="119" w:right="157"/>
        <w:jc w:val="both"/>
      </w:pPr>
      <w:r>
        <w:rPr/>
        <w:pict>
          <v:shape style="position:absolute;margin-left:90.065002pt;margin-top:52.094151pt;width:395.3pt;height:419pt;mso-position-horizontal-relative:page;mso-position-vertical-relative:paragraph;z-index:-17724928" id="docshape44" coordorigin="1801,1042" coordsize="7906,8380" path="m4498,8306l4492,8232,4477,8154,4455,8071,4432,8002,4403,7930,4367,7855,4325,7777,4276,7696,4237,7637,4200,7587,4200,8272,4197,8329,4186,8385,4167,8443,4138,8503,4097,8565,4044,8631,3979,8701,3674,9006,2216,7549,2517,7248,2598,7172,2672,7112,2740,7068,2801,7042,2868,7027,2941,7023,3020,7030,3105,7048,3195,7077,3255,7103,3317,7135,3380,7173,3446,7218,3514,7270,3584,7328,3656,7393,3729,7464,3789,7526,3845,7586,3896,7645,3943,7703,3986,7759,4025,7815,4059,7869,4101,7943,4136,8015,4163,8085,4183,8152,4196,8216,4200,8272,4200,7587,4194,7578,4148,7518,4098,7457,4045,7396,3989,7335,3929,7273,3865,7211,3801,7152,3737,7097,3673,7046,3643,7023,3609,6998,3546,6953,3482,6912,3419,6874,3346,6837,3274,6804,3203,6777,3132,6755,3062,6738,2992,6726,2923,6719,2850,6717,2779,6724,2709,6739,2642,6762,2577,6792,2528,6820,2476,6857,2420,6903,2359,6957,2294,7020,1801,7513,3710,9421,4124,9006,4226,8904,4287,8839,4341,8774,4386,8708,4424,8641,4454,8575,4476,8509,4491,8442,4498,8374,4498,8306xm6418,6712l6056,6585,5650,6442,5561,6413,5475,6389,5393,6370,5365,6365,5314,6355,5239,6345,5193,6344,5143,6347,5089,6354,5030,6365,5073,6295,5109,6225,5136,6156,5154,6087,5164,6019,5165,5951,5157,5883,5139,5805,5111,5729,5075,5654,5030,5581,4976,5511,4956,5488,4913,5442,4872,5404,4872,5961,4868,6017,4854,6072,4830,6128,4794,6186,4747,6247,4687,6311,4280,6718,3649,6087,4102,5634,4166,5577,4229,5534,4293,5504,4358,5489,4422,5488,4501,5503,4577,5533,4649,5578,4718,5637,4761,5685,4797,5736,4827,5789,4851,5846,4867,5904,4872,5961,4872,5404,4849,5382,4782,5330,4713,5285,4641,5246,4566,5214,4474,5186,4386,5173,4303,5175,4225,5191,4163,5216,4098,5252,4030,5300,3958,5360,3883,5431,3248,6066,5157,7974,5346,7784,4499,6937,4718,6718,4753,6684,4783,6656,4810,6635,4833,6621,4863,6607,4896,6597,4932,6589,4971,6585,5014,6585,5066,6590,5125,6600,5194,6617,5256,6634,5328,6655,5407,6680,5496,6709,6180,6951,6418,6712xm7780,5350l7415,5155,6555,4701,6555,5008,6070,5493,6030,5422,5989,5350,5748,4919,5708,4848,5668,4776,5629,4711,5590,4646,5550,4582,5509,4519,5467,4457,5424,4395,5380,4335,5436,4370,5498,4408,5564,4448,5635,4490,5792,4581,6555,5008,6555,4701,5862,4335,5286,4028,5082,4232,5277,4582,5316,4653,5701,5350,6207,6269,6441,6690,6642,6489,6565,6355,6298,5887,6221,5754,6481,5493,6820,5155,7173,5350,7565,5566,7780,5350xm8131,5000l7264,4133,7936,3461,7711,3236,7039,3908,6448,3317,7224,2540,6999,2315,6033,3281,7941,5189,8131,5000xm9707,3424l8024,1741,8497,1267,8272,1042,7138,2176,7363,2402,7834,1930,9517,3613,9707,3424xe" filled="true" fillcolor="#c0c0c0" stroked="false">
            <v:path arrowok="t"/>
            <v:fill opacity="32896f" type="solid"/>
            <w10:wrap type="none"/>
          </v:shape>
        </w:pict>
      </w:r>
      <w:r>
        <w:rPr/>
        <w:t>The Title Clearing and Clouded Title Prevention Program (Program) is a legal and professional services program administered by a third-party entity or entities that is designed to focus on effectively</w:t>
      </w:r>
      <w:r>
        <w:rPr>
          <w:spacing w:val="-11"/>
        </w:rPr>
        <w:t> </w:t>
      </w:r>
      <w:r>
        <w:rPr/>
        <w:t>and</w:t>
      </w:r>
      <w:r>
        <w:rPr>
          <w:spacing w:val="-11"/>
        </w:rPr>
        <w:t> </w:t>
      </w:r>
      <w:r>
        <w:rPr/>
        <w:t>efficiently</w:t>
      </w:r>
      <w:r>
        <w:rPr>
          <w:spacing w:val="-13"/>
        </w:rPr>
        <w:t> </w:t>
      </w:r>
      <w:r>
        <w:rPr/>
        <w:t>utilizing</w:t>
      </w:r>
      <w:r>
        <w:rPr>
          <w:spacing w:val="-11"/>
        </w:rPr>
        <w:t> </w:t>
      </w:r>
      <w:r>
        <w:rPr/>
        <w:t>a</w:t>
      </w:r>
      <w:r>
        <w:rPr>
          <w:spacing w:val="-11"/>
        </w:rPr>
        <w:t> </w:t>
      </w:r>
      <w:r>
        <w:rPr/>
        <w:t>universal</w:t>
      </w:r>
      <w:r>
        <w:rPr>
          <w:spacing w:val="-12"/>
        </w:rPr>
        <w:t> </w:t>
      </w:r>
      <w:r>
        <w:rPr/>
        <w:t>representation</w:t>
      </w:r>
      <w:r>
        <w:rPr>
          <w:spacing w:val="-11"/>
        </w:rPr>
        <w:t> </w:t>
      </w:r>
      <w:r>
        <w:rPr/>
        <w:t>model</w:t>
      </w:r>
      <w:r>
        <w:rPr>
          <w:spacing w:val="-12"/>
        </w:rPr>
        <w:t> </w:t>
      </w:r>
      <w:r>
        <w:rPr/>
        <w:t>to</w:t>
      </w:r>
      <w:r>
        <w:rPr>
          <w:spacing w:val="-14"/>
        </w:rPr>
        <w:t> </w:t>
      </w:r>
      <w:r>
        <w:rPr/>
        <w:t>assist</w:t>
      </w:r>
      <w:r>
        <w:rPr>
          <w:spacing w:val="-15"/>
        </w:rPr>
        <w:t> </w:t>
      </w:r>
      <w:r>
        <w:rPr/>
        <w:t>qualified</w:t>
      </w:r>
      <w:r>
        <w:rPr>
          <w:spacing w:val="-11"/>
        </w:rPr>
        <w:t> </w:t>
      </w:r>
      <w:r>
        <w:rPr/>
        <w:t>clients</w:t>
      </w:r>
      <w:r>
        <w:rPr>
          <w:spacing w:val="-11"/>
        </w:rPr>
        <w:t> </w:t>
      </w:r>
      <w:r>
        <w:rPr/>
        <w:t>of</w:t>
      </w:r>
      <w:r>
        <w:rPr>
          <w:spacing w:val="-12"/>
        </w:rPr>
        <w:t> </w:t>
      </w:r>
      <w:r>
        <w:rPr/>
        <w:t>the third-party entity (hereinafter referred to as “clients”) to clarify the legal ownership of their real property so that homeowners can apply for funding for home repair and other needs and can prevent future heirship issues; and clients with vacant land can sell or build on their land. A secondary focus is to provide associated services, including legal rights information sessions, prevention services, and program evaluation and measurement.</w:t>
      </w:r>
    </w:p>
    <w:p>
      <w:pPr>
        <w:pStyle w:val="BodyText"/>
      </w:pPr>
    </w:p>
    <w:p>
      <w:pPr>
        <w:pStyle w:val="BodyText"/>
        <w:ind w:left="120" w:right="157"/>
        <w:jc w:val="both"/>
      </w:pPr>
      <w:r>
        <w:rPr/>
        <w:t>While clarifying ownership (technically, creating a “marketable title”) in preparation for eventual sale</w:t>
      </w:r>
      <w:r>
        <w:rPr>
          <w:spacing w:val="-9"/>
        </w:rPr>
        <w:t> </w:t>
      </w:r>
      <w:r>
        <w:rPr/>
        <w:t>of</w:t>
      </w:r>
      <w:r>
        <w:rPr>
          <w:spacing w:val="-7"/>
        </w:rPr>
        <w:t> </w:t>
      </w:r>
      <w:r>
        <w:rPr/>
        <w:t>a</w:t>
      </w:r>
      <w:r>
        <w:rPr>
          <w:spacing w:val="-9"/>
        </w:rPr>
        <w:t> </w:t>
      </w:r>
      <w:r>
        <w:rPr/>
        <w:t>home</w:t>
      </w:r>
      <w:r>
        <w:rPr>
          <w:spacing w:val="-9"/>
        </w:rPr>
        <w:t> </w:t>
      </w:r>
      <w:r>
        <w:rPr/>
        <w:t>is</w:t>
      </w:r>
      <w:r>
        <w:rPr>
          <w:spacing w:val="-8"/>
        </w:rPr>
        <w:t> </w:t>
      </w:r>
      <w:r>
        <w:rPr/>
        <w:t>a</w:t>
      </w:r>
      <w:r>
        <w:rPr>
          <w:spacing w:val="-9"/>
        </w:rPr>
        <w:t> </w:t>
      </w:r>
      <w:r>
        <w:rPr/>
        <w:t>potential</w:t>
      </w:r>
      <w:r>
        <w:rPr>
          <w:spacing w:val="-9"/>
        </w:rPr>
        <w:t> </w:t>
      </w:r>
      <w:r>
        <w:rPr/>
        <w:t>outcome,</w:t>
      </w:r>
      <w:r>
        <w:rPr>
          <w:spacing w:val="-10"/>
        </w:rPr>
        <w:t> </w:t>
      </w:r>
      <w:r>
        <w:rPr/>
        <w:t>the</w:t>
      </w:r>
      <w:r>
        <w:rPr>
          <w:spacing w:val="-11"/>
        </w:rPr>
        <w:t> </w:t>
      </w:r>
      <w:r>
        <w:rPr/>
        <w:t>focus</w:t>
      </w:r>
      <w:r>
        <w:rPr>
          <w:spacing w:val="-8"/>
        </w:rPr>
        <w:t> </w:t>
      </w:r>
      <w:r>
        <w:rPr/>
        <w:t>of</w:t>
      </w:r>
      <w:r>
        <w:rPr>
          <w:spacing w:val="-10"/>
        </w:rPr>
        <w:t> </w:t>
      </w:r>
      <w:r>
        <w:rPr/>
        <w:t>the</w:t>
      </w:r>
      <w:r>
        <w:rPr>
          <w:spacing w:val="-9"/>
        </w:rPr>
        <w:t> </w:t>
      </w:r>
      <w:r>
        <w:rPr/>
        <w:t>Program</w:t>
      </w:r>
      <w:r>
        <w:rPr>
          <w:spacing w:val="-8"/>
        </w:rPr>
        <w:t> </w:t>
      </w:r>
      <w:r>
        <w:rPr/>
        <w:t>is</w:t>
      </w:r>
      <w:r>
        <w:rPr>
          <w:spacing w:val="-8"/>
        </w:rPr>
        <w:t> </w:t>
      </w:r>
      <w:r>
        <w:rPr/>
        <w:t>on</w:t>
      </w:r>
      <w:r>
        <w:rPr>
          <w:spacing w:val="-9"/>
        </w:rPr>
        <w:t> </w:t>
      </w:r>
      <w:r>
        <w:rPr/>
        <w:t>providing</w:t>
      </w:r>
      <w:r>
        <w:rPr>
          <w:spacing w:val="-9"/>
        </w:rPr>
        <w:t> </w:t>
      </w:r>
      <w:r>
        <w:rPr/>
        <w:t>legal</w:t>
      </w:r>
      <w:r>
        <w:rPr>
          <w:spacing w:val="-9"/>
        </w:rPr>
        <w:t> </w:t>
      </w:r>
      <w:r>
        <w:rPr/>
        <w:t>services</w:t>
      </w:r>
      <w:r>
        <w:rPr>
          <w:spacing w:val="-8"/>
        </w:rPr>
        <w:t> </w:t>
      </w:r>
      <w:r>
        <w:rPr/>
        <w:t>that enhance neighborhood</w:t>
      </w:r>
      <w:r>
        <w:rPr>
          <w:spacing w:val="-3"/>
        </w:rPr>
        <w:t> </w:t>
      </w:r>
      <w:r>
        <w:rPr/>
        <w:t>stability and enable</w:t>
      </w:r>
      <w:r>
        <w:rPr>
          <w:spacing w:val="-3"/>
        </w:rPr>
        <w:t> </w:t>
      </w:r>
      <w:r>
        <w:rPr/>
        <w:t>homeowners</w:t>
      </w:r>
      <w:r>
        <w:rPr>
          <w:spacing w:val="-2"/>
        </w:rPr>
        <w:t> </w:t>
      </w:r>
      <w:r>
        <w:rPr/>
        <w:t>to become</w:t>
      </w:r>
      <w:r>
        <w:rPr>
          <w:spacing w:val="-3"/>
        </w:rPr>
        <w:t> </w:t>
      </w:r>
      <w:r>
        <w:rPr/>
        <w:t>eligible for</w:t>
      </w:r>
      <w:r>
        <w:rPr>
          <w:spacing w:val="-1"/>
        </w:rPr>
        <w:t> </w:t>
      </w:r>
      <w:r>
        <w:rPr/>
        <w:t>funding to</w:t>
      </w:r>
      <w:r>
        <w:rPr>
          <w:spacing w:val="-3"/>
        </w:rPr>
        <w:t> </w:t>
      </w:r>
      <w:r>
        <w:rPr/>
        <w:t>invest in their homes. For this reason, eligible legal services include legal rights information sessions and mitigation.</w:t>
      </w:r>
    </w:p>
    <w:p>
      <w:pPr>
        <w:pStyle w:val="BodyText"/>
        <w:spacing w:before="10"/>
        <w:rPr>
          <w:sz w:val="21"/>
        </w:rPr>
      </w:pPr>
    </w:p>
    <w:p>
      <w:pPr>
        <w:pStyle w:val="BodyText"/>
        <w:ind w:left="120" w:right="155"/>
        <w:jc w:val="both"/>
      </w:pPr>
      <w:r>
        <w:rPr/>
        <w:t>Additionally, on May 22, 2019, by City Council Resolution No. 19-0804, the City passed a resolution to promote equity and committed to make every effort possible to commit more resources</w:t>
      </w:r>
      <w:r>
        <w:rPr>
          <w:spacing w:val="-6"/>
        </w:rPr>
        <w:t> </w:t>
      </w:r>
      <w:r>
        <w:rPr/>
        <w:t>to</w:t>
      </w:r>
      <w:r>
        <w:rPr>
          <w:spacing w:val="-4"/>
        </w:rPr>
        <w:t> </w:t>
      </w:r>
      <w:r>
        <w:rPr/>
        <w:t>areas</w:t>
      </w:r>
      <w:r>
        <w:rPr>
          <w:spacing w:val="-4"/>
        </w:rPr>
        <w:t> </w:t>
      </w:r>
      <w:r>
        <w:rPr/>
        <w:t>and</w:t>
      </w:r>
      <w:r>
        <w:rPr>
          <w:spacing w:val="-6"/>
        </w:rPr>
        <w:t> </w:t>
      </w:r>
      <w:r>
        <w:rPr/>
        <w:t>populations</w:t>
      </w:r>
      <w:r>
        <w:rPr>
          <w:spacing w:val="-4"/>
        </w:rPr>
        <w:t> </w:t>
      </w:r>
      <w:r>
        <w:rPr/>
        <w:t>where</w:t>
      </w:r>
      <w:r>
        <w:rPr>
          <w:spacing w:val="-4"/>
        </w:rPr>
        <w:t> </w:t>
      </w:r>
      <w:r>
        <w:rPr/>
        <w:t>data</w:t>
      </w:r>
      <w:r>
        <w:rPr>
          <w:spacing w:val="-7"/>
        </w:rPr>
        <w:t> </w:t>
      </w:r>
      <w:r>
        <w:rPr/>
        <w:t>demonstrates</w:t>
      </w:r>
      <w:r>
        <w:rPr>
          <w:spacing w:val="-4"/>
        </w:rPr>
        <w:t> </w:t>
      </w:r>
      <w:r>
        <w:rPr/>
        <w:t>the</w:t>
      </w:r>
      <w:r>
        <w:rPr>
          <w:spacing w:val="-4"/>
        </w:rPr>
        <w:t> </w:t>
      </w:r>
      <w:r>
        <w:rPr/>
        <w:t>needs</w:t>
      </w:r>
      <w:r>
        <w:rPr>
          <w:spacing w:val="-4"/>
        </w:rPr>
        <w:t> </w:t>
      </w:r>
      <w:r>
        <w:rPr/>
        <w:t>are</w:t>
      </w:r>
      <w:r>
        <w:rPr>
          <w:spacing w:val="-4"/>
        </w:rPr>
        <w:t> </w:t>
      </w:r>
      <w:r>
        <w:rPr/>
        <w:t>greatest.</w:t>
      </w:r>
      <w:r>
        <w:rPr>
          <w:spacing w:val="-5"/>
        </w:rPr>
        <w:t> </w:t>
      </w:r>
      <w:r>
        <w:rPr/>
        <w:t>In</w:t>
      </w:r>
      <w:r>
        <w:rPr>
          <w:spacing w:val="-7"/>
        </w:rPr>
        <w:t> </w:t>
      </w:r>
      <w:r>
        <w:rPr/>
        <w:t>keeping with this resolution, the Program focuses on specific geographical areas of the City where the Program</w:t>
      </w:r>
      <w:r>
        <w:rPr>
          <w:spacing w:val="-13"/>
        </w:rPr>
        <w:t> </w:t>
      </w:r>
      <w:r>
        <w:rPr/>
        <w:t>is</w:t>
      </w:r>
      <w:r>
        <w:rPr>
          <w:spacing w:val="-12"/>
        </w:rPr>
        <w:t> </w:t>
      </w:r>
      <w:r>
        <w:rPr/>
        <w:t>likely</w:t>
      </w:r>
      <w:r>
        <w:rPr>
          <w:spacing w:val="-12"/>
        </w:rPr>
        <w:t> </w:t>
      </w:r>
      <w:r>
        <w:rPr/>
        <w:t>to</w:t>
      </w:r>
      <w:r>
        <w:rPr>
          <w:spacing w:val="-12"/>
        </w:rPr>
        <w:t> </w:t>
      </w:r>
      <w:r>
        <w:rPr/>
        <w:t>jumpstart</w:t>
      </w:r>
      <w:r>
        <w:rPr>
          <w:spacing w:val="-11"/>
        </w:rPr>
        <w:t> </w:t>
      </w:r>
      <w:r>
        <w:rPr/>
        <w:t>or</w:t>
      </w:r>
      <w:r>
        <w:rPr>
          <w:spacing w:val="-11"/>
        </w:rPr>
        <w:t> </w:t>
      </w:r>
      <w:r>
        <w:rPr/>
        <w:t>support</w:t>
      </w:r>
      <w:r>
        <w:rPr>
          <w:spacing w:val="-11"/>
        </w:rPr>
        <w:t> </w:t>
      </w:r>
      <w:r>
        <w:rPr/>
        <w:t>neighborhood</w:t>
      </w:r>
      <w:r>
        <w:rPr>
          <w:spacing w:val="-12"/>
        </w:rPr>
        <w:t> </w:t>
      </w:r>
      <w:r>
        <w:rPr/>
        <w:t>stabilization,</w:t>
      </w:r>
      <w:r>
        <w:rPr>
          <w:spacing w:val="-11"/>
        </w:rPr>
        <w:t> </w:t>
      </w:r>
      <w:r>
        <w:rPr/>
        <w:t>including</w:t>
      </w:r>
      <w:r>
        <w:rPr>
          <w:spacing w:val="-12"/>
        </w:rPr>
        <w:t> </w:t>
      </w:r>
      <w:r>
        <w:rPr/>
        <w:t>neighborhoods</w:t>
      </w:r>
      <w:r>
        <w:rPr>
          <w:spacing w:val="-12"/>
        </w:rPr>
        <w:t> </w:t>
      </w:r>
      <w:r>
        <w:rPr/>
        <w:t>with high amounts of vacancy, code violations, and historic properties.</w:t>
      </w:r>
    </w:p>
    <w:p>
      <w:pPr>
        <w:pStyle w:val="BodyText"/>
      </w:pPr>
    </w:p>
    <w:p>
      <w:pPr>
        <w:pStyle w:val="BodyText"/>
        <w:ind w:left="120" w:right="155"/>
        <w:jc w:val="both"/>
      </w:pPr>
      <w:r>
        <w:rPr/>
        <w:t>The Program addresses</w:t>
      </w:r>
      <w:r>
        <w:rPr>
          <w:spacing w:val="-2"/>
        </w:rPr>
        <w:t> </w:t>
      </w:r>
      <w:r>
        <w:rPr/>
        <w:t>the three broad goals of</w:t>
      </w:r>
      <w:r>
        <w:rPr>
          <w:spacing w:val="-4"/>
        </w:rPr>
        <w:t> </w:t>
      </w:r>
      <w:r>
        <w:rPr/>
        <w:t>the comprehensive housing policy: to</w:t>
      </w:r>
      <w:r>
        <w:rPr>
          <w:spacing w:val="-3"/>
        </w:rPr>
        <w:t> </w:t>
      </w:r>
      <w:r>
        <w:rPr/>
        <w:t>maintain affordable housing, to provide greater fair housing choices, and to overcome patterns of segregation and concentrations of poverty.</w:t>
      </w:r>
    </w:p>
    <w:p>
      <w:pPr>
        <w:pStyle w:val="BodyText"/>
        <w:spacing w:before="5"/>
        <w:rPr>
          <w:sz w:val="26"/>
        </w:rPr>
      </w:pPr>
    </w:p>
    <w:p>
      <w:pPr>
        <w:pStyle w:val="Heading5"/>
        <w:ind w:left="119"/>
        <w:jc w:val="left"/>
      </w:pPr>
      <w:r>
        <w:rPr>
          <w:spacing w:val="-2"/>
        </w:rPr>
        <w:t>Administration</w:t>
      </w:r>
    </w:p>
    <w:p>
      <w:pPr>
        <w:pStyle w:val="BodyText"/>
        <w:spacing w:before="50"/>
        <w:ind w:left="119" w:right="155"/>
      </w:pPr>
      <w:r>
        <w:rPr/>
        <w:t>The</w:t>
      </w:r>
      <w:r>
        <w:rPr>
          <w:spacing w:val="-2"/>
        </w:rPr>
        <w:t> </w:t>
      </w:r>
      <w:r>
        <w:rPr/>
        <w:t>Program</w:t>
      </w:r>
      <w:r>
        <w:rPr>
          <w:spacing w:val="-4"/>
        </w:rPr>
        <w:t> </w:t>
      </w:r>
      <w:r>
        <w:rPr/>
        <w:t>is</w:t>
      </w:r>
      <w:r>
        <w:rPr>
          <w:spacing w:val="-5"/>
        </w:rPr>
        <w:t> </w:t>
      </w:r>
      <w:r>
        <w:rPr/>
        <w:t>administered</w:t>
      </w:r>
      <w:r>
        <w:rPr>
          <w:spacing w:val="-3"/>
        </w:rPr>
        <w:t> </w:t>
      </w:r>
      <w:r>
        <w:rPr/>
        <w:t>by</w:t>
      </w:r>
      <w:r>
        <w:rPr>
          <w:spacing w:val="-7"/>
        </w:rPr>
        <w:t> </w:t>
      </w:r>
      <w:r>
        <w:rPr/>
        <w:t>the</w:t>
      </w:r>
      <w:r>
        <w:rPr>
          <w:spacing w:val="-5"/>
        </w:rPr>
        <w:t> </w:t>
      </w:r>
      <w:r>
        <w:rPr/>
        <w:t>Department</w:t>
      </w:r>
      <w:r>
        <w:rPr>
          <w:spacing w:val="-4"/>
        </w:rPr>
        <w:t> </w:t>
      </w:r>
      <w:r>
        <w:rPr/>
        <w:t>of</w:t>
      </w:r>
      <w:r>
        <w:rPr>
          <w:spacing w:val="-1"/>
        </w:rPr>
        <w:t> </w:t>
      </w:r>
      <w:r>
        <w:rPr/>
        <w:t>Housing</w:t>
      </w:r>
      <w:r>
        <w:rPr>
          <w:spacing w:val="-5"/>
        </w:rPr>
        <w:t> </w:t>
      </w:r>
      <w:r>
        <w:rPr/>
        <w:t>and</w:t>
      </w:r>
      <w:r>
        <w:rPr>
          <w:spacing w:val="-5"/>
        </w:rPr>
        <w:t> </w:t>
      </w:r>
      <w:r>
        <w:rPr/>
        <w:t>Neighborhood</w:t>
      </w:r>
      <w:r>
        <w:rPr>
          <w:spacing w:val="-3"/>
        </w:rPr>
        <w:t> </w:t>
      </w:r>
      <w:r>
        <w:rPr/>
        <w:t>Revitalization,</w:t>
      </w:r>
      <w:r>
        <w:rPr>
          <w:spacing w:val="-3"/>
        </w:rPr>
        <w:t> </w:t>
      </w:r>
      <w:r>
        <w:rPr/>
        <w:t>or a successor department.</w:t>
      </w:r>
    </w:p>
    <w:p>
      <w:pPr>
        <w:pStyle w:val="BodyText"/>
        <w:spacing w:before="2"/>
      </w:pPr>
    </w:p>
    <w:p>
      <w:pPr>
        <w:pStyle w:val="Heading5"/>
        <w:ind w:left="119"/>
      </w:pPr>
      <w:r>
        <w:rPr/>
        <w:t>Award</w:t>
      </w:r>
      <w:r>
        <w:rPr>
          <w:spacing w:val="-2"/>
        </w:rPr>
        <w:t> </w:t>
      </w:r>
      <w:r>
        <w:rPr/>
        <w:t>of </w:t>
      </w:r>
      <w:r>
        <w:rPr>
          <w:spacing w:val="-2"/>
        </w:rPr>
        <w:t>Funding</w:t>
      </w:r>
    </w:p>
    <w:p>
      <w:pPr>
        <w:pStyle w:val="BodyText"/>
        <w:spacing w:before="49"/>
        <w:ind w:left="119" w:right="157"/>
        <w:jc w:val="both"/>
      </w:pPr>
      <w:r>
        <w:rPr/>
        <w:t>A</w:t>
      </w:r>
      <w:r>
        <w:rPr>
          <w:spacing w:val="-16"/>
        </w:rPr>
        <w:t> </w:t>
      </w:r>
      <w:r>
        <w:rPr/>
        <w:t>request</w:t>
      </w:r>
      <w:r>
        <w:rPr>
          <w:spacing w:val="-15"/>
        </w:rPr>
        <w:t> </w:t>
      </w:r>
      <w:r>
        <w:rPr/>
        <w:t>for</w:t>
      </w:r>
      <w:r>
        <w:rPr>
          <w:spacing w:val="-15"/>
        </w:rPr>
        <w:t> </w:t>
      </w:r>
      <w:r>
        <w:rPr/>
        <w:t>proposals,</w:t>
      </w:r>
      <w:r>
        <w:rPr>
          <w:spacing w:val="-16"/>
        </w:rPr>
        <w:t> </w:t>
      </w:r>
      <w:r>
        <w:rPr/>
        <w:t>or</w:t>
      </w:r>
      <w:r>
        <w:rPr>
          <w:spacing w:val="-15"/>
        </w:rPr>
        <w:t> </w:t>
      </w:r>
      <w:r>
        <w:rPr/>
        <w:t>a</w:t>
      </w:r>
      <w:r>
        <w:rPr>
          <w:spacing w:val="-15"/>
        </w:rPr>
        <w:t> </w:t>
      </w:r>
      <w:r>
        <w:rPr/>
        <w:t>similar</w:t>
      </w:r>
      <w:r>
        <w:rPr>
          <w:spacing w:val="-15"/>
        </w:rPr>
        <w:t> </w:t>
      </w:r>
      <w:r>
        <w:rPr/>
        <w:t>competitive</w:t>
      </w:r>
      <w:r>
        <w:rPr>
          <w:spacing w:val="-15"/>
        </w:rPr>
        <w:t> </w:t>
      </w:r>
      <w:r>
        <w:rPr/>
        <w:t>application</w:t>
      </w:r>
      <w:r>
        <w:rPr>
          <w:spacing w:val="-15"/>
        </w:rPr>
        <w:t> </w:t>
      </w:r>
      <w:r>
        <w:rPr/>
        <w:t>process,</w:t>
      </w:r>
      <w:r>
        <w:rPr>
          <w:spacing w:val="-15"/>
        </w:rPr>
        <w:t> </w:t>
      </w:r>
      <w:r>
        <w:rPr/>
        <w:t>will</w:t>
      </w:r>
      <w:r>
        <w:rPr>
          <w:spacing w:val="-15"/>
        </w:rPr>
        <w:t> </w:t>
      </w:r>
      <w:r>
        <w:rPr/>
        <w:t>be</w:t>
      </w:r>
      <w:r>
        <w:rPr>
          <w:spacing w:val="-15"/>
        </w:rPr>
        <w:t> </w:t>
      </w:r>
      <w:r>
        <w:rPr/>
        <w:t>used</w:t>
      </w:r>
      <w:r>
        <w:rPr>
          <w:spacing w:val="-15"/>
        </w:rPr>
        <w:t> </w:t>
      </w:r>
      <w:r>
        <w:rPr/>
        <w:t>to</w:t>
      </w:r>
      <w:r>
        <w:rPr>
          <w:spacing w:val="-15"/>
        </w:rPr>
        <w:t> </w:t>
      </w:r>
      <w:r>
        <w:rPr/>
        <w:t>award</w:t>
      </w:r>
      <w:r>
        <w:rPr>
          <w:spacing w:val="-16"/>
        </w:rPr>
        <w:t> </w:t>
      </w:r>
      <w:r>
        <w:rPr/>
        <w:t>funding under the Program when such funding is available, and any such award will be subject to City Council approval.</w:t>
      </w:r>
    </w:p>
    <w:p>
      <w:pPr>
        <w:pStyle w:val="BodyText"/>
        <w:spacing w:before="1"/>
      </w:pPr>
    </w:p>
    <w:p>
      <w:pPr>
        <w:pStyle w:val="Heading5"/>
        <w:ind w:left="119"/>
      </w:pPr>
      <w:r>
        <w:rPr/>
        <w:t>Eligible</w:t>
      </w:r>
      <w:r>
        <w:rPr>
          <w:spacing w:val="-6"/>
        </w:rPr>
        <w:t> </w:t>
      </w:r>
      <w:r>
        <w:rPr/>
        <w:t>Clients</w:t>
      </w:r>
      <w:r>
        <w:rPr>
          <w:spacing w:val="-3"/>
        </w:rPr>
        <w:t> </w:t>
      </w:r>
      <w:r>
        <w:rPr/>
        <w:t>and</w:t>
      </w:r>
      <w:r>
        <w:rPr>
          <w:spacing w:val="-6"/>
        </w:rPr>
        <w:t> </w:t>
      </w:r>
      <w:r>
        <w:rPr/>
        <w:t>Prioritization</w:t>
      </w:r>
      <w:r>
        <w:rPr>
          <w:spacing w:val="-5"/>
        </w:rPr>
        <w:t> </w:t>
      </w:r>
      <w:r>
        <w:rPr/>
        <w:t>of</w:t>
      </w:r>
      <w:r>
        <w:rPr>
          <w:spacing w:val="-4"/>
        </w:rPr>
        <w:t> </w:t>
      </w:r>
      <w:r>
        <w:rPr>
          <w:spacing w:val="-2"/>
        </w:rPr>
        <w:t>Clients</w:t>
      </w:r>
    </w:p>
    <w:p>
      <w:pPr>
        <w:pStyle w:val="BodyText"/>
        <w:spacing w:before="49"/>
        <w:ind w:left="120" w:right="157"/>
        <w:jc w:val="both"/>
      </w:pPr>
      <w:r>
        <w:rPr/>
        <w:t>Eligible</w:t>
      </w:r>
      <w:r>
        <w:rPr>
          <w:spacing w:val="-7"/>
        </w:rPr>
        <w:t> </w:t>
      </w:r>
      <w:r>
        <w:rPr/>
        <w:t>clients</w:t>
      </w:r>
      <w:r>
        <w:rPr>
          <w:spacing w:val="-7"/>
        </w:rPr>
        <w:t> </w:t>
      </w:r>
      <w:r>
        <w:rPr/>
        <w:t>are</w:t>
      </w:r>
      <w:r>
        <w:rPr>
          <w:spacing w:val="-10"/>
        </w:rPr>
        <w:t> </w:t>
      </w:r>
      <w:r>
        <w:rPr/>
        <w:t>families</w:t>
      </w:r>
      <w:r>
        <w:rPr>
          <w:spacing w:val="-7"/>
        </w:rPr>
        <w:t> </w:t>
      </w:r>
      <w:r>
        <w:rPr/>
        <w:t>and</w:t>
      </w:r>
      <w:r>
        <w:rPr>
          <w:spacing w:val="-10"/>
        </w:rPr>
        <w:t> </w:t>
      </w:r>
      <w:r>
        <w:rPr/>
        <w:t>individuals</w:t>
      </w:r>
      <w:r>
        <w:rPr>
          <w:spacing w:val="-7"/>
        </w:rPr>
        <w:t> </w:t>
      </w:r>
      <w:r>
        <w:rPr/>
        <w:t>with</w:t>
      </w:r>
      <w:r>
        <w:rPr>
          <w:spacing w:val="-10"/>
        </w:rPr>
        <w:t> </w:t>
      </w:r>
      <w:r>
        <w:rPr/>
        <w:t>an</w:t>
      </w:r>
      <w:r>
        <w:rPr>
          <w:spacing w:val="-12"/>
        </w:rPr>
        <w:t> </w:t>
      </w:r>
      <w:r>
        <w:rPr/>
        <w:t>assumed</w:t>
      </w:r>
      <w:r>
        <w:rPr>
          <w:spacing w:val="-10"/>
        </w:rPr>
        <w:t> </w:t>
      </w:r>
      <w:r>
        <w:rPr/>
        <w:t>or</w:t>
      </w:r>
      <w:r>
        <w:rPr>
          <w:spacing w:val="-9"/>
        </w:rPr>
        <w:t> </w:t>
      </w:r>
      <w:r>
        <w:rPr/>
        <w:t>possible</w:t>
      </w:r>
      <w:r>
        <w:rPr>
          <w:spacing w:val="-7"/>
        </w:rPr>
        <w:t> </w:t>
      </w:r>
      <w:r>
        <w:rPr/>
        <w:t>ownership</w:t>
      </w:r>
      <w:r>
        <w:rPr>
          <w:spacing w:val="-7"/>
        </w:rPr>
        <w:t> </w:t>
      </w:r>
      <w:r>
        <w:rPr/>
        <w:t>interest</w:t>
      </w:r>
      <w:r>
        <w:rPr>
          <w:spacing w:val="-8"/>
        </w:rPr>
        <w:t> </w:t>
      </w:r>
      <w:r>
        <w:rPr/>
        <w:t>in</w:t>
      </w:r>
      <w:r>
        <w:rPr>
          <w:spacing w:val="-10"/>
        </w:rPr>
        <w:t> </w:t>
      </w:r>
      <w:r>
        <w:rPr/>
        <w:t>real estate in eligible geographic areas and who have a household income that is less than or equal to 120% of</w:t>
      </w:r>
      <w:r>
        <w:rPr>
          <w:spacing w:val="-1"/>
        </w:rPr>
        <w:t> </w:t>
      </w:r>
      <w:r>
        <w:rPr/>
        <w:t>the Dallas Area Median Family Income, as published by HUD</w:t>
      </w:r>
      <w:r>
        <w:rPr>
          <w:spacing w:val="-1"/>
        </w:rPr>
        <w:t> </w:t>
      </w:r>
      <w:r>
        <w:rPr/>
        <w:t>annually, and who are unrepresented by counsel related to title to real property.</w:t>
      </w:r>
    </w:p>
    <w:p>
      <w:pPr>
        <w:pStyle w:val="BodyText"/>
      </w:pPr>
    </w:p>
    <w:p>
      <w:pPr>
        <w:pStyle w:val="BodyText"/>
        <w:ind w:left="120"/>
      </w:pPr>
      <w:r>
        <w:rPr/>
        <w:t>Within</w:t>
      </w:r>
      <w:r>
        <w:rPr>
          <w:spacing w:val="38"/>
        </w:rPr>
        <w:t> </w:t>
      </w:r>
      <w:r>
        <w:rPr/>
        <w:t>the</w:t>
      </w:r>
      <w:r>
        <w:rPr>
          <w:spacing w:val="40"/>
        </w:rPr>
        <w:t> </w:t>
      </w:r>
      <w:r>
        <w:rPr/>
        <w:t>eligible</w:t>
      </w:r>
      <w:r>
        <w:rPr>
          <w:spacing w:val="40"/>
        </w:rPr>
        <w:t> </w:t>
      </w:r>
      <w:r>
        <w:rPr/>
        <w:t>geographic</w:t>
      </w:r>
      <w:r>
        <w:rPr>
          <w:spacing w:val="40"/>
        </w:rPr>
        <w:t> </w:t>
      </w:r>
      <w:r>
        <w:rPr/>
        <w:t>areas</w:t>
      </w:r>
      <w:r>
        <w:rPr>
          <w:spacing w:val="40"/>
        </w:rPr>
        <w:t> </w:t>
      </w:r>
      <w:r>
        <w:rPr/>
        <w:t>as</w:t>
      </w:r>
      <w:r>
        <w:rPr>
          <w:spacing w:val="38"/>
        </w:rPr>
        <w:t> </w:t>
      </w:r>
      <w:r>
        <w:rPr/>
        <w:t>further</w:t>
      </w:r>
      <w:r>
        <w:rPr>
          <w:spacing w:val="37"/>
        </w:rPr>
        <w:t> </w:t>
      </w:r>
      <w:r>
        <w:rPr/>
        <w:t>described</w:t>
      </w:r>
      <w:r>
        <w:rPr>
          <w:spacing w:val="40"/>
        </w:rPr>
        <w:t> </w:t>
      </w:r>
      <w:r>
        <w:rPr/>
        <w:t>below,</w:t>
      </w:r>
      <w:r>
        <w:rPr>
          <w:spacing w:val="39"/>
        </w:rPr>
        <w:t> </w:t>
      </w:r>
      <w:r>
        <w:rPr/>
        <w:t>preference</w:t>
      </w:r>
      <w:r>
        <w:rPr>
          <w:spacing w:val="40"/>
        </w:rPr>
        <w:t> </w:t>
      </w:r>
      <w:r>
        <w:rPr/>
        <w:t>will</w:t>
      </w:r>
      <w:r>
        <w:rPr>
          <w:spacing w:val="40"/>
        </w:rPr>
        <w:t> </w:t>
      </w:r>
      <w:r>
        <w:rPr/>
        <w:t>be</w:t>
      </w:r>
      <w:r>
        <w:rPr>
          <w:spacing w:val="40"/>
        </w:rPr>
        <w:t> </w:t>
      </w:r>
      <w:r>
        <w:rPr/>
        <w:t>given</w:t>
      </w:r>
      <w:r>
        <w:rPr>
          <w:spacing w:val="38"/>
        </w:rPr>
        <w:t> </w:t>
      </w:r>
      <w:r>
        <w:rPr/>
        <w:t>to potential clients who have an assumed ownership interest in:</w:t>
      </w:r>
    </w:p>
    <w:p>
      <w:pPr>
        <w:pStyle w:val="ListParagraph"/>
        <w:numPr>
          <w:ilvl w:val="1"/>
          <w:numId w:val="11"/>
        </w:numPr>
        <w:tabs>
          <w:tab w:pos="839" w:val="left" w:leader="none"/>
          <w:tab w:pos="841" w:val="left" w:leader="none"/>
        </w:tabs>
        <w:spacing w:line="240" w:lineRule="auto" w:before="2" w:after="0"/>
        <w:ind w:left="840" w:right="0" w:hanging="362"/>
        <w:jc w:val="left"/>
        <w:rPr>
          <w:sz w:val="22"/>
        </w:rPr>
      </w:pPr>
      <w:r>
        <w:rPr>
          <w:sz w:val="22"/>
        </w:rPr>
        <w:t>a</w:t>
      </w:r>
      <w:r>
        <w:rPr>
          <w:spacing w:val="-3"/>
          <w:sz w:val="22"/>
        </w:rPr>
        <w:t> </w:t>
      </w:r>
      <w:r>
        <w:rPr>
          <w:sz w:val="22"/>
        </w:rPr>
        <w:t>home</w:t>
      </w:r>
      <w:r>
        <w:rPr>
          <w:spacing w:val="-5"/>
          <w:sz w:val="22"/>
        </w:rPr>
        <w:t> </w:t>
      </w:r>
      <w:r>
        <w:rPr>
          <w:sz w:val="22"/>
        </w:rPr>
        <w:t>in</w:t>
      </w:r>
      <w:r>
        <w:rPr>
          <w:spacing w:val="-5"/>
          <w:sz w:val="22"/>
        </w:rPr>
        <w:t> </w:t>
      </w:r>
      <w:r>
        <w:rPr>
          <w:sz w:val="22"/>
        </w:rPr>
        <w:t>MVA</w:t>
      </w:r>
      <w:r>
        <w:rPr>
          <w:spacing w:val="-3"/>
          <w:sz w:val="22"/>
        </w:rPr>
        <w:t> </w:t>
      </w:r>
      <w:r>
        <w:rPr>
          <w:sz w:val="22"/>
        </w:rPr>
        <w:t>categories</w:t>
      </w:r>
      <w:r>
        <w:rPr>
          <w:spacing w:val="-2"/>
          <w:sz w:val="22"/>
        </w:rPr>
        <w:t> </w:t>
      </w:r>
      <w:r>
        <w:rPr>
          <w:sz w:val="22"/>
        </w:rPr>
        <w:t>G,</w:t>
      </w:r>
      <w:r>
        <w:rPr>
          <w:spacing w:val="-1"/>
          <w:sz w:val="22"/>
        </w:rPr>
        <w:t> </w:t>
      </w:r>
      <w:r>
        <w:rPr>
          <w:sz w:val="22"/>
        </w:rPr>
        <w:t>H,</w:t>
      </w:r>
      <w:r>
        <w:rPr>
          <w:spacing w:val="-1"/>
          <w:sz w:val="22"/>
        </w:rPr>
        <w:t> </w:t>
      </w:r>
      <w:r>
        <w:rPr>
          <w:sz w:val="22"/>
        </w:rPr>
        <w:t>and</w:t>
      </w:r>
      <w:r>
        <w:rPr>
          <w:spacing w:val="-4"/>
          <w:sz w:val="22"/>
        </w:rPr>
        <w:t> </w:t>
      </w:r>
      <w:r>
        <w:rPr>
          <w:spacing w:val="-10"/>
          <w:sz w:val="22"/>
        </w:rPr>
        <w:t>I</w:t>
      </w:r>
    </w:p>
    <w:p>
      <w:pPr>
        <w:spacing w:after="0" w:line="240" w:lineRule="auto"/>
        <w:jc w:val="left"/>
        <w:rPr>
          <w:sz w:val="22"/>
        </w:rPr>
        <w:sectPr>
          <w:pgSz w:w="12240" w:h="15840"/>
          <w:pgMar w:header="0" w:footer="1738" w:top="1380" w:bottom="1920" w:left="1320" w:right="1280"/>
        </w:sectPr>
      </w:pPr>
    </w:p>
    <w:p>
      <w:pPr>
        <w:pStyle w:val="ListParagraph"/>
        <w:numPr>
          <w:ilvl w:val="1"/>
          <w:numId w:val="11"/>
        </w:numPr>
        <w:tabs>
          <w:tab w:pos="840" w:val="left" w:leader="none"/>
          <w:tab w:pos="841" w:val="left" w:leader="none"/>
        </w:tabs>
        <w:spacing w:line="268" w:lineRule="exact" w:before="82" w:after="0"/>
        <w:ind w:left="840" w:right="0" w:hanging="361"/>
        <w:jc w:val="left"/>
        <w:rPr>
          <w:sz w:val="22"/>
        </w:rPr>
      </w:pPr>
      <w:r>
        <w:rPr>
          <w:sz w:val="22"/>
        </w:rPr>
        <w:t>real</w:t>
      </w:r>
      <w:r>
        <w:rPr>
          <w:spacing w:val="-6"/>
          <w:sz w:val="22"/>
        </w:rPr>
        <w:t> </w:t>
      </w:r>
      <w:r>
        <w:rPr>
          <w:sz w:val="22"/>
        </w:rPr>
        <w:t>estate</w:t>
      </w:r>
      <w:r>
        <w:rPr>
          <w:spacing w:val="-5"/>
          <w:sz w:val="22"/>
        </w:rPr>
        <w:t> </w:t>
      </w:r>
      <w:r>
        <w:rPr>
          <w:sz w:val="22"/>
        </w:rPr>
        <w:t>in</w:t>
      </w:r>
      <w:r>
        <w:rPr>
          <w:spacing w:val="-6"/>
          <w:sz w:val="22"/>
        </w:rPr>
        <w:t> </w:t>
      </w:r>
      <w:r>
        <w:rPr>
          <w:sz w:val="22"/>
        </w:rPr>
        <w:t>City</w:t>
      </w:r>
      <w:r>
        <w:rPr>
          <w:spacing w:val="-5"/>
          <w:sz w:val="22"/>
        </w:rPr>
        <w:t> </w:t>
      </w:r>
      <w:r>
        <w:rPr>
          <w:sz w:val="22"/>
        </w:rPr>
        <w:t>of</w:t>
      </w:r>
      <w:r>
        <w:rPr>
          <w:spacing w:val="-3"/>
          <w:sz w:val="22"/>
        </w:rPr>
        <w:t> </w:t>
      </w:r>
      <w:r>
        <w:rPr>
          <w:sz w:val="22"/>
        </w:rPr>
        <w:t>Dallas-designated</w:t>
      </w:r>
      <w:r>
        <w:rPr>
          <w:spacing w:val="-7"/>
          <w:sz w:val="22"/>
        </w:rPr>
        <w:t> </w:t>
      </w:r>
      <w:r>
        <w:rPr>
          <w:sz w:val="22"/>
        </w:rPr>
        <w:t>historic</w:t>
      </w:r>
      <w:r>
        <w:rPr>
          <w:spacing w:val="-6"/>
          <w:sz w:val="22"/>
        </w:rPr>
        <w:t> </w:t>
      </w:r>
      <w:r>
        <w:rPr>
          <w:spacing w:val="-2"/>
          <w:sz w:val="22"/>
        </w:rPr>
        <w:t>districts</w:t>
      </w:r>
    </w:p>
    <w:p>
      <w:pPr>
        <w:pStyle w:val="ListParagraph"/>
        <w:numPr>
          <w:ilvl w:val="1"/>
          <w:numId w:val="11"/>
        </w:numPr>
        <w:tabs>
          <w:tab w:pos="840" w:val="left" w:leader="none"/>
          <w:tab w:pos="841" w:val="left" w:leader="none"/>
        </w:tabs>
        <w:spacing w:line="268" w:lineRule="exact" w:before="0" w:after="0"/>
        <w:ind w:left="840" w:right="0" w:hanging="361"/>
        <w:jc w:val="left"/>
        <w:rPr>
          <w:sz w:val="22"/>
        </w:rPr>
      </w:pPr>
      <w:r>
        <w:rPr>
          <w:sz w:val="22"/>
        </w:rPr>
        <w:t>real</w:t>
      </w:r>
      <w:r>
        <w:rPr>
          <w:spacing w:val="-6"/>
          <w:sz w:val="22"/>
        </w:rPr>
        <w:t> </w:t>
      </w:r>
      <w:r>
        <w:rPr>
          <w:sz w:val="22"/>
        </w:rPr>
        <w:t>estate</w:t>
      </w:r>
      <w:r>
        <w:rPr>
          <w:spacing w:val="-6"/>
          <w:sz w:val="22"/>
        </w:rPr>
        <w:t> </w:t>
      </w:r>
      <w:r>
        <w:rPr>
          <w:sz w:val="22"/>
        </w:rPr>
        <w:t>in</w:t>
      </w:r>
      <w:r>
        <w:rPr>
          <w:spacing w:val="-7"/>
          <w:sz w:val="22"/>
        </w:rPr>
        <w:t> </w:t>
      </w:r>
      <w:r>
        <w:rPr>
          <w:sz w:val="22"/>
        </w:rPr>
        <w:t>designated</w:t>
      </w:r>
      <w:r>
        <w:rPr>
          <w:spacing w:val="-8"/>
          <w:sz w:val="22"/>
        </w:rPr>
        <w:t> </w:t>
      </w:r>
      <w:r>
        <w:rPr>
          <w:sz w:val="22"/>
        </w:rPr>
        <w:t>Reinvestment</w:t>
      </w:r>
      <w:r>
        <w:rPr>
          <w:spacing w:val="-6"/>
          <w:sz w:val="22"/>
        </w:rPr>
        <w:t> </w:t>
      </w:r>
      <w:r>
        <w:rPr>
          <w:spacing w:val="-2"/>
          <w:sz w:val="22"/>
        </w:rPr>
        <w:t>Areas.</w:t>
      </w:r>
    </w:p>
    <w:p>
      <w:pPr>
        <w:pStyle w:val="BodyText"/>
        <w:spacing w:before="10"/>
        <w:rPr>
          <w:sz w:val="21"/>
        </w:rPr>
      </w:pPr>
    </w:p>
    <w:p>
      <w:pPr>
        <w:pStyle w:val="BodyText"/>
        <w:ind w:left="120" w:right="158"/>
        <w:jc w:val="both"/>
      </w:pPr>
      <w:r>
        <w:rPr/>
        <w:t>Preference</w:t>
      </w:r>
      <w:r>
        <w:rPr>
          <w:spacing w:val="-4"/>
        </w:rPr>
        <w:t> </w:t>
      </w:r>
      <w:r>
        <w:rPr/>
        <w:t>will</w:t>
      </w:r>
      <w:r>
        <w:rPr>
          <w:spacing w:val="-5"/>
        </w:rPr>
        <w:t> </w:t>
      </w:r>
      <w:r>
        <w:rPr/>
        <w:t>also</w:t>
      </w:r>
      <w:r>
        <w:rPr>
          <w:spacing w:val="-4"/>
        </w:rPr>
        <w:t> </w:t>
      </w:r>
      <w:r>
        <w:rPr/>
        <w:t>be</w:t>
      </w:r>
      <w:r>
        <w:rPr>
          <w:spacing w:val="-4"/>
        </w:rPr>
        <w:t> </w:t>
      </w:r>
      <w:r>
        <w:rPr/>
        <w:t>given</w:t>
      </w:r>
      <w:r>
        <w:rPr>
          <w:spacing w:val="-4"/>
        </w:rPr>
        <w:t> </w:t>
      </w:r>
      <w:r>
        <w:rPr/>
        <w:t>to</w:t>
      </w:r>
      <w:r>
        <w:rPr>
          <w:spacing w:val="-4"/>
        </w:rPr>
        <w:t> </w:t>
      </w:r>
      <w:r>
        <w:rPr/>
        <w:t>those</w:t>
      </w:r>
      <w:r>
        <w:rPr>
          <w:spacing w:val="-4"/>
        </w:rPr>
        <w:t> </w:t>
      </w:r>
      <w:r>
        <w:rPr/>
        <w:t>clients</w:t>
      </w:r>
      <w:r>
        <w:rPr>
          <w:spacing w:val="-4"/>
        </w:rPr>
        <w:t> </w:t>
      </w:r>
      <w:r>
        <w:rPr/>
        <w:t>within</w:t>
      </w:r>
      <w:r>
        <w:rPr>
          <w:spacing w:val="-4"/>
        </w:rPr>
        <w:t> </w:t>
      </w:r>
      <w:r>
        <w:rPr/>
        <w:t>the</w:t>
      </w:r>
      <w:r>
        <w:rPr>
          <w:spacing w:val="-4"/>
        </w:rPr>
        <w:t> </w:t>
      </w:r>
      <w:r>
        <w:rPr/>
        <w:t>eligible</w:t>
      </w:r>
      <w:r>
        <w:rPr>
          <w:spacing w:val="-4"/>
        </w:rPr>
        <w:t> </w:t>
      </w:r>
      <w:r>
        <w:rPr/>
        <w:t>geographic</w:t>
      </w:r>
      <w:r>
        <w:rPr>
          <w:spacing w:val="-4"/>
        </w:rPr>
        <w:t> </w:t>
      </w:r>
      <w:r>
        <w:rPr/>
        <w:t>areas</w:t>
      </w:r>
      <w:r>
        <w:rPr>
          <w:spacing w:val="-4"/>
        </w:rPr>
        <w:t> </w:t>
      </w:r>
      <w:r>
        <w:rPr/>
        <w:t>who</w:t>
      </w:r>
      <w:r>
        <w:rPr>
          <w:spacing w:val="-4"/>
        </w:rPr>
        <w:t> </w:t>
      </w:r>
      <w:r>
        <w:rPr/>
        <w:t>have</w:t>
      </w:r>
      <w:r>
        <w:rPr>
          <w:spacing w:val="-4"/>
        </w:rPr>
        <w:t> </w:t>
      </w:r>
      <w:r>
        <w:rPr/>
        <w:t>been denied City of Dallas Housing and Neighborhood Revitalization (the “Department”) funding for lack of ownership clarity on the title.</w:t>
      </w:r>
    </w:p>
    <w:p>
      <w:pPr>
        <w:pStyle w:val="BodyText"/>
        <w:spacing w:before="9"/>
        <w:rPr>
          <w:sz w:val="21"/>
        </w:rPr>
      </w:pPr>
    </w:p>
    <w:p>
      <w:pPr>
        <w:pStyle w:val="BodyText"/>
        <w:spacing w:before="1"/>
        <w:ind w:left="120" w:right="154"/>
        <w:jc w:val="both"/>
      </w:pPr>
      <w:r>
        <w:rPr/>
        <w:pict>
          <v:shape style="position:absolute;margin-left:90.065002pt;margin-top:7.270858pt;width:395.3pt;height:419pt;mso-position-horizontal-relative:page;mso-position-vertical-relative:paragraph;z-index:-17724416" id="docshape45" coordorigin="1801,145" coordsize="7906,8380" path="m4498,7409l4492,7336,4477,7258,4455,7175,4432,7106,4403,7034,4367,6959,4325,6881,4276,6800,4237,6741,4200,6690,4200,7376,4197,7432,4186,7489,4167,7546,4138,7606,4097,7669,4044,7735,3979,7804,3674,8110,2216,6652,2517,6351,2598,6275,2672,6215,2740,6172,2801,6145,2868,6131,2941,6127,3020,6133,3105,6151,3195,6180,3255,6206,3317,6238,3380,6277,3446,6322,3514,6374,3584,6432,3656,6496,3729,6568,3789,6629,3845,6689,3896,6748,3943,6806,3986,6863,4025,6918,4059,6972,4101,7047,4136,7119,4163,7188,4183,7255,4196,7320,4200,7376,4200,6690,4194,6681,4148,6621,4098,6561,4045,6500,3989,6438,3929,6377,3865,6314,3801,6256,3737,6201,3673,6149,3643,6127,3609,6101,3546,6057,3482,6016,3419,5978,3346,5940,3274,5908,3203,5881,3132,5859,3062,5842,2992,5829,2923,5822,2850,5821,2779,5827,2709,5842,2642,5865,2577,5896,2528,5924,2476,5961,2420,6007,2359,6061,2294,6123,1801,6616,3710,8525,4124,8110,4226,8008,4287,7943,4341,7878,4386,7812,4424,7745,4454,7679,4476,7612,4491,7545,4498,7478,4498,7409xm6418,5816l6056,5688,5650,5545,5561,5516,5475,5492,5393,5473,5365,5468,5314,5459,5239,5449,5193,5447,5143,5450,5089,5457,5030,5468,5073,5398,5109,5329,5136,5260,5154,5191,5164,5122,5165,5054,5157,4986,5139,4908,5111,4832,5075,4758,5030,4685,4976,4614,4956,4591,4913,4545,4872,4507,4872,5065,4868,5120,4854,5175,4830,5231,4794,5290,4747,5351,4687,5415,4280,5822,3649,5191,4102,4738,4166,4681,4229,4637,4293,4608,4358,4593,4422,4591,4501,4607,4577,4636,4649,4681,4718,4741,4761,4788,4797,4839,4827,4893,4851,4949,4867,5008,4872,5065,4872,4507,4849,4486,4782,4433,4713,4388,4641,4349,4566,4317,4474,4289,4386,4276,4303,4278,4225,4294,4163,4319,4098,4356,4030,4404,3958,4463,3883,4534,3248,5169,5157,7077,5346,6888,4499,6041,4718,5822,4753,5787,4783,5760,4810,5739,4833,5724,4863,5711,4896,5700,4932,5693,4971,5688,5014,5688,5066,5693,5125,5704,5194,5720,5256,5738,5328,5759,5407,5783,5496,5813,6180,6054,6418,5816xm7780,4454l7415,4259,6555,3804,6555,4111,6070,4597,6030,4525,5989,4454,5748,4023,5708,3951,5668,3880,5629,3814,5590,3750,5550,3686,5509,3623,5467,3560,5424,3499,5380,3438,5436,3474,5498,3512,5564,3552,5635,3594,5792,3684,6555,4111,6555,3804,5862,3438,5286,3131,5082,3335,5277,3686,5316,3756,5701,4454,6207,5373,6441,5793,6642,5592,6565,5459,6298,4991,6221,4857,6481,4597,6820,4259,7173,4454,7565,4670,7780,4454xm8131,4103l7264,3236,7936,2564,7711,2339,7039,3011,6448,2420,7224,1644,6999,1419,6033,2384,7941,4293,8131,4103xm9707,2527l8024,844,8497,371,8272,145,7138,1280,7363,1505,7834,1034,9517,2717,9707,2527xe" filled="true" fillcolor="#c0c0c0" stroked="false">
            <v:path arrowok="t"/>
            <v:fill opacity="32896f" type="solid"/>
            <w10:wrap type="none"/>
          </v:shape>
        </w:pict>
      </w:r>
      <w:r>
        <w:rPr/>
        <w:t>Clients with title issues on vacant land, as well as those who are in debt to the City and/or who are involved in a suit against the City, are eligible for this Program, subject to the eligibility requirements detailed herein.</w:t>
      </w:r>
    </w:p>
    <w:p>
      <w:pPr>
        <w:pStyle w:val="BodyText"/>
      </w:pPr>
    </w:p>
    <w:p>
      <w:pPr>
        <w:pStyle w:val="Heading5"/>
      </w:pPr>
      <w:r>
        <w:rPr/>
        <w:t>Eligible</w:t>
      </w:r>
      <w:r>
        <w:rPr>
          <w:spacing w:val="-6"/>
        </w:rPr>
        <w:t> </w:t>
      </w:r>
      <w:r>
        <w:rPr/>
        <w:t>Geographic</w:t>
      </w:r>
      <w:r>
        <w:rPr>
          <w:spacing w:val="-6"/>
        </w:rPr>
        <w:t> </w:t>
      </w:r>
      <w:r>
        <w:rPr>
          <w:spacing w:val="-2"/>
        </w:rPr>
        <w:t>Areas</w:t>
      </w:r>
    </w:p>
    <w:p>
      <w:pPr>
        <w:pStyle w:val="BodyText"/>
        <w:spacing w:before="50"/>
        <w:ind w:left="120" w:right="154" w:hanging="1"/>
        <w:jc w:val="both"/>
      </w:pPr>
      <w:r>
        <w:rPr/>
        <w:t>Areas of southern Dallas (south of the Trinity River west of downtown and south of I-30 east of downtown)</w:t>
      </w:r>
      <w:r>
        <w:rPr>
          <w:spacing w:val="-1"/>
        </w:rPr>
        <w:t> </w:t>
      </w:r>
      <w:r>
        <w:rPr/>
        <w:t>in</w:t>
      </w:r>
      <w:r>
        <w:rPr>
          <w:spacing w:val="-5"/>
        </w:rPr>
        <w:t> </w:t>
      </w:r>
      <w:r>
        <w:rPr/>
        <w:t>Market</w:t>
      </w:r>
      <w:r>
        <w:rPr>
          <w:spacing w:val="-1"/>
        </w:rPr>
        <w:t> </w:t>
      </w:r>
      <w:r>
        <w:rPr/>
        <w:t>Value</w:t>
      </w:r>
      <w:r>
        <w:rPr>
          <w:spacing w:val="-3"/>
        </w:rPr>
        <w:t> </w:t>
      </w:r>
      <w:r>
        <w:rPr/>
        <w:t>Analysis</w:t>
      </w:r>
      <w:r>
        <w:rPr>
          <w:spacing w:val="-2"/>
        </w:rPr>
        <w:t> </w:t>
      </w:r>
      <w:r>
        <w:rPr/>
        <w:t>Categories</w:t>
      </w:r>
      <w:r>
        <w:rPr>
          <w:spacing w:val="-5"/>
        </w:rPr>
        <w:t> </w:t>
      </w:r>
      <w:r>
        <w:rPr/>
        <w:t>D,</w:t>
      </w:r>
      <w:r>
        <w:rPr>
          <w:spacing w:val="-1"/>
        </w:rPr>
        <w:t> </w:t>
      </w:r>
      <w:r>
        <w:rPr/>
        <w:t>E,</w:t>
      </w:r>
      <w:r>
        <w:rPr>
          <w:spacing w:val="-3"/>
        </w:rPr>
        <w:t> </w:t>
      </w:r>
      <w:r>
        <w:rPr/>
        <w:t>F,</w:t>
      </w:r>
      <w:r>
        <w:rPr>
          <w:spacing w:val="-4"/>
        </w:rPr>
        <w:t> </w:t>
      </w:r>
      <w:r>
        <w:rPr/>
        <w:t>G,</w:t>
      </w:r>
      <w:r>
        <w:rPr>
          <w:spacing w:val="-1"/>
        </w:rPr>
        <w:t> </w:t>
      </w:r>
      <w:r>
        <w:rPr/>
        <w:t>H,</w:t>
      </w:r>
      <w:r>
        <w:rPr>
          <w:spacing w:val="-1"/>
        </w:rPr>
        <w:t> </w:t>
      </w:r>
      <w:r>
        <w:rPr/>
        <w:t>and</w:t>
      </w:r>
      <w:r>
        <w:rPr>
          <w:spacing w:val="-5"/>
        </w:rPr>
        <w:t> </w:t>
      </w:r>
      <w:r>
        <w:rPr/>
        <w:t>I</w:t>
      </w:r>
      <w:r>
        <w:rPr>
          <w:spacing w:val="-3"/>
        </w:rPr>
        <w:t> </w:t>
      </w:r>
      <w:r>
        <w:rPr/>
        <w:t>are</w:t>
      </w:r>
      <w:r>
        <w:rPr>
          <w:spacing w:val="-3"/>
        </w:rPr>
        <w:t> </w:t>
      </w:r>
      <w:r>
        <w:rPr/>
        <w:t>eligible</w:t>
      </w:r>
      <w:r>
        <w:rPr>
          <w:spacing w:val="-3"/>
        </w:rPr>
        <w:t> </w:t>
      </w:r>
      <w:r>
        <w:rPr/>
        <w:t>for</w:t>
      </w:r>
      <w:r>
        <w:rPr>
          <w:spacing w:val="-1"/>
        </w:rPr>
        <w:t> </w:t>
      </w:r>
      <w:r>
        <w:rPr/>
        <w:t>the</w:t>
      </w:r>
      <w:r>
        <w:rPr>
          <w:spacing w:val="-3"/>
        </w:rPr>
        <w:t> </w:t>
      </w:r>
      <w:r>
        <w:rPr/>
        <w:t>Program. Uncategorized</w:t>
      </w:r>
      <w:r>
        <w:rPr>
          <w:spacing w:val="-4"/>
        </w:rPr>
        <w:t> </w:t>
      </w:r>
      <w:r>
        <w:rPr/>
        <w:t>parcels</w:t>
      </w:r>
      <w:r>
        <w:rPr>
          <w:spacing w:val="-4"/>
        </w:rPr>
        <w:t> </w:t>
      </w:r>
      <w:r>
        <w:rPr/>
        <w:t>directly</w:t>
      </w:r>
      <w:r>
        <w:rPr>
          <w:spacing w:val="-4"/>
        </w:rPr>
        <w:t> </w:t>
      </w:r>
      <w:r>
        <w:rPr/>
        <w:t>adjacent</w:t>
      </w:r>
      <w:r>
        <w:rPr>
          <w:spacing w:val="-5"/>
        </w:rPr>
        <w:t> </w:t>
      </w:r>
      <w:r>
        <w:rPr/>
        <w:t>to</w:t>
      </w:r>
      <w:r>
        <w:rPr>
          <w:spacing w:val="-4"/>
        </w:rPr>
        <w:t> </w:t>
      </w:r>
      <w:r>
        <w:rPr/>
        <w:t>a</w:t>
      </w:r>
      <w:r>
        <w:rPr>
          <w:spacing w:val="-4"/>
        </w:rPr>
        <w:t> </w:t>
      </w:r>
      <w:r>
        <w:rPr/>
        <w:t>parcel</w:t>
      </w:r>
      <w:r>
        <w:rPr>
          <w:spacing w:val="-5"/>
        </w:rPr>
        <w:t> </w:t>
      </w:r>
      <w:r>
        <w:rPr/>
        <w:t>or</w:t>
      </w:r>
      <w:r>
        <w:rPr>
          <w:spacing w:val="-3"/>
        </w:rPr>
        <w:t> </w:t>
      </w:r>
      <w:r>
        <w:rPr/>
        <w:t>parcels</w:t>
      </w:r>
      <w:r>
        <w:rPr>
          <w:spacing w:val="-4"/>
        </w:rPr>
        <w:t> </w:t>
      </w:r>
      <w:r>
        <w:rPr/>
        <w:t>in</w:t>
      </w:r>
      <w:r>
        <w:rPr>
          <w:spacing w:val="-4"/>
        </w:rPr>
        <w:t> </w:t>
      </w:r>
      <w:r>
        <w:rPr/>
        <w:t>one</w:t>
      </w:r>
      <w:r>
        <w:rPr>
          <w:spacing w:val="-4"/>
        </w:rPr>
        <w:t> </w:t>
      </w:r>
      <w:r>
        <w:rPr/>
        <w:t>of</w:t>
      </w:r>
      <w:r>
        <w:rPr>
          <w:spacing w:val="-5"/>
        </w:rPr>
        <w:t> </w:t>
      </w:r>
      <w:r>
        <w:rPr/>
        <w:t>these</w:t>
      </w:r>
      <w:r>
        <w:rPr>
          <w:spacing w:val="-4"/>
        </w:rPr>
        <w:t> </w:t>
      </w:r>
      <w:r>
        <w:rPr/>
        <w:t>categories</w:t>
      </w:r>
      <w:r>
        <w:rPr>
          <w:spacing w:val="-4"/>
        </w:rPr>
        <w:t> </w:t>
      </w:r>
      <w:r>
        <w:rPr/>
        <w:t>are</w:t>
      </w:r>
      <w:r>
        <w:rPr>
          <w:spacing w:val="-4"/>
        </w:rPr>
        <w:t> </w:t>
      </w:r>
      <w:r>
        <w:rPr/>
        <w:t>also </w:t>
      </w:r>
      <w:r>
        <w:rPr>
          <w:spacing w:val="-2"/>
        </w:rPr>
        <w:t>eligible.</w:t>
      </w:r>
    </w:p>
    <w:p>
      <w:pPr>
        <w:pStyle w:val="BodyText"/>
        <w:spacing w:before="11"/>
        <w:rPr>
          <w:sz w:val="21"/>
        </w:rPr>
      </w:pPr>
    </w:p>
    <w:p>
      <w:pPr>
        <w:pStyle w:val="Heading5"/>
      </w:pPr>
      <w:r>
        <w:rPr/>
        <w:t>Eligible</w:t>
      </w:r>
      <w:r>
        <w:rPr>
          <w:spacing w:val="-5"/>
        </w:rPr>
        <w:t> </w:t>
      </w:r>
      <w:r>
        <w:rPr/>
        <w:t>Services</w:t>
      </w:r>
      <w:r>
        <w:rPr>
          <w:spacing w:val="-5"/>
        </w:rPr>
        <w:t> </w:t>
      </w:r>
      <w:r>
        <w:rPr/>
        <w:t>and</w:t>
      </w:r>
      <w:r>
        <w:rPr>
          <w:spacing w:val="-2"/>
        </w:rPr>
        <w:t> </w:t>
      </w:r>
      <w:r>
        <w:rPr>
          <w:spacing w:val="-4"/>
        </w:rPr>
        <w:t>Costs</w:t>
      </w:r>
    </w:p>
    <w:p>
      <w:pPr>
        <w:pStyle w:val="ListParagraph"/>
        <w:numPr>
          <w:ilvl w:val="1"/>
          <w:numId w:val="11"/>
        </w:numPr>
        <w:tabs>
          <w:tab w:pos="841" w:val="left" w:leader="none"/>
        </w:tabs>
        <w:spacing w:line="240" w:lineRule="auto" w:before="51" w:after="0"/>
        <w:ind w:left="840" w:right="155" w:hanging="360"/>
        <w:jc w:val="both"/>
        <w:rPr>
          <w:sz w:val="22"/>
        </w:rPr>
      </w:pPr>
      <w:r>
        <w:rPr>
          <w:sz w:val="22"/>
        </w:rPr>
        <w:t>Remove</w:t>
      </w:r>
      <w:r>
        <w:rPr>
          <w:spacing w:val="-16"/>
          <w:sz w:val="22"/>
        </w:rPr>
        <w:t> </w:t>
      </w:r>
      <w:r>
        <w:rPr>
          <w:sz w:val="22"/>
        </w:rPr>
        <w:t>ownership</w:t>
      </w:r>
      <w:r>
        <w:rPr>
          <w:spacing w:val="-15"/>
          <w:sz w:val="22"/>
        </w:rPr>
        <w:t> </w:t>
      </w:r>
      <w:r>
        <w:rPr>
          <w:sz w:val="22"/>
        </w:rPr>
        <w:t>clouds</w:t>
      </w:r>
      <w:r>
        <w:rPr>
          <w:spacing w:val="-15"/>
          <w:sz w:val="22"/>
        </w:rPr>
        <w:t> </w:t>
      </w:r>
      <w:r>
        <w:rPr>
          <w:sz w:val="22"/>
        </w:rPr>
        <w:t>on</w:t>
      </w:r>
      <w:r>
        <w:rPr>
          <w:spacing w:val="-16"/>
          <w:sz w:val="22"/>
        </w:rPr>
        <w:t> </w:t>
      </w:r>
      <w:r>
        <w:rPr>
          <w:sz w:val="22"/>
        </w:rPr>
        <w:t>the</w:t>
      </w:r>
      <w:r>
        <w:rPr>
          <w:spacing w:val="-15"/>
          <w:sz w:val="22"/>
        </w:rPr>
        <w:t> </w:t>
      </w:r>
      <w:r>
        <w:rPr>
          <w:sz w:val="22"/>
        </w:rPr>
        <w:t>titles</w:t>
      </w:r>
      <w:r>
        <w:rPr>
          <w:spacing w:val="-15"/>
          <w:sz w:val="22"/>
        </w:rPr>
        <w:t> </w:t>
      </w:r>
      <w:r>
        <w:rPr>
          <w:sz w:val="22"/>
        </w:rPr>
        <w:t>of</w:t>
      </w:r>
      <w:r>
        <w:rPr>
          <w:spacing w:val="-15"/>
          <w:sz w:val="22"/>
        </w:rPr>
        <w:t> </w:t>
      </w:r>
      <w:r>
        <w:rPr>
          <w:sz w:val="22"/>
        </w:rPr>
        <w:t>eligible</w:t>
      </w:r>
      <w:r>
        <w:rPr>
          <w:spacing w:val="-16"/>
          <w:sz w:val="22"/>
        </w:rPr>
        <w:t> </w:t>
      </w:r>
      <w:r>
        <w:rPr>
          <w:sz w:val="22"/>
        </w:rPr>
        <w:t>parcels</w:t>
      </w:r>
      <w:r>
        <w:rPr>
          <w:spacing w:val="-15"/>
          <w:sz w:val="22"/>
        </w:rPr>
        <w:t> </w:t>
      </w:r>
      <w:r>
        <w:rPr>
          <w:sz w:val="22"/>
        </w:rPr>
        <w:t>–</w:t>
      </w:r>
      <w:r>
        <w:rPr>
          <w:spacing w:val="-15"/>
          <w:sz w:val="22"/>
        </w:rPr>
        <w:t> </w:t>
      </w:r>
      <w:r>
        <w:rPr>
          <w:sz w:val="22"/>
        </w:rPr>
        <w:t>Screen</w:t>
      </w:r>
      <w:r>
        <w:rPr>
          <w:spacing w:val="-16"/>
          <w:sz w:val="22"/>
        </w:rPr>
        <w:t> </w:t>
      </w:r>
      <w:r>
        <w:rPr>
          <w:sz w:val="22"/>
        </w:rPr>
        <w:t>clients</w:t>
      </w:r>
      <w:r>
        <w:rPr>
          <w:spacing w:val="-15"/>
          <w:sz w:val="22"/>
        </w:rPr>
        <w:t> </w:t>
      </w:r>
      <w:r>
        <w:rPr>
          <w:sz w:val="22"/>
        </w:rPr>
        <w:t>and</w:t>
      </w:r>
      <w:r>
        <w:rPr>
          <w:spacing w:val="-15"/>
          <w:sz w:val="22"/>
        </w:rPr>
        <w:t> </w:t>
      </w:r>
      <w:r>
        <w:rPr>
          <w:sz w:val="22"/>
        </w:rPr>
        <w:t>successfully clarify ownership (or make title “marketable”) for a significant number of titles in eligible geographic areas. Eligible activities include, but are not limited to, client intake and screening, legal advice, document preparation and filing, title examination and abstract services, and legal representation in court.</w:t>
      </w:r>
    </w:p>
    <w:p>
      <w:pPr>
        <w:pStyle w:val="ListParagraph"/>
        <w:numPr>
          <w:ilvl w:val="1"/>
          <w:numId w:val="11"/>
        </w:numPr>
        <w:tabs>
          <w:tab w:pos="841" w:val="left" w:leader="none"/>
        </w:tabs>
        <w:spacing w:line="237" w:lineRule="auto" w:before="2" w:after="0"/>
        <w:ind w:left="840" w:right="155" w:hanging="360"/>
        <w:jc w:val="both"/>
        <w:rPr>
          <w:sz w:val="22"/>
        </w:rPr>
      </w:pPr>
      <w:r>
        <w:rPr>
          <w:sz w:val="22"/>
        </w:rPr>
        <w:t>Community</w:t>
      </w:r>
      <w:r>
        <w:rPr>
          <w:spacing w:val="-2"/>
          <w:sz w:val="22"/>
        </w:rPr>
        <w:t> </w:t>
      </w:r>
      <w:r>
        <w:rPr>
          <w:sz w:val="22"/>
        </w:rPr>
        <w:t>legal</w:t>
      </w:r>
      <w:r>
        <w:rPr>
          <w:spacing w:val="-3"/>
          <w:sz w:val="22"/>
        </w:rPr>
        <w:t> </w:t>
      </w:r>
      <w:r>
        <w:rPr>
          <w:sz w:val="22"/>
        </w:rPr>
        <w:t>rights</w:t>
      </w:r>
      <w:r>
        <w:rPr>
          <w:spacing w:val="-2"/>
          <w:sz w:val="22"/>
        </w:rPr>
        <w:t> </w:t>
      </w:r>
      <w:r>
        <w:rPr>
          <w:sz w:val="22"/>
        </w:rPr>
        <w:t>information</w:t>
      </w:r>
      <w:r>
        <w:rPr>
          <w:spacing w:val="-3"/>
          <w:sz w:val="22"/>
        </w:rPr>
        <w:t> </w:t>
      </w:r>
      <w:r>
        <w:rPr>
          <w:sz w:val="22"/>
        </w:rPr>
        <w:t>sessions</w:t>
      </w:r>
      <w:r>
        <w:rPr>
          <w:spacing w:val="-1"/>
          <w:sz w:val="22"/>
        </w:rPr>
        <w:t> </w:t>
      </w:r>
      <w:r>
        <w:rPr>
          <w:sz w:val="22"/>
        </w:rPr>
        <w:t>– Conduct legal</w:t>
      </w:r>
      <w:r>
        <w:rPr>
          <w:spacing w:val="-3"/>
          <w:sz w:val="22"/>
        </w:rPr>
        <w:t> </w:t>
      </w:r>
      <w:r>
        <w:rPr>
          <w:sz w:val="22"/>
        </w:rPr>
        <w:t>rights</w:t>
      </w:r>
      <w:r>
        <w:rPr>
          <w:spacing w:val="-2"/>
          <w:sz w:val="22"/>
        </w:rPr>
        <w:t> </w:t>
      </w:r>
      <w:r>
        <w:rPr>
          <w:sz w:val="22"/>
        </w:rPr>
        <w:t>information</w:t>
      </w:r>
      <w:r>
        <w:rPr>
          <w:spacing w:val="-3"/>
          <w:sz w:val="22"/>
        </w:rPr>
        <w:t> </w:t>
      </w:r>
      <w:r>
        <w:rPr>
          <w:sz w:val="22"/>
        </w:rPr>
        <w:t>sessions, including providing information about potential responsibilities and associated future decisions related to having marketable title, and potential financial impacts of keeping or selling the property.</w:t>
      </w:r>
    </w:p>
    <w:p>
      <w:pPr>
        <w:pStyle w:val="ListParagraph"/>
        <w:numPr>
          <w:ilvl w:val="1"/>
          <w:numId w:val="11"/>
        </w:numPr>
        <w:tabs>
          <w:tab w:pos="841" w:val="left" w:leader="none"/>
        </w:tabs>
        <w:spacing w:line="269" w:lineRule="exact" w:before="5" w:after="0"/>
        <w:ind w:left="840" w:right="0" w:hanging="361"/>
        <w:jc w:val="both"/>
        <w:rPr>
          <w:sz w:val="22"/>
        </w:rPr>
      </w:pPr>
      <w:r>
        <w:rPr>
          <w:sz w:val="22"/>
        </w:rPr>
        <w:t>Conduct</w:t>
      </w:r>
      <w:r>
        <w:rPr>
          <w:spacing w:val="-4"/>
          <w:sz w:val="22"/>
        </w:rPr>
        <w:t> </w:t>
      </w:r>
      <w:r>
        <w:rPr>
          <w:sz w:val="22"/>
        </w:rPr>
        <w:t>client</w:t>
      </w:r>
      <w:r>
        <w:rPr>
          <w:spacing w:val="-6"/>
          <w:sz w:val="22"/>
        </w:rPr>
        <w:t> </w:t>
      </w:r>
      <w:r>
        <w:rPr>
          <w:sz w:val="22"/>
        </w:rPr>
        <w:t>intake</w:t>
      </w:r>
      <w:r>
        <w:rPr>
          <w:spacing w:val="-7"/>
          <w:sz w:val="22"/>
        </w:rPr>
        <w:t> </w:t>
      </w:r>
      <w:r>
        <w:rPr>
          <w:sz w:val="22"/>
        </w:rPr>
        <w:t>–</w:t>
      </w:r>
      <w:r>
        <w:rPr>
          <w:spacing w:val="-4"/>
          <w:sz w:val="22"/>
        </w:rPr>
        <w:t> </w:t>
      </w:r>
      <w:r>
        <w:rPr>
          <w:sz w:val="22"/>
        </w:rPr>
        <w:t>Screen</w:t>
      </w:r>
      <w:r>
        <w:rPr>
          <w:spacing w:val="-6"/>
          <w:sz w:val="22"/>
        </w:rPr>
        <w:t> </w:t>
      </w:r>
      <w:r>
        <w:rPr>
          <w:sz w:val="22"/>
        </w:rPr>
        <w:t>clients</w:t>
      </w:r>
      <w:r>
        <w:rPr>
          <w:spacing w:val="-7"/>
          <w:sz w:val="22"/>
        </w:rPr>
        <w:t> </w:t>
      </w:r>
      <w:r>
        <w:rPr>
          <w:sz w:val="22"/>
        </w:rPr>
        <w:t>and</w:t>
      </w:r>
      <w:r>
        <w:rPr>
          <w:spacing w:val="-5"/>
          <w:sz w:val="22"/>
        </w:rPr>
        <w:t> </w:t>
      </w:r>
      <w:r>
        <w:rPr>
          <w:sz w:val="22"/>
        </w:rPr>
        <w:t>employ</w:t>
      </w:r>
      <w:r>
        <w:rPr>
          <w:spacing w:val="-7"/>
          <w:sz w:val="22"/>
        </w:rPr>
        <w:t> </w:t>
      </w:r>
      <w:r>
        <w:rPr>
          <w:sz w:val="22"/>
        </w:rPr>
        <w:t>a</w:t>
      </w:r>
      <w:r>
        <w:rPr>
          <w:spacing w:val="-5"/>
          <w:sz w:val="22"/>
        </w:rPr>
        <w:t> </w:t>
      </w:r>
      <w:r>
        <w:rPr>
          <w:sz w:val="22"/>
        </w:rPr>
        <w:t>direct</w:t>
      </w:r>
      <w:r>
        <w:rPr>
          <w:spacing w:val="-6"/>
          <w:sz w:val="22"/>
        </w:rPr>
        <w:t> </w:t>
      </w:r>
      <w:r>
        <w:rPr>
          <w:sz w:val="22"/>
        </w:rPr>
        <w:t>representation</w:t>
      </w:r>
      <w:r>
        <w:rPr>
          <w:spacing w:val="-7"/>
          <w:sz w:val="22"/>
        </w:rPr>
        <w:t> </w:t>
      </w:r>
      <w:r>
        <w:rPr>
          <w:spacing w:val="-2"/>
          <w:sz w:val="22"/>
        </w:rPr>
        <w:t>model.</w:t>
      </w:r>
    </w:p>
    <w:p>
      <w:pPr>
        <w:pStyle w:val="ListParagraph"/>
        <w:numPr>
          <w:ilvl w:val="1"/>
          <w:numId w:val="11"/>
        </w:numPr>
        <w:tabs>
          <w:tab w:pos="841" w:val="left" w:leader="none"/>
        </w:tabs>
        <w:spacing w:line="240" w:lineRule="auto" w:before="0" w:after="0"/>
        <w:ind w:left="840" w:right="156" w:hanging="361"/>
        <w:jc w:val="both"/>
        <w:rPr>
          <w:sz w:val="22"/>
        </w:rPr>
      </w:pPr>
      <w:r>
        <w:rPr>
          <w:sz w:val="22"/>
        </w:rPr>
        <w:t>Prevention – Provide legal services to eligible clients to increase the number of families with wills, transfer on death deeds, and/or related documentation necessary to ensure a smooth transition of ownership of the property. As needed, provide guidance on the potential financial impacts to the client of keeping or selling the property.</w:t>
      </w:r>
    </w:p>
    <w:p>
      <w:pPr>
        <w:pStyle w:val="ListParagraph"/>
        <w:numPr>
          <w:ilvl w:val="1"/>
          <w:numId w:val="11"/>
        </w:numPr>
        <w:tabs>
          <w:tab w:pos="841" w:val="left" w:leader="none"/>
        </w:tabs>
        <w:spacing w:line="240" w:lineRule="auto" w:before="0" w:after="0"/>
        <w:ind w:left="840" w:right="154" w:hanging="361"/>
        <w:jc w:val="both"/>
        <w:rPr>
          <w:sz w:val="22"/>
        </w:rPr>
      </w:pPr>
      <w:r>
        <w:rPr>
          <w:sz w:val="22"/>
        </w:rPr>
        <w:t>Measurement – Maintain applicant and client data and report aggregate, non-identifying data</w:t>
      </w:r>
      <w:r>
        <w:rPr>
          <w:spacing w:val="-9"/>
          <w:sz w:val="22"/>
        </w:rPr>
        <w:t> </w:t>
      </w:r>
      <w:r>
        <w:rPr>
          <w:sz w:val="22"/>
        </w:rPr>
        <w:t>to</w:t>
      </w:r>
      <w:r>
        <w:rPr>
          <w:spacing w:val="-9"/>
          <w:sz w:val="22"/>
        </w:rPr>
        <w:t> </w:t>
      </w:r>
      <w:r>
        <w:rPr>
          <w:sz w:val="22"/>
        </w:rPr>
        <w:t>the</w:t>
      </w:r>
      <w:r>
        <w:rPr>
          <w:spacing w:val="-9"/>
          <w:sz w:val="22"/>
        </w:rPr>
        <w:t> </w:t>
      </w:r>
      <w:r>
        <w:rPr>
          <w:sz w:val="22"/>
        </w:rPr>
        <w:t>Department</w:t>
      </w:r>
      <w:r>
        <w:rPr>
          <w:spacing w:val="-7"/>
          <w:sz w:val="22"/>
        </w:rPr>
        <w:t> </w:t>
      </w:r>
      <w:r>
        <w:rPr>
          <w:sz w:val="22"/>
        </w:rPr>
        <w:t>on</w:t>
      </w:r>
      <w:r>
        <w:rPr>
          <w:spacing w:val="-6"/>
          <w:sz w:val="22"/>
        </w:rPr>
        <w:t> </w:t>
      </w:r>
      <w:r>
        <w:rPr>
          <w:sz w:val="22"/>
        </w:rPr>
        <w:t>a</w:t>
      </w:r>
      <w:r>
        <w:rPr>
          <w:spacing w:val="-9"/>
          <w:sz w:val="22"/>
        </w:rPr>
        <w:t> </w:t>
      </w:r>
      <w:r>
        <w:rPr>
          <w:sz w:val="22"/>
        </w:rPr>
        <w:t>quarterly</w:t>
      </w:r>
      <w:r>
        <w:rPr>
          <w:spacing w:val="-8"/>
          <w:sz w:val="22"/>
        </w:rPr>
        <w:t> </w:t>
      </w:r>
      <w:r>
        <w:rPr>
          <w:sz w:val="22"/>
        </w:rPr>
        <w:t>and</w:t>
      </w:r>
      <w:r>
        <w:rPr>
          <w:spacing w:val="-9"/>
          <w:sz w:val="22"/>
        </w:rPr>
        <w:t> </w:t>
      </w:r>
      <w:r>
        <w:rPr>
          <w:sz w:val="22"/>
        </w:rPr>
        <w:t>final</w:t>
      </w:r>
      <w:r>
        <w:rPr>
          <w:spacing w:val="-7"/>
          <w:sz w:val="22"/>
        </w:rPr>
        <w:t> </w:t>
      </w:r>
      <w:r>
        <w:rPr>
          <w:sz w:val="22"/>
        </w:rPr>
        <w:t>basis</w:t>
      </w:r>
      <w:r>
        <w:rPr>
          <w:spacing w:val="-6"/>
          <w:sz w:val="22"/>
        </w:rPr>
        <w:t> </w:t>
      </w:r>
      <w:r>
        <w:rPr>
          <w:sz w:val="22"/>
        </w:rPr>
        <w:t>as</w:t>
      </w:r>
      <w:r>
        <w:rPr>
          <w:spacing w:val="-8"/>
          <w:sz w:val="22"/>
        </w:rPr>
        <w:t> </w:t>
      </w:r>
      <w:r>
        <w:rPr>
          <w:sz w:val="22"/>
        </w:rPr>
        <w:t>detailed</w:t>
      </w:r>
      <w:r>
        <w:rPr>
          <w:spacing w:val="-6"/>
          <w:sz w:val="22"/>
        </w:rPr>
        <w:t> </w:t>
      </w:r>
      <w:r>
        <w:rPr>
          <w:sz w:val="22"/>
        </w:rPr>
        <w:t>in</w:t>
      </w:r>
      <w:r>
        <w:rPr>
          <w:spacing w:val="-9"/>
          <w:sz w:val="22"/>
        </w:rPr>
        <w:t> </w:t>
      </w:r>
      <w:r>
        <w:rPr>
          <w:sz w:val="22"/>
        </w:rPr>
        <w:t>the</w:t>
      </w:r>
      <w:r>
        <w:rPr>
          <w:spacing w:val="-9"/>
          <w:sz w:val="22"/>
        </w:rPr>
        <w:t> </w:t>
      </w:r>
      <w:r>
        <w:rPr>
          <w:sz w:val="22"/>
        </w:rPr>
        <w:t>contract.</w:t>
      </w:r>
      <w:r>
        <w:rPr>
          <w:spacing w:val="-5"/>
          <w:sz w:val="22"/>
        </w:rPr>
        <w:t> </w:t>
      </w:r>
      <w:r>
        <w:rPr>
          <w:sz w:val="22"/>
        </w:rPr>
        <w:t>Reported data should include quantitative data such as number of informational events, legal screenings conducted, titles with ownership clouds removed, wills or transfer on death documents, cases referred, and estimates on the potential depth and scope of the instance</w:t>
      </w:r>
      <w:r>
        <w:rPr>
          <w:spacing w:val="-16"/>
          <w:sz w:val="22"/>
        </w:rPr>
        <w:t> </w:t>
      </w:r>
      <w:r>
        <w:rPr>
          <w:sz w:val="22"/>
        </w:rPr>
        <w:t>of</w:t>
      </w:r>
      <w:r>
        <w:rPr>
          <w:spacing w:val="-15"/>
          <w:sz w:val="22"/>
        </w:rPr>
        <w:t> </w:t>
      </w:r>
      <w:r>
        <w:rPr>
          <w:sz w:val="22"/>
        </w:rPr>
        <w:t>cloudy</w:t>
      </w:r>
      <w:r>
        <w:rPr>
          <w:spacing w:val="-15"/>
          <w:sz w:val="22"/>
        </w:rPr>
        <w:t> </w:t>
      </w:r>
      <w:r>
        <w:rPr>
          <w:sz w:val="22"/>
        </w:rPr>
        <w:t>title.</w:t>
      </w:r>
      <w:r>
        <w:rPr>
          <w:spacing w:val="-16"/>
          <w:sz w:val="22"/>
        </w:rPr>
        <w:t> </w:t>
      </w:r>
      <w:r>
        <w:rPr>
          <w:sz w:val="22"/>
        </w:rPr>
        <w:t>Reported</w:t>
      </w:r>
      <w:r>
        <w:rPr>
          <w:spacing w:val="-15"/>
          <w:sz w:val="22"/>
        </w:rPr>
        <w:t> </w:t>
      </w:r>
      <w:r>
        <w:rPr>
          <w:sz w:val="22"/>
        </w:rPr>
        <w:t>data</w:t>
      </w:r>
      <w:r>
        <w:rPr>
          <w:spacing w:val="-15"/>
          <w:sz w:val="22"/>
        </w:rPr>
        <w:t> </w:t>
      </w:r>
      <w:r>
        <w:rPr>
          <w:sz w:val="22"/>
        </w:rPr>
        <w:t>should</w:t>
      </w:r>
      <w:r>
        <w:rPr>
          <w:spacing w:val="-15"/>
          <w:sz w:val="22"/>
        </w:rPr>
        <w:t> </w:t>
      </w:r>
      <w:r>
        <w:rPr>
          <w:sz w:val="22"/>
        </w:rPr>
        <w:t>also</w:t>
      </w:r>
      <w:r>
        <w:rPr>
          <w:spacing w:val="-16"/>
          <w:sz w:val="22"/>
        </w:rPr>
        <w:t> </w:t>
      </w:r>
      <w:r>
        <w:rPr>
          <w:sz w:val="22"/>
        </w:rPr>
        <w:t>include</w:t>
      </w:r>
      <w:r>
        <w:rPr>
          <w:spacing w:val="-15"/>
          <w:sz w:val="22"/>
        </w:rPr>
        <w:t> </w:t>
      </w:r>
      <w:r>
        <w:rPr>
          <w:sz w:val="22"/>
        </w:rPr>
        <w:t>a</w:t>
      </w:r>
      <w:r>
        <w:rPr>
          <w:spacing w:val="-15"/>
          <w:sz w:val="22"/>
        </w:rPr>
        <w:t> </w:t>
      </w:r>
      <w:r>
        <w:rPr>
          <w:sz w:val="22"/>
        </w:rPr>
        <w:t>qualitative</w:t>
      </w:r>
      <w:r>
        <w:rPr>
          <w:spacing w:val="-16"/>
          <w:sz w:val="22"/>
        </w:rPr>
        <w:t> </w:t>
      </w:r>
      <w:r>
        <w:rPr>
          <w:sz w:val="22"/>
        </w:rPr>
        <w:t>evaluation</w:t>
      </w:r>
      <w:r>
        <w:rPr>
          <w:spacing w:val="-15"/>
          <w:sz w:val="22"/>
        </w:rPr>
        <w:t> </w:t>
      </w:r>
      <w:r>
        <w:rPr>
          <w:sz w:val="22"/>
        </w:rPr>
        <w:t>of</w:t>
      </w:r>
      <w:r>
        <w:rPr>
          <w:spacing w:val="-15"/>
          <w:sz w:val="22"/>
        </w:rPr>
        <w:t> </w:t>
      </w:r>
      <w:r>
        <w:rPr>
          <w:sz w:val="22"/>
        </w:rPr>
        <w:t>efforts and recommendations</w:t>
      </w:r>
      <w:r>
        <w:rPr>
          <w:spacing w:val="-2"/>
          <w:sz w:val="22"/>
        </w:rPr>
        <w:t> </w:t>
      </w:r>
      <w:r>
        <w:rPr>
          <w:sz w:val="22"/>
        </w:rPr>
        <w:t>for improved performance for a potential</w:t>
      </w:r>
      <w:r>
        <w:rPr>
          <w:spacing w:val="-1"/>
          <w:sz w:val="22"/>
        </w:rPr>
        <w:t> </w:t>
      </w:r>
      <w:r>
        <w:rPr>
          <w:sz w:val="22"/>
        </w:rPr>
        <w:t>future program and shall include any other information requested by the City.</w:t>
      </w:r>
    </w:p>
    <w:p>
      <w:pPr>
        <w:pStyle w:val="BodyText"/>
        <w:spacing w:before="5"/>
        <w:rPr>
          <w:sz w:val="21"/>
        </w:rPr>
      </w:pPr>
    </w:p>
    <w:p>
      <w:pPr>
        <w:pStyle w:val="Heading5"/>
      </w:pPr>
      <w:r>
        <w:rPr/>
        <w:t>Ineligible</w:t>
      </w:r>
      <w:r>
        <w:rPr>
          <w:spacing w:val="-5"/>
        </w:rPr>
        <w:t> </w:t>
      </w:r>
      <w:r>
        <w:rPr/>
        <w:t>Services</w:t>
      </w:r>
      <w:r>
        <w:rPr>
          <w:spacing w:val="-6"/>
        </w:rPr>
        <w:t> </w:t>
      </w:r>
      <w:r>
        <w:rPr/>
        <w:t>and</w:t>
      </w:r>
      <w:r>
        <w:rPr>
          <w:spacing w:val="-5"/>
        </w:rPr>
        <w:t> </w:t>
      </w:r>
      <w:r>
        <w:rPr>
          <w:spacing w:val="-4"/>
        </w:rPr>
        <w:t>Costs</w:t>
      </w:r>
    </w:p>
    <w:p>
      <w:pPr>
        <w:pStyle w:val="BodyText"/>
        <w:spacing w:before="52"/>
        <w:ind w:left="120" w:right="166"/>
      </w:pPr>
      <w:r>
        <w:rPr/>
        <w:t>This</w:t>
      </w:r>
      <w:r>
        <w:rPr>
          <w:spacing w:val="-2"/>
        </w:rPr>
        <w:t> </w:t>
      </w:r>
      <w:r>
        <w:rPr/>
        <w:t>program</w:t>
      </w:r>
      <w:r>
        <w:rPr>
          <w:spacing w:val="-4"/>
        </w:rPr>
        <w:t> </w:t>
      </w:r>
      <w:r>
        <w:rPr/>
        <w:t>is</w:t>
      </w:r>
      <w:r>
        <w:rPr>
          <w:spacing w:val="-2"/>
        </w:rPr>
        <w:t> </w:t>
      </w:r>
      <w:r>
        <w:rPr/>
        <w:t>not</w:t>
      </w:r>
      <w:r>
        <w:rPr>
          <w:spacing w:val="-4"/>
        </w:rPr>
        <w:t> </w:t>
      </w:r>
      <w:r>
        <w:rPr/>
        <w:t>intended</w:t>
      </w:r>
      <w:r>
        <w:rPr>
          <w:spacing w:val="-3"/>
        </w:rPr>
        <w:t> </w:t>
      </w:r>
      <w:r>
        <w:rPr/>
        <w:t>to</w:t>
      </w:r>
      <w:r>
        <w:rPr>
          <w:spacing w:val="-5"/>
        </w:rPr>
        <w:t> </w:t>
      </w:r>
      <w:r>
        <w:rPr/>
        <w:t>remove</w:t>
      </w:r>
      <w:r>
        <w:rPr>
          <w:spacing w:val="-5"/>
        </w:rPr>
        <w:t> </w:t>
      </w:r>
      <w:r>
        <w:rPr/>
        <w:t>any</w:t>
      </w:r>
      <w:r>
        <w:rPr>
          <w:spacing w:val="-2"/>
        </w:rPr>
        <w:t> </w:t>
      </w:r>
      <w:r>
        <w:rPr/>
        <w:t>liens,</w:t>
      </w:r>
      <w:r>
        <w:rPr>
          <w:spacing w:val="-3"/>
        </w:rPr>
        <w:t> </w:t>
      </w:r>
      <w:r>
        <w:rPr/>
        <w:t>and</w:t>
      </w:r>
      <w:r>
        <w:rPr>
          <w:spacing w:val="-3"/>
        </w:rPr>
        <w:t> </w:t>
      </w:r>
      <w:r>
        <w:rPr/>
        <w:t>payment</w:t>
      </w:r>
      <w:r>
        <w:rPr>
          <w:spacing w:val="-4"/>
        </w:rPr>
        <w:t> </w:t>
      </w:r>
      <w:r>
        <w:rPr/>
        <w:t>of</w:t>
      </w:r>
      <w:r>
        <w:rPr>
          <w:spacing w:val="-1"/>
        </w:rPr>
        <w:t> </w:t>
      </w:r>
      <w:r>
        <w:rPr/>
        <w:t>liens</w:t>
      </w:r>
      <w:r>
        <w:rPr>
          <w:spacing w:val="-2"/>
        </w:rPr>
        <w:t> </w:t>
      </w:r>
      <w:r>
        <w:rPr/>
        <w:t>is</w:t>
      </w:r>
      <w:r>
        <w:rPr>
          <w:spacing w:val="-5"/>
        </w:rPr>
        <w:t> </w:t>
      </w:r>
      <w:r>
        <w:rPr/>
        <w:t>not</w:t>
      </w:r>
      <w:r>
        <w:rPr>
          <w:spacing w:val="-1"/>
        </w:rPr>
        <w:t> </w:t>
      </w:r>
      <w:r>
        <w:rPr/>
        <w:t>an</w:t>
      </w:r>
      <w:r>
        <w:rPr>
          <w:spacing w:val="-5"/>
        </w:rPr>
        <w:t> </w:t>
      </w:r>
      <w:r>
        <w:rPr/>
        <w:t>eligible </w:t>
      </w:r>
      <w:r>
        <w:rPr>
          <w:spacing w:val="-2"/>
        </w:rPr>
        <w:t>expense.</w:t>
      </w:r>
    </w:p>
    <w:p>
      <w:pPr>
        <w:spacing w:after="0"/>
        <w:sectPr>
          <w:pgSz w:w="12240" w:h="15840"/>
          <w:pgMar w:header="0" w:footer="1738" w:top="1360" w:bottom="1920" w:left="1320" w:right="1280"/>
        </w:sectPr>
      </w:pPr>
    </w:p>
    <w:p>
      <w:pPr>
        <w:pStyle w:val="Heading3"/>
      </w:pPr>
      <w:bookmarkStart w:name="Targeted Rehabilitation Program Pillars " w:id="32"/>
      <w:bookmarkEnd w:id="32"/>
      <w:r>
        <w:rPr/>
      </w:r>
      <w:bookmarkStart w:name="_bookmark8" w:id="33"/>
      <w:bookmarkEnd w:id="33"/>
      <w:r>
        <w:rPr/>
      </w:r>
      <w:r>
        <w:rPr>
          <w:color w:val="001F5F"/>
        </w:rPr>
        <w:t>Targeted</w:t>
      </w:r>
      <w:r>
        <w:rPr>
          <w:color w:val="001F5F"/>
          <w:spacing w:val="-13"/>
        </w:rPr>
        <w:t> </w:t>
      </w:r>
      <w:r>
        <w:rPr>
          <w:color w:val="001F5F"/>
        </w:rPr>
        <w:t>Rehabilitation</w:t>
      </w:r>
      <w:r>
        <w:rPr>
          <w:color w:val="001F5F"/>
          <w:spacing w:val="-12"/>
        </w:rPr>
        <w:t> </w:t>
      </w:r>
      <w:r>
        <w:rPr>
          <w:color w:val="001F5F"/>
        </w:rPr>
        <w:t>Program</w:t>
      </w:r>
      <w:r>
        <w:rPr>
          <w:color w:val="001F5F"/>
          <w:spacing w:val="-7"/>
        </w:rPr>
        <w:t> </w:t>
      </w:r>
      <w:r>
        <w:rPr>
          <w:color w:val="FF0000"/>
        </w:rPr>
        <w:t>Pillars</w:t>
      </w:r>
      <w:r>
        <w:rPr>
          <w:color w:val="FF0000"/>
          <w:spacing w:val="-11"/>
        </w:rPr>
        <w:t> </w:t>
      </w:r>
      <w:r>
        <w:rPr>
          <w:color w:val="FF0000"/>
        </w:rPr>
        <w:t>1,</w:t>
      </w:r>
      <w:r>
        <w:rPr>
          <w:color w:val="FF0000"/>
          <w:spacing w:val="-12"/>
        </w:rPr>
        <w:t> </w:t>
      </w:r>
      <w:r>
        <w:rPr>
          <w:color w:val="FF0000"/>
        </w:rPr>
        <w:t>3,</w:t>
      </w:r>
      <w:r>
        <w:rPr>
          <w:color w:val="FF0000"/>
          <w:spacing w:val="-12"/>
        </w:rPr>
        <w:t> </w:t>
      </w:r>
      <w:r>
        <w:rPr>
          <w:color w:val="FF0000"/>
          <w:spacing w:val="-10"/>
        </w:rPr>
        <w:t>6</w:t>
      </w:r>
    </w:p>
    <w:p>
      <w:pPr>
        <w:pStyle w:val="BodyText"/>
        <w:spacing w:before="28"/>
        <w:ind w:left="120"/>
      </w:pPr>
      <w:r>
        <w:rPr/>
        <w:t>Approved</w:t>
      </w:r>
      <w:r>
        <w:rPr>
          <w:spacing w:val="-8"/>
        </w:rPr>
        <w:t> </w:t>
      </w:r>
      <w:r>
        <w:rPr/>
        <w:t>August</w:t>
      </w:r>
      <w:r>
        <w:rPr>
          <w:spacing w:val="-4"/>
        </w:rPr>
        <w:t> </w:t>
      </w:r>
      <w:r>
        <w:rPr/>
        <w:t>26,</w:t>
      </w:r>
      <w:r>
        <w:rPr>
          <w:spacing w:val="-4"/>
        </w:rPr>
        <w:t> </w:t>
      </w:r>
      <w:r>
        <w:rPr/>
        <w:t>2020</w:t>
      </w:r>
      <w:r>
        <w:rPr>
          <w:spacing w:val="-6"/>
        </w:rPr>
        <w:t> </w:t>
      </w:r>
      <w:r>
        <w:rPr/>
        <w:t>by</w:t>
      </w:r>
      <w:r>
        <w:rPr>
          <w:spacing w:val="-4"/>
        </w:rPr>
        <w:t> </w:t>
      </w:r>
      <w:r>
        <w:rPr/>
        <w:t>Resolution</w:t>
      </w:r>
      <w:r>
        <w:rPr>
          <w:spacing w:val="-8"/>
        </w:rPr>
        <w:t> </w:t>
      </w:r>
      <w:r>
        <w:rPr/>
        <w:t>No.</w:t>
      </w:r>
      <w:r>
        <w:rPr>
          <w:spacing w:val="-6"/>
        </w:rPr>
        <w:t> </w:t>
      </w:r>
      <w:r>
        <w:rPr/>
        <w:t>20-</w:t>
      </w:r>
      <w:r>
        <w:rPr>
          <w:spacing w:val="-4"/>
        </w:rPr>
        <w:t>1220</w:t>
      </w:r>
    </w:p>
    <w:p>
      <w:pPr>
        <w:pStyle w:val="BodyText"/>
        <w:spacing w:line="252" w:lineRule="exact" w:before="1"/>
        <w:ind w:left="120"/>
      </w:pPr>
      <w:r>
        <w:rPr/>
        <w:t>Amended</w:t>
      </w:r>
      <w:r>
        <w:rPr>
          <w:spacing w:val="-7"/>
        </w:rPr>
        <w:t> </w:t>
      </w:r>
      <w:r>
        <w:rPr/>
        <w:t>on</w:t>
      </w:r>
      <w:r>
        <w:rPr>
          <w:spacing w:val="-7"/>
        </w:rPr>
        <w:t> </w:t>
      </w:r>
      <w:r>
        <w:rPr/>
        <w:t>September</w:t>
      </w:r>
      <w:r>
        <w:rPr>
          <w:spacing w:val="-8"/>
        </w:rPr>
        <w:t> </w:t>
      </w:r>
      <w:r>
        <w:rPr/>
        <w:t>9,</w:t>
      </w:r>
      <w:r>
        <w:rPr>
          <w:spacing w:val="-3"/>
        </w:rPr>
        <w:t> </w:t>
      </w:r>
      <w:r>
        <w:rPr/>
        <w:t>2021</w:t>
      </w:r>
      <w:r>
        <w:rPr>
          <w:spacing w:val="-7"/>
        </w:rPr>
        <w:t> </w:t>
      </w:r>
      <w:r>
        <w:rPr/>
        <w:t>by</w:t>
      </w:r>
      <w:r>
        <w:rPr>
          <w:spacing w:val="-4"/>
        </w:rPr>
        <w:t> </w:t>
      </w:r>
      <w:r>
        <w:rPr/>
        <w:t>Resolution</w:t>
      </w:r>
      <w:r>
        <w:rPr>
          <w:spacing w:val="-4"/>
        </w:rPr>
        <w:t> </w:t>
      </w:r>
      <w:r>
        <w:rPr/>
        <w:t>No.</w:t>
      </w:r>
      <w:r>
        <w:rPr>
          <w:spacing w:val="-3"/>
        </w:rPr>
        <w:t> </w:t>
      </w:r>
      <w:r>
        <w:rPr/>
        <w:t>21-</w:t>
      </w:r>
      <w:r>
        <w:rPr>
          <w:spacing w:val="-4"/>
        </w:rPr>
        <w:t>1260</w:t>
      </w:r>
    </w:p>
    <w:p>
      <w:pPr>
        <w:pStyle w:val="BodyText"/>
        <w:spacing w:line="252" w:lineRule="exact"/>
        <w:ind w:left="120"/>
      </w:pPr>
      <w:r>
        <w:rPr/>
        <w:t>Amended</w:t>
      </w:r>
      <w:r>
        <w:rPr>
          <w:spacing w:val="-6"/>
        </w:rPr>
        <w:t> </w:t>
      </w:r>
      <w:r>
        <w:rPr/>
        <w:t>on</w:t>
      </w:r>
      <w:r>
        <w:rPr>
          <w:spacing w:val="-6"/>
        </w:rPr>
        <w:t> </w:t>
      </w:r>
      <w:r>
        <w:rPr/>
        <w:t>December</w:t>
      </w:r>
      <w:r>
        <w:rPr>
          <w:spacing w:val="-6"/>
        </w:rPr>
        <w:t> </w:t>
      </w:r>
      <w:r>
        <w:rPr/>
        <w:t>14,</w:t>
      </w:r>
      <w:r>
        <w:rPr>
          <w:spacing w:val="-4"/>
        </w:rPr>
        <w:t> </w:t>
      </w:r>
      <w:r>
        <w:rPr/>
        <w:t>2022</w:t>
      </w:r>
      <w:r>
        <w:rPr>
          <w:spacing w:val="-6"/>
        </w:rPr>
        <w:t> </w:t>
      </w:r>
      <w:r>
        <w:rPr/>
        <w:t>by</w:t>
      </w:r>
      <w:r>
        <w:rPr>
          <w:spacing w:val="-4"/>
        </w:rPr>
        <w:t> </w:t>
      </w:r>
      <w:r>
        <w:rPr/>
        <w:t>Resolution</w:t>
      </w:r>
      <w:r>
        <w:rPr>
          <w:spacing w:val="-5"/>
        </w:rPr>
        <w:t> </w:t>
      </w:r>
      <w:r>
        <w:rPr/>
        <w:t>22-</w:t>
      </w:r>
      <w:r>
        <w:rPr>
          <w:spacing w:val="-4"/>
        </w:rPr>
        <w:t>1755</w:t>
      </w:r>
    </w:p>
    <w:p>
      <w:pPr>
        <w:pStyle w:val="BodyText"/>
      </w:pPr>
    </w:p>
    <w:p>
      <w:pPr>
        <w:pStyle w:val="BodyText"/>
        <w:ind w:left="120" w:right="160"/>
        <w:jc w:val="both"/>
      </w:pPr>
      <w:r>
        <w:rPr/>
        <w:pict>
          <v:shape style="position:absolute;margin-left:90.065002pt;margin-top:26.77939pt;width:395.3pt;height:419pt;mso-position-horizontal-relative:page;mso-position-vertical-relative:paragraph;z-index:-17723904" id="docshape46" coordorigin="1801,536" coordsize="7906,8380" path="m4498,7799l4492,7726,4477,7648,4455,7565,4432,7496,4403,7424,4367,7349,4325,7271,4276,7190,4237,7131,4200,7080,4200,7766,4197,7822,4186,7879,4167,7937,4138,7996,4097,8059,4044,8125,3979,8194,3674,8500,2216,7042,2517,6741,2598,6665,2672,6605,2740,6562,2801,6535,2868,6521,2941,6517,3020,6524,3105,6541,3195,6571,3255,6596,3317,6628,3380,6667,3446,6712,3514,6764,3584,6822,3656,6887,3729,6958,3789,7019,3845,7080,3896,7139,3943,7196,3986,7253,4025,7308,4059,7362,4101,7437,4136,7509,4163,7579,4183,7646,4196,7710,4200,7766,4200,7080,4194,7071,4148,7011,4098,6951,4045,6890,3989,6828,3929,6767,3865,6705,3801,6646,3737,6591,3673,6540,3643,6517,3609,6492,3546,6447,3482,6406,3419,6368,3346,6330,3274,6298,3203,6271,3132,6249,3062,6232,2992,6220,2923,6213,2850,6211,2779,6218,2709,6233,2642,6255,2577,6286,2528,6314,2476,6351,2420,6397,2359,6451,2294,6513,1801,7007,3710,8915,4124,8500,4226,8398,4287,8333,4341,8268,4386,8202,4424,8135,4454,8069,4476,8002,4491,7936,4498,7868,4498,7799xm6418,6206l6056,6079,5650,5936,5561,5907,5475,5883,5393,5864,5365,5858,5314,5849,5239,5839,5193,5837,5143,5840,5089,5848,5030,5858,5073,5789,5109,5719,5136,5650,5154,5581,5164,5512,5165,5444,5157,5377,5139,5299,5111,5222,5075,5148,5030,5075,4976,5004,4956,4982,4913,4936,4872,4898,4872,5455,4868,5511,4854,5565,4830,5622,4794,5680,4747,5741,4687,5805,4280,6212,3649,5581,4102,5128,4166,5071,4229,5027,4293,4998,4358,4983,4422,4982,4501,4997,4577,5027,4649,5071,4718,5131,4761,5178,4797,5229,4827,5283,4851,5339,4867,5398,4872,5455,4872,4898,4849,4876,4782,4824,4713,4778,4641,4740,4566,4708,4474,4679,4386,4666,4303,4668,4225,4684,4163,4709,4098,4746,4030,4794,3958,4854,3883,4925,3248,5559,5157,7468,5346,7278,4499,6431,4718,6212,4753,6178,4783,6150,4810,6129,4833,6115,4863,6101,4896,6090,4932,6083,4971,6079,5014,6079,5066,6084,5125,6094,5194,6110,5256,6128,5328,6149,5407,6174,5496,6203,6180,6444,6418,6206xm7780,4844l7415,4649,6555,4195,6555,4502,6070,4987,6030,4915,5989,4844,5748,4413,5708,4342,5668,4270,5629,4204,5590,4140,5550,4076,5509,4013,5467,3951,5424,3889,5380,3828,5436,3864,5498,3902,5564,3942,5635,3984,5792,4074,6555,4502,6555,4195,5862,3828,5286,3522,5082,3726,5277,4076,5316,4146,5701,4844,6207,5763,6441,6184,6642,5982,6565,5849,6298,5381,6221,5247,6481,4987,6820,4649,7173,4844,7565,5060,7780,4844xm8131,4493l7264,3627,7936,2955,7711,2729,7039,3401,6448,2810,7224,2034,6999,1809,6033,2775,7941,4683,8131,4493xm9707,2917l8024,1234,8497,761,8272,536,7138,1670,7363,1895,7834,1424,9517,3107,9707,2917xe" filled="true" fillcolor="#c0c0c0" stroked="false">
            <v:path arrowok="t"/>
            <v:fill opacity="32896f" type="solid"/>
            <w10:wrap type="none"/>
          </v:shape>
        </w:pict>
      </w:r>
      <w:r>
        <w:rPr/>
        <w:t>The Targeted Rehabilitation Program (TRP) is intended to preserve and improve residential properties</w:t>
      </w:r>
      <w:r>
        <w:rPr>
          <w:spacing w:val="-2"/>
        </w:rPr>
        <w:t> </w:t>
      </w:r>
      <w:r>
        <w:rPr/>
        <w:t>that</w:t>
      </w:r>
      <w:r>
        <w:rPr>
          <w:spacing w:val="-4"/>
        </w:rPr>
        <w:t> </w:t>
      </w:r>
      <w:r>
        <w:rPr/>
        <w:t>meet</w:t>
      </w:r>
      <w:r>
        <w:rPr>
          <w:spacing w:val="-1"/>
        </w:rPr>
        <w:t> </w:t>
      </w:r>
      <w:r>
        <w:rPr/>
        <w:t>qualifying criteria</w:t>
      </w:r>
      <w:r>
        <w:rPr>
          <w:spacing w:val="-3"/>
        </w:rPr>
        <w:t> </w:t>
      </w:r>
      <w:r>
        <w:rPr/>
        <w:t>focused</w:t>
      </w:r>
      <w:r>
        <w:rPr>
          <w:spacing w:val="-3"/>
        </w:rPr>
        <w:t> </w:t>
      </w:r>
      <w:r>
        <w:rPr/>
        <w:t>on</w:t>
      </w:r>
      <w:r>
        <w:rPr>
          <w:spacing w:val="-5"/>
        </w:rPr>
        <w:t> </w:t>
      </w:r>
      <w:r>
        <w:rPr/>
        <w:t>issues unique</w:t>
      </w:r>
      <w:r>
        <w:rPr>
          <w:spacing w:val="-3"/>
        </w:rPr>
        <w:t> </w:t>
      </w:r>
      <w:r>
        <w:rPr/>
        <w:t>to</w:t>
      </w:r>
      <w:r>
        <w:rPr>
          <w:spacing w:val="-5"/>
        </w:rPr>
        <w:t> </w:t>
      </w:r>
      <w:r>
        <w:rPr/>
        <w:t>the</w:t>
      </w:r>
      <w:r>
        <w:rPr>
          <w:spacing w:val="-3"/>
        </w:rPr>
        <w:t> </w:t>
      </w:r>
      <w:r>
        <w:rPr/>
        <w:t>place,</w:t>
      </w:r>
      <w:r>
        <w:rPr>
          <w:spacing w:val="-1"/>
        </w:rPr>
        <w:t> </w:t>
      </w:r>
      <w:r>
        <w:rPr/>
        <w:t>property</w:t>
      </w:r>
      <w:r>
        <w:rPr>
          <w:spacing w:val="-2"/>
        </w:rPr>
        <w:t> </w:t>
      </w:r>
      <w:r>
        <w:rPr/>
        <w:t>condition, owner, or other targeted element.</w:t>
      </w:r>
    </w:p>
    <w:p>
      <w:pPr>
        <w:pStyle w:val="BodyText"/>
        <w:spacing w:before="1"/>
      </w:pPr>
    </w:p>
    <w:p>
      <w:pPr>
        <w:pStyle w:val="BodyText"/>
        <w:ind w:left="120" w:right="155"/>
        <w:jc w:val="both"/>
      </w:pPr>
      <w:r>
        <w:rPr/>
        <w:t>The</w:t>
      </w:r>
      <w:r>
        <w:rPr>
          <w:spacing w:val="-6"/>
        </w:rPr>
        <w:t> </w:t>
      </w:r>
      <w:r>
        <w:rPr/>
        <w:t>TRP</w:t>
      </w:r>
      <w:r>
        <w:rPr>
          <w:spacing w:val="-7"/>
        </w:rPr>
        <w:t> </w:t>
      </w:r>
      <w:r>
        <w:rPr/>
        <w:t>is</w:t>
      </w:r>
      <w:r>
        <w:rPr>
          <w:spacing w:val="-8"/>
        </w:rPr>
        <w:t> </w:t>
      </w:r>
      <w:r>
        <w:rPr/>
        <w:t>designed</w:t>
      </w:r>
      <w:r>
        <w:rPr>
          <w:spacing w:val="-9"/>
        </w:rPr>
        <w:t> </w:t>
      </w:r>
      <w:r>
        <w:rPr/>
        <w:t>to</w:t>
      </w:r>
      <w:r>
        <w:rPr>
          <w:spacing w:val="-9"/>
        </w:rPr>
        <w:t> </w:t>
      </w:r>
      <w:r>
        <w:rPr/>
        <w:t>be</w:t>
      </w:r>
      <w:r>
        <w:rPr>
          <w:spacing w:val="-6"/>
        </w:rPr>
        <w:t> </w:t>
      </w:r>
      <w:r>
        <w:rPr/>
        <w:t>a</w:t>
      </w:r>
      <w:r>
        <w:rPr>
          <w:spacing w:val="-9"/>
        </w:rPr>
        <w:t> </w:t>
      </w:r>
      <w:r>
        <w:rPr/>
        <w:t>common</w:t>
      </w:r>
      <w:r>
        <w:rPr>
          <w:spacing w:val="-9"/>
        </w:rPr>
        <w:t> </w:t>
      </w:r>
      <w:r>
        <w:rPr/>
        <w:t>framework</w:t>
      </w:r>
      <w:r>
        <w:rPr>
          <w:spacing w:val="-8"/>
        </w:rPr>
        <w:t> </w:t>
      </w:r>
      <w:r>
        <w:rPr/>
        <w:t>for</w:t>
      </w:r>
      <w:r>
        <w:rPr>
          <w:spacing w:val="-8"/>
        </w:rPr>
        <w:t> </w:t>
      </w:r>
      <w:r>
        <w:rPr/>
        <w:t>the</w:t>
      </w:r>
      <w:r>
        <w:rPr>
          <w:spacing w:val="-9"/>
        </w:rPr>
        <w:t> </w:t>
      </w:r>
      <w:r>
        <w:rPr/>
        <w:t>creation</w:t>
      </w:r>
      <w:r>
        <w:rPr>
          <w:spacing w:val="-6"/>
        </w:rPr>
        <w:t> </w:t>
      </w:r>
      <w:r>
        <w:rPr/>
        <w:t>by</w:t>
      </w:r>
      <w:r>
        <w:rPr>
          <w:spacing w:val="-8"/>
        </w:rPr>
        <w:t> </w:t>
      </w:r>
      <w:r>
        <w:rPr/>
        <w:t>Council</w:t>
      </w:r>
      <w:r>
        <w:rPr>
          <w:spacing w:val="-7"/>
        </w:rPr>
        <w:t> </w:t>
      </w:r>
      <w:r>
        <w:rPr/>
        <w:t>of</w:t>
      </w:r>
      <w:r>
        <w:rPr>
          <w:spacing w:val="-7"/>
        </w:rPr>
        <w:t> </w:t>
      </w:r>
      <w:r>
        <w:rPr/>
        <w:t>multiple</w:t>
      </w:r>
      <w:r>
        <w:rPr>
          <w:spacing w:val="-6"/>
        </w:rPr>
        <w:t> </w:t>
      </w:r>
      <w:r>
        <w:rPr/>
        <w:t>TRP</w:t>
      </w:r>
      <w:r>
        <w:rPr>
          <w:spacing w:val="-7"/>
        </w:rPr>
        <w:t> </w:t>
      </w:r>
      <w:r>
        <w:rPr/>
        <w:t>sub- program modules (“Sub-Program Module”). Each Sub-Program Module includes additional criteria based</w:t>
      </w:r>
      <w:r>
        <w:rPr>
          <w:spacing w:val="-2"/>
        </w:rPr>
        <w:t> </w:t>
      </w:r>
      <w:r>
        <w:rPr/>
        <w:t>on funding</w:t>
      </w:r>
      <w:r>
        <w:rPr>
          <w:spacing w:val="-2"/>
        </w:rPr>
        <w:t> </w:t>
      </w:r>
      <w:r>
        <w:rPr/>
        <w:t>constraints, program design or other factors deemed necessary</w:t>
      </w:r>
      <w:r>
        <w:rPr>
          <w:spacing w:val="-1"/>
        </w:rPr>
        <w:t> </w:t>
      </w:r>
      <w:r>
        <w:rPr/>
        <w:t>to</w:t>
      </w:r>
      <w:r>
        <w:rPr>
          <w:spacing w:val="-2"/>
        </w:rPr>
        <w:t> </w:t>
      </w:r>
      <w:r>
        <w:rPr/>
        <w:t>that module’s</w:t>
      </w:r>
      <w:r>
        <w:rPr>
          <w:spacing w:val="-16"/>
        </w:rPr>
        <w:t> </w:t>
      </w:r>
      <w:r>
        <w:rPr/>
        <w:t>implementation</w:t>
      </w:r>
      <w:r>
        <w:rPr>
          <w:spacing w:val="-15"/>
        </w:rPr>
        <w:t> </w:t>
      </w:r>
      <w:r>
        <w:rPr/>
        <w:t>and</w:t>
      </w:r>
      <w:r>
        <w:rPr>
          <w:spacing w:val="-14"/>
        </w:rPr>
        <w:t> </w:t>
      </w:r>
      <w:r>
        <w:rPr/>
        <w:t>success.</w:t>
      </w:r>
      <w:r>
        <w:rPr>
          <w:spacing w:val="-15"/>
        </w:rPr>
        <w:t> </w:t>
      </w:r>
      <w:r>
        <w:rPr/>
        <w:t>In</w:t>
      </w:r>
      <w:r>
        <w:rPr>
          <w:spacing w:val="-16"/>
        </w:rPr>
        <w:t> </w:t>
      </w:r>
      <w:r>
        <w:rPr/>
        <w:t>addition,</w:t>
      </w:r>
      <w:r>
        <w:rPr>
          <w:spacing w:val="-15"/>
        </w:rPr>
        <w:t> </w:t>
      </w:r>
      <w:r>
        <w:rPr/>
        <w:t>all</w:t>
      </w:r>
      <w:r>
        <w:rPr>
          <w:spacing w:val="-14"/>
        </w:rPr>
        <w:t> </w:t>
      </w:r>
      <w:r>
        <w:rPr/>
        <w:t>rehabilitation</w:t>
      </w:r>
      <w:r>
        <w:rPr>
          <w:spacing w:val="-14"/>
        </w:rPr>
        <w:t> </w:t>
      </w:r>
      <w:r>
        <w:rPr/>
        <w:t>work</w:t>
      </w:r>
      <w:r>
        <w:rPr>
          <w:spacing w:val="-16"/>
        </w:rPr>
        <w:t> </w:t>
      </w:r>
      <w:r>
        <w:rPr/>
        <w:t>on</w:t>
      </w:r>
      <w:r>
        <w:rPr>
          <w:spacing w:val="-15"/>
        </w:rPr>
        <w:t> </w:t>
      </w:r>
      <w:r>
        <w:rPr/>
        <w:t>housing</w:t>
      </w:r>
      <w:r>
        <w:rPr>
          <w:spacing w:val="-14"/>
        </w:rPr>
        <w:t> </w:t>
      </w:r>
      <w:r>
        <w:rPr/>
        <w:t>units</w:t>
      </w:r>
      <w:r>
        <w:rPr>
          <w:spacing w:val="-16"/>
        </w:rPr>
        <w:t> </w:t>
      </w:r>
      <w:r>
        <w:rPr/>
        <w:t>through a Sub-Program Module must meet all applicable City of Dallas Building Codes and standards.</w:t>
      </w:r>
    </w:p>
    <w:p>
      <w:pPr>
        <w:pStyle w:val="BodyText"/>
        <w:spacing w:before="10"/>
        <w:rPr>
          <w:sz w:val="21"/>
        </w:rPr>
      </w:pPr>
    </w:p>
    <w:p>
      <w:pPr>
        <w:pStyle w:val="BodyText"/>
        <w:ind w:left="120"/>
      </w:pPr>
      <w:r>
        <w:rPr/>
        <w:t>Each</w:t>
      </w:r>
      <w:r>
        <w:rPr>
          <w:spacing w:val="-7"/>
        </w:rPr>
        <w:t> </w:t>
      </w:r>
      <w:r>
        <w:rPr/>
        <w:t>Sub-Program</w:t>
      </w:r>
      <w:r>
        <w:rPr>
          <w:spacing w:val="-8"/>
        </w:rPr>
        <w:t> </w:t>
      </w:r>
      <w:r>
        <w:rPr/>
        <w:t>Module</w:t>
      </w:r>
      <w:r>
        <w:rPr>
          <w:spacing w:val="-3"/>
        </w:rPr>
        <w:t> </w:t>
      </w:r>
      <w:r>
        <w:rPr/>
        <w:t>may</w:t>
      </w:r>
      <w:r>
        <w:rPr>
          <w:spacing w:val="-7"/>
        </w:rPr>
        <w:t> </w:t>
      </w:r>
      <w:r>
        <w:rPr/>
        <w:t>address</w:t>
      </w:r>
      <w:r>
        <w:rPr>
          <w:spacing w:val="-6"/>
        </w:rPr>
        <w:t> </w:t>
      </w:r>
      <w:r>
        <w:rPr/>
        <w:t>the</w:t>
      </w:r>
      <w:r>
        <w:rPr>
          <w:spacing w:val="-9"/>
        </w:rPr>
        <w:t> </w:t>
      </w:r>
      <w:r>
        <w:rPr/>
        <w:t>following</w:t>
      </w:r>
      <w:r>
        <w:rPr>
          <w:spacing w:val="-4"/>
        </w:rPr>
        <w:t> </w:t>
      </w:r>
      <w:r>
        <w:rPr/>
        <w:t>common</w:t>
      </w:r>
      <w:r>
        <w:rPr>
          <w:spacing w:val="-8"/>
        </w:rPr>
        <w:t> </w:t>
      </w:r>
      <w:r>
        <w:rPr>
          <w:spacing w:val="-2"/>
        </w:rPr>
        <w:t>framework:</w:t>
      </w:r>
    </w:p>
    <w:p>
      <w:pPr>
        <w:pStyle w:val="ListParagraph"/>
        <w:numPr>
          <w:ilvl w:val="1"/>
          <w:numId w:val="11"/>
        </w:numPr>
        <w:tabs>
          <w:tab w:pos="840" w:val="left" w:leader="none"/>
          <w:tab w:pos="841" w:val="left" w:leader="none"/>
        </w:tabs>
        <w:spacing w:line="269" w:lineRule="exact" w:before="1" w:after="0"/>
        <w:ind w:left="840" w:right="0" w:hanging="361"/>
        <w:jc w:val="left"/>
        <w:rPr>
          <w:sz w:val="22"/>
        </w:rPr>
      </w:pPr>
      <w:r>
        <w:rPr>
          <w:sz w:val="22"/>
        </w:rPr>
        <w:t>Need</w:t>
      </w:r>
      <w:r>
        <w:rPr>
          <w:spacing w:val="-4"/>
          <w:sz w:val="22"/>
        </w:rPr>
        <w:t> </w:t>
      </w:r>
      <w:r>
        <w:rPr>
          <w:sz w:val="22"/>
        </w:rPr>
        <w:t>or</w:t>
      </w:r>
      <w:r>
        <w:rPr>
          <w:spacing w:val="-4"/>
          <w:sz w:val="22"/>
        </w:rPr>
        <w:t> </w:t>
      </w:r>
      <w:r>
        <w:rPr>
          <w:sz w:val="22"/>
        </w:rPr>
        <w:t>targeted</w:t>
      </w:r>
      <w:r>
        <w:rPr>
          <w:spacing w:val="-4"/>
          <w:sz w:val="22"/>
        </w:rPr>
        <w:t> </w:t>
      </w:r>
      <w:r>
        <w:rPr>
          <w:spacing w:val="-2"/>
          <w:sz w:val="22"/>
        </w:rPr>
        <w:t>issue</w:t>
      </w:r>
    </w:p>
    <w:p>
      <w:pPr>
        <w:pStyle w:val="ListParagraph"/>
        <w:numPr>
          <w:ilvl w:val="1"/>
          <w:numId w:val="11"/>
        </w:numPr>
        <w:tabs>
          <w:tab w:pos="840" w:val="left" w:leader="none"/>
          <w:tab w:pos="841" w:val="left" w:leader="none"/>
        </w:tabs>
        <w:spacing w:line="268" w:lineRule="exact" w:before="0" w:after="0"/>
        <w:ind w:left="840" w:right="0" w:hanging="361"/>
        <w:jc w:val="left"/>
        <w:rPr>
          <w:sz w:val="22"/>
        </w:rPr>
      </w:pPr>
      <w:r>
        <w:rPr>
          <w:spacing w:val="-2"/>
          <w:sz w:val="22"/>
        </w:rPr>
        <w:t>Outreach</w:t>
      </w:r>
    </w:p>
    <w:p>
      <w:pPr>
        <w:pStyle w:val="ListParagraph"/>
        <w:numPr>
          <w:ilvl w:val="1"/>
          <w:numId w:val="11"/>
        </w:numPr>
        <w:tabs>
          <w:tab w:pos="840" w:val="left" w:leader="none"/>
          <w:tab w:pos="841" w:val="left" w:leader="none"/>
        </w:tabs>
        <w:spacing w:line="268" w:lineRule="exact" w:before="0" w:after="0"/>
        <w:ind w:left="840" w:right="0" w:hanging="361"/>
        <w:jc w:val="left"/>
        <w:rPr>
          <w:sz w:val="22"/>
        </w:rPr>
      </w:pPr>
      <w:r>
        <w:rPr>
          <w:sz w:val="22"/>
        </w:rPr>
        <w:t>Funding</w:t>
      </w:r>
      <w:r>
        <w:rPr>
          <w:spacing w:val="-6"/>
          <w:sz w:val="22"/>
        </w:rPr>
        <w:t> </w:t>
      </w:r>
      <w:r>
        <w:rPr>
          <w:spacing w:val="-2"/>
          <w:sz w:val="22"/>
        </w:rPr>
        <w:t>source</w:t>
      </w:r>
    </w:p>
    <w:p>
      <w:pPr>
        <w:pStyle w:val="ListParagraph"/>
        <w:numPr>
          <w:ilvl w:val="1"/>
          <w:numId w:val="11"/>
        </w:numPr>
        <w:tabs>
          <w:tab w:pos="840" w:val="left" w:leader="none"/>
          <w:tab w:pos="841" w:val="left" w:leader="none"/>
        </w:tabs>
        <w:spacing w:line="268" w:lineRule="exact" w:before="0" w:after="0"/>
        <w:ind w:left="840" w:right="0" w:hanging="361"/>
        <w:jc w:val="left"/>
        <w:rPr>
          <w:sz w:val="22"/>
        </w:rPr>
      </w:pPr>
      <w:r>
        <w:rPr>
          <w:sz w:val="22"/>
        </w:rPr>
        <w:t>Eligibility</w:t>
      </w:r>
      <w:r>
        <w:rPr>
          <w:spacing w:val="-11"/>
          <w:sz w:val="22"/>
        </w:rPr>
        <w:t> </w:t>
      </w:r>
      <w:r>
        <w:rPr>
          <w:spacing w:val="-2"/>
          <w:sz w:val="22"/>
        </w:rPr>
        <w:t>requirements</w:t>
      </w:r>
    </w:p>
    <w:p>
      <w:pPr>
        <w:pStyle w:val="ListParagraph"/>
        <w:numPr>
          <w:ilvl w:val="1"/>
          <w:numId w:val="11"/>
        </w:numPr>
        <w:tabs>
          <w:tab w:pos="840" w:val="left" w:leader="none"/>
          <w:tab w:pos="841" w:val="left" w:leader="none"/>
        </w:tabs>
        <w:spacing w:line="268" w:lineRule="exact" w:before="0" w:after="0"/>
        <w:ind w:left="840" w:right="0" w:hanging="361"/>
        <w:jc w:val="left"/>
        <w:rPr>
          <w:sz w:val="22"/>
        </w:rPr>
      </w:pPr>
      <w:r>
        <w:rPr>
          <w:sz w:val="22"/>
        </w:rPr>
        <w:t>Eligible</w:t>
      </w:r>
      <w:r>
        <w:rPr>
          <w:spacing w:val="-10"/>
          <w:sz w:val="22"/>
        </w:rPr>
        <w:t> </w:t>
      </w:r>
      <w:r>
        <w:rPr>
          <w:spacing w:val="-2"/>
          <w:sz w:val="22"/>
        </w:rPr>
        <w:t>repairs</w:t>
      </w:r>
    </w:p>
    <w:p>
      <w:pPr>
        <w:pStyle w:val="ListParagraph"/>
        <w:numPr>
          <w:ilvl w:val="1"/>
          <w:numId w:val="11"/>
        </w:numPr>
        <w:tabs>
          <w:tab w:pos="840" w:val="left" w:leader="none"/>
          <w:tab w:pos="841" w:val="left" w:leader="none"/>
        </w:tabs>
        <w:spacing w:line="269" w:lineRule="exact" w:before="0" w:after="0"/>
        <w:ind w:left="840" w:right="0" w:hanging="361"/>
        <w:jc w:val="left"/>
        <w:rPr>
          <w:sz w:val="22"/>
        </w:rPr>
      </w:pPr>
      <w:r>
        <w:rPr>
          <w:sz w:val="22"/>
        </w:rPr>
        <w:t>Assistance</w:t>
      </w:r>
      <w:r>
        <w:rPr>
          <w:spacing w:val="-7"/>
          <w:sz w:val="22"/>
        </w:rPr>
        <w:t> </w:t>
      </w:r>
      <w:r>
        <w:rPr>
          <w:spacing w:val="-2"/>
          <w:sz w:val="22"/>
        </w:rPr>
        <w:t>terms</w:t>
      </w:r>
    </w:p>
    <w:p>
      <w:pPr>
        <w:pStyle w:val="ListParagraph"/>
        <w:numPr>
          <w:ilvl w:val="1"/>
          <w:numId w:val="11"/>
        </w:numPr>
        <w:tabs>
          <w:tab w:pos="841" w:val="left" w:leader="none"/>
          <w:tab w:pos="842" w:val="left" w:leader="none"/>
        </w:tabs>
        <w:spacing w:line="269" w:lineRule="exact" w:before="0" w:after="0"/>
        <w:ind w:left="841" w:right="0" w:hanging="361"/>
        <w:jc w:val="left"/>
        <w:rPr>
          <w:sz w:val="22"/>
        </w:rPr>
      </w:pPr>
      <w:r>
        <w:rPr>
          <w:spacing w:val="-2"/>
          <w:sz w:val="22"/>
        </w:rPr>
        <w:t>Goals</w:t>
      </w:r>
    </w:p>
    <w:p>
      <w:pPr>
        <w:pStyle w:val="BodyText"/>
        <w:spacing w:before="8"/>
        <w:rPr>
          <w:sz w:val="21"/>
        </w:rPr>
      </w:pPr>
    </w:p>
    <w:p>
      <w:pPr>
        <w:pStyle w:val="BodyText"/>
        <w:ind w:left="121" w:right="155"/>
        <w:jc w:val="both"/>
      </w:pPr>
      <w:r>
        <w:rPr/>
        <w:t>The TRP is intended to serve all households eligible for support in the CHP. Each Sub-Program Module will identify qualifying factors based on the targeted issue. Additional factors, such as whether financial assistance is a grant or forgivable loan, affordability period terms, deed restriction and/or deed of trust requirements will vary. These additional factors are determined based on the public purpose for the Sub-Program Module and any funding requirements, community feedback, or laws or policies that govern the use of funds.</w:t>
      </w:r>
    </w:p>
    <w:p>
      <w:pPr>
        <w:pStyle w:val="BodyText"/>
        <w:spacing w:before="4"/>
        <w:rPr>
          <w:sz w:val="26"/>
        </w:rPr>
      </w:pPr>
    </w:p>
    <w:p>
      <w:pPr>
        <w:pStyle w:val="Heading5"/>
        <w:ind w:left="121"/>
      </w:pPr>
      <w:r>
        <w:rPr/>
        <w:t>Need</w:t>
      </w:r>
      <w:r>
        <w:rPr>
          <w:spacing w:val="-4"/>
        </w:rPr>
        <w:t> </w:t>
      </w:r>
      <w:r>
        <w:rPr/>
        <w:t>or</w:t>
      </w:r>
      <w:r>
        <w:rPr>
          <w:spacing w:val="-4"/>
        </w:rPr>
        <w:t> </w:t>
      </w:r>
      <w:r>
        <w:rPr/>
        <w:t>Targeted</w:t>
      </w:r>
      <w:r>
        <w:rPr>
          <w:spacing w:val="-5"/>
        </w:rPr>
        <w:t> </w:t>
      </w:r>
      <w:r>
        <w:rPr>
          <w:spacing w:val="-4"/>
        </w:rPr>
        <w:t>Issue</w:t>
      </w:r>
    </w:p>
    <w:p>
      <w:pPr>
        <w:pStyle w:val="BodyText"/>
        <w:spacing w:before="50"/>
        <w:ind w:left="121" w:right="155"/>
        <w:jc w:val="both"/>
      </w:pPr>
      <w:r>
        <w:rPr/>
        <w:t>Each</w:t>
      </w:r>
      <w:r>
        <w:rPr>
          <w:spacing w:val="-13"/>
        </w:rPr>
        <w:t> </w:t>
      </w:r>
      <w:r>
        <w:rPr/>
        <w:t>Sub-Program</w:t>
      </w:r>
      <w:r>
        <w:rPr>
          <w:spacing w:val="-15"/>
        </w:rPr>
        <w:t> </w:t>
      </w:r>
      <w:r>
        <w:rPr/>
        <w:t>Module</w:t>
      </w:r>
      <w:r>
        <w:rPr>
          <w:spacing w:val="-13"/>
        </w:rPr>
        <w:t> </w:t>
      </w:r>
      <w:r>
        <w:rPr/>
        <w:t>will</w:t>
      </w:r>
      <w:r>
        <w:rPr>
          <w:spacing w:val="-14"/>
        </w:rPr>
        <w:t> </w:t>
      </w:r>
      <w:r>
        <w:rPr/>
        <w:t>establish</w:t>
      </w:r>
      <w:r>
        <w:rPr>
          <w:spacing w:val="-14"/>
        </w:rPr>
        <w:t> </w:t>
      </w:r>
      <w:r>
        <w:rPr/>
        <w:t>a</w:t>
      </w:r>
      <w:r>
        <w:rPr>
          <w:spacing w:val="-14"/>
        </w:rPr>
        <w:t> </w:t>
      </w:r>
      <w:r>
        <w:rPr/>
        <w:t>clear</w:t>
      </w:r>
      <w:r>
        <w:rPr>
          <w:spacing w:val="-12"/>
        </w:rPr>
        <w:t> </w:t>
      </w:r>
      <w:r>
        <w:rPr/>
        <w:t>statement</w:t>
      </w:r>
      <w:r>
        <w:rPr>
          <w:spacing w:val="-15"/>
        </w:rPr>
        <w:t> </w:t>
      </w:r>
      <w:r>
        <w:rPr/>
        <w:t>that</w:t>
      </w:r>
      <w:r>
        <w:rPr>
          <w:spacing w:val="-15"/>
        </w:rPr>
        <w:t> </w:t>
      </w:r>
      <w:r>
        <w:rPr/>
        <w:t>reflects</w:t>
      </w:r>
      <w:r>
        <w:rPr>
          <w:spacing w:val="-16"/>
        </w:rPr>
        <w:t> </w:t>
      </w:r>
      <w:r>
        <w:rPr/>
        <w:t>the</w:t>
      </w:r>
      <w:r>
        <w:rPr>
          <w:spacing w:val="-15"/>
        </w:rPr>
        <w:t> </w:t>
      </w:r>
      <w:r>
        <w:rPr/>
        <w:t>targeted</w:t>
      </w:r>
      <w:r>
        <w:rPr>
          <w:spacing w:val="-14"/>
        </w:rPr>
        <w:t> </w:t>
      </w:r>
      <w:r>
        <w:rPr/>
        <w:t>issue</w:t>
      </w:r>
      <w:r>
        <w:rPr>
          <w:spacing w:val="-14"/>
        </w:rPr>
        <w:t> </w:t>
      </w:r>
      <w:r>
        <w:rPr/>
        <w:t>or</w:t>
      </w:r>
      <w:r>
        <w:rPr>
          <w:spacing w:val="-12"/>
        </w:rPr>
        <w:t> </w:t>
      </w:r>
      <w:r>
        <w:rPr/>
        <w:t>need addressed and that guides all module design, including eligibility requirements and funding sources. Sub-Program Modules will be designed to address needs left unmet by other housing programs. All Sub-Program Modules must be approved by City Council.</w:t>
      </w:r>
    </w:p>
    <w:p>
      <w:pPr>
        <w:pStyle w:val="BodyText"/>
        <w:spacing w:before="2"/>
      </w:pPr>
    </w:p>
    <w:p>
      <w:pPr>
        <w:pStyle w:val="Heading5"/>
        <w:ind w:left="121"/>
        <w:jc w:val="left"/>
      </w:pPr>
      <w:r>
        <w:rPr>
          <w:spacing w:val="-2"/>
        </w:rPr>
        <w:t>Outreach</w:t>
      </w:r>
    </w:p>
    <w:p>
      <w:pPr>
        <w:pStyle w:val="BodyText"/>
        <w:spacing w:before="49"/>
        <w:ind w:left="121" w:right="155"/>
        <w:jc w:val="both"/>
      </w:pPr>
      <w:r>
        <w:rPr/>
        <w:t>The</w:t>
      </w:r>
      <w:r>
        <w:rPr>
          <w:spacing w:val="-5"/>
        </w:rPr>
        <w:t> </w:t>
      </w:r>
      <w:r>
        <w:rPr/>
        <w:t>TRP</w:t>
      </w:r>
      <w:r>
        <w:rPr>
          <w:spacing w:val="-8"/>
        </w:rPr>
        <w:t> </w:t>
      </w:r>
      <w:r>
        <w:rPr/>
        <w:t>focuses</w:t>
      </w:r>
      <w:r>
        <w:rPr>
          <w:spacing w:val="-5"/>
        </w:rPr>
        <w:t> </w:t>
      </w:r>
      <w:r>
        <w:rPr/>
        <w:t>on</w:t>
      </w:r>
      <w:r>
        <w:rPr>
          <w:spacing w:val="-8"/>
        </w:rPr>
        <w:t> </w:t>
      </w:r>
      <w:r>
        <w:rPr/>
        <w:t>specific</w:t>
      </w:r>
      <w:r>
        <w:rPr>
          <w:spacing w:val="-5"/>
        </w:rPr>
        <w:t> </w:t>
      </w:r>
      <w:r>
        <w:rPr/>
        <w:t>issues</w:t>
      </w:r>
      <w:r>
        <w:rPr>
          <w:spacing w:val="-9"/>
        </w:rPr>
        <w:t> </w:t>
      </w:r>
      <w:r>
        <w:rPr/>
        <w:t>residents</w:t>
      </w:r>
      <w:r>
        <w:rPr>
          <w:spacing w:val="-9"/>
        </w:rPr>
        <w:t> </w:t>
      </w:r>
      <w:r>
        <w:rPr/>
        <w:t>face.</w:t>
      </w:r>
      <w:r>
        <w:rPr>
          <w:spacing w:val="-4"/>
        </w:rPr>
        <w:t> </w:t>
      </w:r>
      <w:r>
        <w:rPr/>
        <w:t>Therefore,</w:t>
      </w:r>
      <w:r>
        <w:rPr>
          <w:spacing w:val="-6"/>
        </w:rPr>
        <w:t> </w:t>
      </w:r>
      <w:r>
        <w:rPr/>
        <w:t>the</w:t>
      </w:r>
      <w:r>
        <w:rPr>
          <w:spacing w:val="-7"/>
        </w:rPr>
        <w:t> </w:t>
      </w:r>
      <w:r>
        <w:rPr/>
        <w:t>process</w:t>
      </w:r>
      <w:r>
        <w:rPr>
          <w:spacing w:val="-7"/>
        </w:rPr>
        <w:t> </w:t>
      </w:r>
      <w:r>
        <w:rPr/>
        <w:t>for</w:t>
      </w:r>
      <w:r>
        <w:rPr>
          <w:spacing w:val="-6"/>
        </w:rPr>
        <w:t> </w:t>
      </w:r>
      <w:r>
        <w:rPr/>
        <w:t>new</w:t>
      </w:r>
      <w:r>
        <w:rPr>
          <w:spacing w:val="-8"/>
        </w:rPr>
        <w:t> </w:t>
      </w:r>
      <w:r>
        <w:rPr/>
        <w:t>Sub-Program Module development includes robust resident outreach and community and stakeholder engagement.</w:t>
      </w:r>
      <w:r>
        <w:rPr>
          <w:spacing w:val="-14"/>
        </w:rPr>
        <w:t> </w:t>
      </w:r>
      <w:r>
        <w:rPr/>
        <w:t>When</w:t>
      </w:r>
      <w:r>
        <w:rPr>
          <w:spacing w:val="-13"/>
        </w:rPr>
        <w:t> </w:t>
      </w:r>
      <w:r>
        <w:rPr/>
        <w:t>applicable,</w:t>
      </w:r>
      <w:r>
        <w:rPr>
          <w:spacing w:val="-12"/>
        </w:rPr>
        <w:t> </w:t>
      </w:r>
      <w:r>
        <w:rPr/>
        <w:t>housing</w:t>
      </w:r>
      <w:r>
        <w:rPr>
          <w:spacing w:val="-13"/>
        </w:rPr>
        <w:t> </w:t>
      </w:r>
      <w:r>
        <w:rPr/>
        <w:t>staff</w:t>
      </w:r>
      <w:r>
        <w:rPr>
          <w:spacing w:val="-14"/>
        </w:rPr>
        <w:t> </w:t>
      </w:r>
      <w:r>
        <w:rPr/>
        <w:t>should</w:t>
      </w:r>
      <w:r>
        <w:rPr>
          <w:spacing w:val="-13"/>
        </w:rPr>
        <w:t> </w:t>
      </w:r>
      <w:r>
        <w:rPr/>
        <w:t>work</w:t>
      </w:r>
      <w:r>
        <w:rPr>
          <w:spacing w:val="-15"/>
        </w:rPr>
        <w:t> </w:t>
      </w:r>
      <w:r>
        <w:rPr/>
        <w:t>with</w:t>
      </w:r>
      <w:r>
        <w:rPr>
          <w:spacing w:val="-13"/>
        </w:rPr>
        <w:t> </w:t>
      </w:r>
      <w:r>
        <w:rPr/>
        <w:t>other</w:t>
      </w:r>
      <w:r>
        <w:rPr>
          <w:spacing w:val="-14"/>
        </w:rPr>
        <w:t> </w:t>
      </w:r>
      <w:r>
        <w:rPr/>
        <w:t>departments</w:t>
      </w:r>
      <w:r>
        <w:rPr>
          <w:spacing w:val="-15"/>
        </w:rPr>
        <w:t> </w:t>
      </w:r>
      <w:r>
        <w:rPr/>
        <w:t>also</w:t>
      </w:r>
      <w:r>
        <w:rPr>
          <w:spacing w:val="-13"/>
        </w:rPr>
        <w:t> </w:t>
      </w:r>
      <w:r>
        <w:rPr/>
        <w:t>conducting community</w:t>
      </w:r>
      <w:r>
        <w:rPr>
          <w:spacing w:val="-4"/>
        </w:rPr>
        <w:t> </w:t>
      </w:r>
      <w:r>
        <w:rPr/>
        <w:t>outreach</w:t>
      </w:r>
      <w:r>
        <w:rPr>
          <w:spacing w:val="-4"/>
        </w:rPr>
        <w:t> </w:t>
      </w:r>
      <w:r>
        <w:rPr/>
        <w:t>in</w:t>
      </w:r>
      <w:r>
        <w:rPr>
          <w:spacing w:val="-4"/>
        </w:rPr>
        <w:t> </w:t>
      </w:r>
      <w:r>
        <w:rPr/>
        <w:t>an</w:t>
      </w:r>
      <w:r>
        <w:rPr>
          <w:spacing w:val="-4"/>
        </w:rPr>
        <w:t> </w:t>
      </w:r>
      <w:r>
        <w:rPr/>
        <w:t>area</w:t>
      </w:r>
      <w:r>
        <w:rPr>
          <w:spacing w:val="-4"/>
        </w:rPr>
        <w:t> </w:t>
      </w:r>
      <w:r>
        <w:rPr/>
        <w:t>or</w:t>
      </w:r>
      <w:r>
        <w:rPr>
          <w:spacing w:val="-3"/>
        </w:rPr>
        <w:t> </w:t>
      </w:r>
      <w:r>
        <w:rPr/>
        <w:t>on</w:t>
      </w:r>
      <w:r>
        <w:rPr>
          <w:spacing w:val="-4"/>
        </w:rPr>
        <w:t> </w:t>
      </w:r>
      <w:r>
        <w:rPr/>
        <w:t>a</w:t>
      </w:r>
      <w:r>
        <w:rPr>
          <w:spacing w:val="-4"/>
        </w:rPr>
        <w:t> </w:t>
      </w:r>
      <w:r>
        <w:rPr/>
        <w:t>particular</w:t>
      </w:r>
      <w:r>
        <w:rPr>
          <w:spacing w:val="-3"/>
        </w:rPr>
        <w:t> </w:t>
      </w:r>
      <w:r>
        <w:rPr/>
        <w:t>issue.</w:t>
      </w:r>
      <w:r>
        <w:rPr>
          <w:spacing w:val="-3"/>
        </w:rPr>
        <w:t> </w:t>
      </w:r>
      <w:r>
        <w:rPr/>
        <w:t>Each</w:t>
      </w:r>
      <w:r>
        <w:rPr>
          <w:spacing w:val="-4"/>
        </w:rPr>
        <w:t> </w:t>
      </w:r>
      <w:r>
        <w:rPr/>
        <w:t>Sub-Program</w:t>
      </w:r>
      <w:r>
        <w:rPr>
          <w:spacing w:val="-5"/>
        </w:rPr>
        <w:t> </w:t>
      </w:r>
      <w:r>
        <w:rPr/>
        <w:t>Module</w:t>
      </w:r>
      <w:r>
        <w:rPr>
          <w:spacing w:val="-4"/>
        </w:rPr>
        <w:t> </w:t>
      </w:r>
      <w:r>
        <w:rPr/>
        <w:t>will</w:t>
      </w:r>
      <w:r>
        <w:rPr>
          <w:spacing w:val="-5"/>
        </w:rPr>
        <w:t> </w:t>
      </w:r>
      <w:r>
        <w:rPr/>
        <w:t>require</w:t>
      </w:r>
      <w:r>
        <w:rPr>
          <w:spacing w:val="-4"/>
        </w:rPr>
        <w:t> </w:t>
      </w:r>
      <w:r>
        <w:rPr/>
        <w:t>a unique method to address this component of the TRP, including focus groups, community meetings, public presentations or inter-departmental communication. Module design must respond to the needs it intends to address.</w:t>
      </w:r>
    </w:p>
    <w:p>
      <w:pPr>
        <w:spacing w:after="0"/>
        <w:jc w:val="both"/>
        <w:sectPr>
          <w:pgSz w:w="12240" w:h="15840"/>
          <w:pgMar w:header="0" w:footer="1738" w:top="1380" w:bottom="1920" w:left="1320" w:right="1280"/>
        </w:sectPr>
      </w:pPr>
    </w:p>
    <w:p>
      <w:pPr>
        <w:pStyle w:val="Heading5"/>
        <w:spacing w:before="80"/>
      </w:pPr>
      <w:r>
        <w:rPr/>
        <w:t>Funding</w:t>
      </w:r>
      <w:r>
        <w:rPr>
          <w:spacing w:val="-3"/>
        </w:rPr>
        <w:t> </w:t>
      </w:r>
      <w:r>
        <w:rPr>
          <w:spacing w:val="-2"/>
        </w:rPr>
        <w:t>Source</w:t>
      </w:r>
    </w:p>
    <w:p>
      <w:pPr>
        <w:pStyle w:val="BodyText"/>
        <w:spacing w:before="49"/>
        <w:ind w:left="120" w:right="156"/>
        <w:jc w:val="both"/>
      </w:pPr>
      <w:r>
        <w:rPr/>
        <w:t>Funding for TRP originates from multiple sources with varying criteria and must be an integral part of module design. Each Sub-Program Module will clearly state the funding source and established City procedure for use of those funds.</w:t>
      </w:r>
    </w:p>
    <w:p>
      <w:pPr>
        <w:pStyle w:val="BodyText"/>
        <w:spacing w:before="1"/>
      </w:pPr>
    </w:p>
    <w:p>
      <w:pPr>
        <w:pStyle w:val="Heading5"/>
      </w:pPr>
      <w:r>
        <w:rPr/>
        <w:t>Eligibility</w:t>
      </w:r>
      <w:r>
        <w:rPr>
          <w:spacing w:val="-5"/>
        </w:rPr>
        <w:t> </w:t>
      </w:r>
      <w:r>
        <w:rPr>
          <w:spacing w:val="-2"/>
        </w:rPr>
        <w:t>Requirements</w:t>
      </w:r>
    </w:p>
    <w:p>
      <w:pPr>
        <w:pStyle w:val="BodyText"/>
        <w:spacing w:before="52"/>
        <w:ind w:left="120" w:right="154"/>
        <w:jc w:val="both"/>
      </w:pPr>
      <w:r>
        <w:rPr/>
        <w:pict>
          <v:shape style="position:absolute;margin-left:90.065002pt;margin-top:18.819393pt;width:395.3pt;height:419pt;mso-position-horizontal-relative:page;mso-position-vertical-relative:paragraph;z-index:-17723392" id="docshape47" coordorigin="1801,376" coordsize="7906,8380" path="m4498,7640l4492,7567,4477,7489,4455,7406,4432,7337,4403,7265,4367,7190,4325,7112,4276,7031,4237,6972,4200,6921,4200,7607,4197,7663,4186,7720,4167,7777,4138,7837,4097,7900,4044,7966,3979,8035,3674,8341,2216,6883,2517,6582,2598,6506,2672,6446,2740,6403,2801,6376,2868,6362,2941,6358,3020,6364,3105,6382,3195,6411,3255,6437,3317,6469,3380,6508,3446,6553,3514,6605,3584,6663,3656,6727,3729,6799,3789,6860,3845,6920,3896,6979,3943,7037,3986,7094,4025,7149,4059,7203,4101,7278,4136,7350,4163,7419,4183,7486,4196,7551,4200,7607,4200,6921,4194,6912,4148,6852,4098,6792,4045,6731,3989,6669,3929,6607,3865,6545,3801,6487,3737,6432,3673,6380,3643,6358,3609,6332,3546,6288,3482,6247,3419,6209,3346,6171,3274,6139,3203,6112,3132,6089,3062,6072,2992,6060,2923,6053,2850,6052,2779,6058,2709,6073,2642,6096,2577,6127,2528,6155,2476,6192,2420,6237,2359,6292,2294,6354,1801,6847,3710,8756,4124,8341,4226,8239,4287,8174,4341,8109,4386,8043,4424,7976,4454,7910,4476,7843,4491,7776,4498,7709,4498,7640xm6418,6047l6056,5919,5650,5776,5561,5747,5475,5723,5393,5704,5365,5699,5314,5690,5239,5680,5193,5678,5143,5681,5089,5688,5030,5699,5073,5629,5109,5560,5136,5491,5154,5422,5164,5353,5165,5285,5157,5217,5139,5139,5111,5063,5075,4989,5030,4916,4976,4845,4956,4822,4913,4776,4872,4738,4872,5296,4868,5351,4854,5406,4830,5462,4794,5521,4747,5582,4687,5646,4280,6053,3649,5422,4102,4969,4166,4912,4229,4868,4293,4839,4358,4824,4422,4822,4501,4838,4577,4867,4649,4912,4718,4972,4761,5019,4797,5070,4827,5124,4851,5180,4867,5239,4872,5296,4872,4738,4849,4717,4782,4664,4713,4619,4641,4580,4566,4548,4474,4520,4386,4507,4303,4509,4225,4525,4163,4550,4098,4587,4030,4635,3958,4694,3883,4765,3248,5400,5157,7308,5346,7119,4499,6272,4718,6053,4753,6018,4783,5991,4810,5970,4833,5955,4863,5942,4896,5931,4932,5923,4971,5919,5014,5919,5066,5924,5125,5935,5194,5951,5256,5969,5328,5990,5407,6014,5496,6044,6180,6285,6418,6047xm7780,4685l7415,4490,6555,4035,6555,4342,6070,4828,6030,4756,5989,4685,5748,4254,5708,4182,5668,4111,5629,4045,5590,3981,5550,3917,5509,3854,5467,3791,5424,3730,5380,3669,5436,3705,5498,3743,5564,3783,5635,3825,5792,3915,6555,4342,6555,4035,5862,3669,5286,3362,5082,3566,5277,3917,5316,3987,5701,4685,6207,5604,6441,6024,6642,5823,6565,5690,6298,5222,6221,5088,6481,4828,6820,4490,7173,4685,7565,4900,7780,4685xm8131,4334l7264,3467,7936,2795,7711,2570,7039,3242,6448,2651,7224,1875,6999,1650,6033,2615,7941,4524,8131,4334xm9707,2758l8024,1075,8497,602,8272,376,7138,1511,7363,1736,7834,1265,9517,2948,9707,2758xe" filled="true" fillcolor="#c0c0c0" stroked="false">
            <v:path arrowok="t"/>
            <v:fill opacity="32896f" type="solid"/>
            <w10:wrap type="none"/>
          </v:shape>
        </w:pict>
      </w:r>
      <w:r>
        <w:rPr/>
        <w:t>Eligibility requirements cover both the Applicant and Property and are developed by need and funding as well as established City of Dallas procedure or policy. As a baseline, each new Sub- Program Module aims to meet the following Applicant and Property eligibility depending on applicable law and relevant City policy. Each</w:t>
      </w:r>
      <w:r>
        <w:rPr>
          <w:spacing w:val="-2"/>
        </w:rPr>
        <w:t> </w:t>
      </w:r>
      <w:r>
        <w:rPr/>
        <w:t>Sub-Program Module may</w:t>
      </w:r>
      <w:r>
        <w:rPr>
          <w:spacing w:val="-4"/>
        </w:rPr>
        <w:t> </w:t>
      </w:r>
      <w:r>
        <w:rPr/>
        <w:t>add criteria(s) not listed above, as needed.</w:t>
      </w:r>
    </w:p>
    <w:p>
      <w:pPr>
        <w:pStyle w:val="BodyText"/>
        <w:spacing w:before="10"/>
        <w:rPr>
          <w:sz w:val="21"/>
        </w:rPr>
      </w:pPr>
    </w:p>
    <w:p>
      <w:pPr>
        <w:pStyle w:val="Heading5"/>
      </w:pPr>
      <w:r>
        <w:rPr/>
        <w:t>Applicant</w:t>
      </w:r>
      <w:r>
        <w:rPr>
          <w:spacing w:val="-6"/>
        </w:rPr>
        <w:t> </w:t>
      </w:r>
      <w:r>
        <w:rPr>
          <w:spacing w:val="-2"/>
        </w:rPr>
        <w:t>Eligibility</w:t>
      </w:r>
    </w:p>
    <w:p>
      <w:pPr>
        <w:pStyle w:val="ListParagraph"/>
        <w:numPr>
          <w:ilvl w:val="1"/>
          <w:numId w:val="11"/>
        </w:numPr>
        <w:tabs>
          <w:tab w:pos="841" w:val="left" w:leader="none"/>
        </w:tabs>
        <w:spacing w:line="237" w:lineRule="auto" w:before="53" w:after="0"/>
        <w:ind w:left="840" w:right="156" w:hanging="360"/>
        <w:jc w:val="both"/>
        <w:rPr>
          <w:sz w:val="22"/>
        </w:rPr>
      </w:pPr>
      <w:r>
        <w:rPr>
          <w:sz w:val="22"/>
        </w:rPr>
        <w:t>For homeowner-occupied-based Sub-Program Modules, Applicant must be one of the owners of the property that lives in the property as their primary residence.</w:t>
      </w:r>
    </w:p>
    <w:p>
      <w:pPr>
        <w:pStyle w:val="ListParagraph"/>
        <w:numPr>
          <w:ilvl w:val="2"/>
          <w:numId w:val="11"/>
        </w:numPr>
        <w:tabs>
          <w:tab w:pos="1561" w:val="left" w:leader="none"/>
        </w:tabs>
        <w:spacing w:line="252" w:lineRule="exact" w:before="2" w:after="0"/>
        <w:ind w:left="1560" w:right="0" w:hanging="361"/>
        <w:jc w:val="both"/>
        <w:rPr>
          <w:sz w:val="22"/>
        </w:rPr>
      </w:pPr>
      <w:r>
        <w:rPr>
          <w:sz w:val="22"/>
        </w:rPr>
        <w:t>All</w:t>
      </w:r>
      <w:r>
        <w:rPr>
          <w:spacing w:val="-5"/>
          <w:sz w:val="22"/>
        </w:rPr>
        <w:t> </w:t>
      </w:r>
      <w:r>
        <w:rPr>
          <w:sz w:val="22"/>
        </w:rPr>
        <w:t>household</w:t>
      </w:r>
      <w:r>
        <w:rPr>
          <w:spacing w:val="-4"/>
          <w:sz w:val="22"/>
        </w:rPr>
        <w:t> </w:t>
      </w:r>
      <w:r>
        <w:rPr>
          <w:sz w:val="22"/>
        </w:rPr>
        <w:t>members</w:t>
      </w:r>
      <w:r>
        <w:rPr>
          <w:spacing w:val="-8"/>
          <w:sz w:val="22"/>
        </w:rPr>
        <w:t> </w:t>
      </w:r>
      <w:r>
        <w:rPr>
          <w:sz w:val="22"/>
        </w:rPr>
        <w:t>will</w:t>
      </w:r>
      <w:r>
        <w:rPr>
          <w:spacing w:val="-5"/>
          <w:sz w:val="22"/>
        </w:rPr>
        <w:t> </w:t>
      </w:r>
      <w:r>
        <w:rPr>
          <w:sz w:val="22"/>
        </w:rPr>
        <w:t>need</w:t>
      </w:r>
      <w:r>
        <w:rPr>
          <w:spacing w:val="-4"/>
          <w:sz w:val="22"/>
        </w:rPr>
        <w:t> </w:t>
      </w:r>
      <w:r>
        <w:rPr>
          <w:sz w:val="22"/>
        </w:rPr>
        <w:t>to</w:t>
      </w:r>
      <w:r>
        <w:rPr>
          <w:spacing w:val="-5"/>
          <w:sz w:val="22"/>
        </w:rPr>
        <w:t> </w:t>
      </w:r>
      <w:r>
        <w:rPr>
          <w:sz w:val="22"/>
        </w:rPr>
        <w:t>certify</w:t>
      </w:r>
      <w:r>
        <w:rPr>
          <w:spacing w:val="-6"/>
          <w:sz w:val="22"/>
        </w:rPr>
        <w:t> </w:t>
      </w:r>
      <w:r>
        <w:rPr>
          <w:sz w:val="22"/>
        </w:rPr>
        <w:t>income</w:t>
      </w:r>
      <w:r>
        <w:rPr>
          <w:spacing w:val="-4"/>
          <w:sz w:val="22"/>
        </w:rPr>
        <w:t> </w:t>
      </w:r>
      <w:r>
        <w:rPr>
          <w:spacing w:val="-2"/>
          <w:sz w:val="22"/>
        </w:rPr>
        <w:t>jointly.</w:t>
      </w:r>
    </w:p>
    <w:p>
      <w:pPr>
        <w:pStyle w:val="ListParagraph"/>
        <w:numPr>
          <w:ilvl w:val="2"/>
          <w:numId w:val="11"/>
        </w:numPr>
        <w:tabs>
          <w:tab w:pos="1561" w:val="left" w:leader="none"/>
        </w:tabs>
        <w:spacing w:line="252" w:lineRule="exact" w:before="0" w:after="0"/>
        <w:ind w:left="1560" w:right="0" w:hanging="361"/>
        <w:jc w:val="both"/>
        <w:rPr>
          <w:sz w:val="22"/>
        </w:rPr>
      </w:pPr>
      <w:r>
        <w:rPr>
          <w:sz w:val="22"/>
        </w:rPr>
        <w:t>All</w:t>
      </w:r>
      <w:r>
        <w:rPr>
          <w:spacing w:val="-3"/>
          <w:sz w:val="22"/>
        </w:rPr>
        <w:t> </w:t>
      </w:r>
      <w:r>
        <w:rPr>
          <w:sz w:val="22"/>
        </w:rPr>
        <w:t>property</w:t>
      </w:r>
      <w:r>
        <w:rPr>
          <w:spacing w:val="-3"/>
          <w:sz w:val="22"/>
        </w:rPr>
        <w:t> </w:t>
      </w:r>
      <w:r>
        <w:rPr>
          <w:sz w:val="22"/>
        </w:rPr>
        <w:t>owners</w:t>
      </w:r>
      <w:r>
        <w:rPr>
          <w:spacing w:val="-6"/>
          <w:sz w:val="22"/>
        </w:rPr>
        <w:t> </w:t>
      </w:r>
      <w:r>
        <w:rPr>
          <w:sz w:val="22"/>
        </w:rPr>
        <w:t>must</w:t>
      </w:r>
      <w:r>
        <w:rPr>
          <w:spacing w:val="-2"/>
          <w:sz w:val="22"/>
        </w:rPr>
        <w:t> </w:t>
      </w:r>
      <w:r>
        <w:rPr>
          <w:sz w:val="22"/>
        </w:rPr>
        <w:t>agree</w:t>
      </w:r>
      <w:r>
        <w:rPr>
          <w:spacing w:val="-4"/>
          <w:sz w:val="22"/>
        </w:rPr>
        <w:t> </w:t>
      </w:r>
      <w:r>
        <w:rPr>
          <w:sz w:val="22"/>
        </w:rPr>
        <w:t>to</w:t>
      </w:r>
      <w:r>
        <w:rPr>
          <w:spacing w:val="-4"/>
          <w:sz w:val="22"/>
        </w:rPr>
        <w:t> </w:t>
      </w:r>
      <w:r>
        <w:rPr>
          <w:sz w:val="22"/>
        </w:rPr>
        <w:t>the</w:t>
      </w:r>
      <w:r>
        <w:rPr>
          <w:spacing w:val="-4"/>
          <w:sz w:val="22"/>
        </w:rPr>
        <w:t> </w:t>
      </w:r>
      <w:r>
        <w:rPr>
          <w:spacing w:val="-2"/>
          <w:sz w:val="22"/>
        </w:rPr>
        <w:t>assistance.</w:t>
      </w:r>
    </w:p>
    <w:p>
      <w:pPr>
        <w:pStyle w:val="ListParagraph"/>
        <w:numPr>
          <w:ilvl w:val="2"/>
          <w:numId w:val="11"/>
        </w:numPr>
        <w:tabs>
          <w:tab w:pos="1561" w:val="left" w:leader="none"/>
        </w:tabs>
        <w:spacing w:line="240" w:lineRule="auto" w:before="0" w:after="0"/>
        <w:ind w:left="1560" w:right="156" w:hanging="361"/>
        <w:jc w:val="both"/>
        <w:rPr>
          <w:sz w:val="22"/>
        </w:rPr>
      </w:pPr>
      <w:r>
        <w:rPr>
          <w:sz w:val="22"/>
        </w:rPr>
        <w:t>If the Sub-Program Module requires deed restrictions and/or a deed of trust, the homeowner(s) must provide a deed showing the conveyance of ownership, or similar documentation acceptable to the City in its sole discretion, that proves ownership in fee simple. All fee-simple owners of the property must sign all grant </w:t>
      </w:r>
      <w:r>
        <w:rPr>
          <w:spacing w:val="-2"/>
          <w:sz w:val="22"/>
        </w:rPr>
        <w:t>documents.</w:t>
      </w:r>
    </w:p>
    <w:p>
      <w:pPr>
        <w:pStyle w:val="ListParagraph"/>
        <w:numPr>
          <w:ilvl w:val="1"/>
          <w:numId w:val="11"/>
        </w:numPr>
        <w:tabs>
          <w:tab w:pos="841" w:val="left" w:leader="none"/>
        </w:tabs>
        <w:spacing w:line="237" w:lineRule="auto" w:before="3" w:after="0"/>
        <w:ind w:left="840" w:right="156" w:hanging="361"/>
        <w:jc w:val="both"/>
        <w:rPr>
          <w:sz w:val="22"/>
        </w:rPr>
      </w:pPr>
      <w:r>
        <w:rPr>
          <w:sz w:val="22"/>
        </w:rPr>
        <w:t>For</w:t>
      </w:r>
      <w:r>
        <w:rPr>
          <w:spacing w:val="-4"/>
          <w:sz w:val="22"/>
        </w:rPr>
        <w:t> </w:t>
      </w:r>
      <w:r>
        <w:rPr>
          <w:sz w:val="22"/>
        </w:rPr>
        <w:t>Sub-Program</w:t>
      </w:r>
      <w:r>
        <w:rPr>
          <w:spacing w:val="-4"/>
          <w:sz w:val="22"/>
        </w:rPr>
        <w:t> </w:t>
      </w:r>
      <w:r>
        <w:rPr>
          <w:sz w:val="22"/>
        </w:rPr>
        <w:t>Modules</w:t>
      </w:r>
      <w:r>
        <w:rPr>
          <w:spacing w:val="-5"/>
          <w:sz w:val="22"/>
        </w:rPr>
        <w:t> </w:t>
      </w:r>
      <w:r>
        <w:rPr>
          <w:sz w:val="22"/>
        </w:rPr>
        <w:t>focused</w:t>
      </w:r>
      <w:r>
        <w:rPr>
          <w:spacing w:val="-7"/>
          <w:sz w:val="22"/>
        </w:rPr>
        <w:t> </w:t>
      </w:r>
      <w:r>
        <w:rPr>
          <w:sz w:val="22"/>
        </w:rPr>
        <w:t>on</w:t>
      </w:r>
      <w:r>
        <w:rPr>
          <w:spacing w:val="-5"/>
          <w:sz w:val="22"/>
        </w:rPr>
        <w:t> </w:t>
      </w:r>
      <w:r>
        <w:rPr>
          <w:sz w:val="22"/>
        </w:rPr>
        <w:t>property</w:t>
      </w:r>
      <w:r>
        <w:rPr>
          <w:spacing w:val="-6"/>
          <w:sz w:val="22"/>
        </w:rPr>
        <w:t> </w:t>
      </w:r>
      <w:r>
        <w:rPr>
          <w:sz w:val="22"/>
        </w:rPr>
        <w:t>owners</w:t>
      </w:r>
      <w:r>
        <w:rPr>
          <w:spacing w:val="-4"/>
          <w:sz w:val="22"/>
        </w:rPr>
        <w:t> </w:t>
      </w:r>
      <w:r>
        <w:rPr>
          <w:sz w:val="22"/>
        </w:rPr>
        <w:t>who</w:t>
      </w:r>
      <w:r>
        <w:rPr>
          <w:spacing w:val="-5"/>
          <w:sz w:val="22"/>
        </w:rPr>
        <w:t> </w:t>
      </w:r>
      <w:r>
        <w:rPr>
          <w:sz w:val="22"/>
        </w:rPr>
        <w:t>lease</w:t>
      </w:r>
      <w:r>
        <w:rPr>
          <w:spacing w:val="-5"/>
          <w:sz w:val="22"/>
        </w:rPr>
        <w:t> </w:t>
      </w:r>
      <w:r>
        <w:rPr>
          <w:sz w:val="22"/>
        </w:rPr>
        <w:t>the</w:t>
      </w:r>
      <w:r>
        <w:rPr>
          <w:spacing w:val="-7"/>
          <w:sz w:val="22"/>
        </w:rPr>
        <w:t> </w:t>
      </w:r>
      <w:r>
        <w:rPr>
          <w:sz w:val="22"/>
        </w:rPr>
        <w:t>property,</w:t>
      </w:r>
      <w:r>
        <w:rPr>
          <w:spacing w:val="-4"/>
          <w:sz w:val="22"/>
        </w:rPr>
        <w:t> </w:t>
      </w:r>
      <w:r>
        <w:rPr>
          <w:sz w:val="22"/>
        </w:rPr>
        <w:t>applicant must rent to income-eligible residents and agree to tenant protections established in the Sub-Program Module.</w:t>
      </w:r>
    </w:p>
    <w:p>
      <w:pPr>
        <w:pStyle w:val="ListParagraph"/>
        <w:numPr>
          <w:ilvl w:val="2"/>
          <w:numId w:val="11"/>
        </w:numPr>
        <w:tabs>
          <w:tab w:pos="1561" w:val="left" w:leader="none"/>
        </w:tabs>
        <w:spacing w:line="240" w:lineRule="auto" w:before="3" w:after="0"/>
        <w:ind w:left="1560" w:right="157" w:hanging="360"/>
        <w:jc w:val="both"/>
        <w:rPr>
          <w:sz w:val="22"/>
        </w:rPr>
      </w:pPr>
      <w:r>
        <w:rPr>
          <w:sz w:val="22"/>
        </w:rPr>
        <w:t>If the Sub-Program Module requires deed restrictions and/or a deed of trust, the homeowner(s) must provide a deed showing the conveyance of ownership, or similar documentation acceptable to the City in its sole discretion, that proves ownership</w:t>
      </w:r>
      <w:r>
        <w:rPr>
          <w:spacing w:val="-5"/>
          <w:sz w:val="22"/>
        </w:rPr>
        <w:t> </w:t>
      </w:r>
      <w:r>
        <w:rPr>
          <w:sz w:val="22"/>
        </w:rPr>
        <w:t>in</w:t>
      </w:r>
      <w:r>
        <w:rPr>
          <w:spacing w:val="-8"/>
          <w:sz w:val="22"/>
        </w:rPr>
        <w:t> </w:t>
      </w:r>
      <w:r>
        <w:rPr>
          <w:sz w:val="22"/>
        </w:rPr>
        <w:t>fee</w:t>
      </w:r>
      <w:r>
        <w:rPr>
          <w:spacing w:val="-7"/>
          <w:sz w:val="22"/>
        </w:rPr>
        <w:t> </w:t>
      </w:r>
      <w:r>
        <w:rPr>
          <w:sz w:val="22"/>
        </w:rPr>
        <w:t>simple.</w:t>
      </w:r>
      <w:r>
        <w:rPr>
          <w:spacing w:val="-8"/>
          <w:sz w:val="22"/>
        </w:rPr>
        <w:t> </w:t>
      </w:r>
      <w:r>
        <w:rPr>
          <w:sz w:val="22"/>
        </w:rPr>
        <w:t>All</w:t>
      </w:r>
      <w:r>
        <w:rPr>
          <w:spacing w:val="-6"/>
          <w:sz w:val="22"/>
        </w:rPr>
        <w:t> </w:t>
      </w:r>
      <w:r>
        <w:rPr>
          <w:sz w:val="22"/>
        </w:rPr>
        <w:t>owners</w:t>
      </w:r>
      <w:r>
        <w:rPr>
          <w:spacing w:val="-5"/>
          <w:sz w:val="22"/>
        </w:rPr>
        <w:t> </w:t>
      </w:r>
      <w:r>
        <w:rPr>
          <w:sz w:val="22"/>
        </w:rPr>
        <w:t>of</w:t>
      </w:r>
      <w:r>
        <w:rPr>
          <w:spacing w:val="-6"/>
          <w:sz w:val="22"/>
        </w:rPr>
        <w:t> </w:t>
      </w:r>
      <w:r>
        <w:rPr>
          <w:sz w:val="22"/>
        </w:rPr>
        <w:t>the</w:t>
      </w:r>
      <w:r>
        <w:rPr>
          <w:spacing w:val="-7"/>
          <w:sz w:val="22"/>
        </w:rPr>
        <w:t> </w:t>
      </w:r>
      <w:r>
        <w:rPr>
          <w:sz w:val="22"/>
        </w:rPr>
        <w:t>property</w:t>
      </w:r>
      <w:r>
        <w:rPr>
          <w:spacing w:val="-7"/>
          <w:sz w:val="22"/>
        </w:rPr>
        <w:t> </w:t>
      </w:r>
      <w:r>
        <w:rPr>
          <w:sz w:val="22"/>
        </w:rPr>
        <w:t>must</w:t>
      </w:r>
      <w:r>
        <w:rPr>
          <w:spacing w:val="-6"/>
          <w:sz w:val="22"/>
        </w:rPr>
        <w:t> </w:t>
      </w:r>
      <w:r>
        <w:rPr>
          <w:sz w:val="22"/>
        </w:rPr>
        <w:t>sign</w:t>
      </w:r>
      <w:r>
        <w:rPr>
          <w:spacing w:val="-7"/>
          <w:sz w:val="22"/>
        </w:rPr>
        <w:t> </w:t>
      </w:r>
      <w:r>
        <w:rPr>
          <w:sz w:val="22"/>
        </w:rPr>
        <w:t>all</w:t>
      </w:r>
      <w:r>
        <w:rPr>
          <w:spacing w:val="-6"/>
          <w:sz w:val="22"/>
        </w:rPr>
        <w:t> </w:t>
      </w:r>
      <w:r>
        <w:rPr>
          <w:sz w:val="22"/>
        </w:rPr>
        <w:t>grant</w:t>
      </w:r>
      <w:r>
        <w:rPr>
          <w:spacing w:val="-6"/>
          <w:sz w:val="22"/>
        </w:rPr>
        <w:t> </w:t>
      </w:r>
      <w:r>
        <w:rPr>
          <w:sz w:val="22"/>
        </w:rPr>
        <w:t>documents.</w:t>
      </w:r>
    </w:p>
    <w:p>
      <w:pPr>
        <w:pStyle w:val="ListParagraph"/>
        <w:numPr>
          <w:ilvl w:val="1"/>
          <w:numId w:val="11"/>
        </w:numPr>
        <w:tabs>
          <w:tab w:pos="841" w:val="left" w:leader="none"/>
        </w:tabs>
        <w:spacing w:line="237" w:lineRule="auto" w:before="3" w:after="0"/>
        <w:ind w:left="840" w:right="155" w:hanging="361"/>
        <w:jc w:val="both"/>
        <w:rPr>
          <w:sz w:val="22"/>
        </w:rPr>
      </w:pPr>
      <w:r>
        <w:rPr>
          <w:sz w:val="22"/>
        </w:rPr>
        <w:t>Applicant(s) must be a U.S. Citizen or lawful Permanent Resident, and they must hold a current Texas state-issued identification card or driver’s license.</w:t>
      </w:r>
    </w:p>
    <w:p>
      <w:pPr>
        <w:pStyle w:val="ListParagraph"/>
        <w:numPr>
          <w:ilvl w:val="1"/>
          <w:numId w:val="11"/>
        </w:numPr>
        <w:tabs>
          <w:tab w:pos="841" w:val="left" w:leader="none"/>
        </w:tabs>
        <w:spacing w:line="237" w:lineRule="auto" w:before="3" w:after="0"/>
        <w:ind w:left="840" w:right="155" w:hanging="361"/>
        <w:jc w:val="both"/>
        <w:rPr>
          <w:sz w:val="22"/>
        </w:rPr>
      </w:pPr>
      <w:r>
        <w:rPr>
          <w:sz w:val="22"/>
        </w:rPr>
        <w:t>Applicant(s)</w:t>
      </w:r>
      <w:r>
        <w:rPr>
          <w:spacing w:val="-16"/>
          <w:sz w:val="22"/>
        </w:rPr>
        <w:t> </w:t>
      </w:r>
      <w:r>
        <w:rPr>
          <w:sz w:val="22"/>
        </w:rPr>
        <w:t>or</w:t>
      </w:r>
      <w:r>
        <w:rPr>
          <w:spacing w:val="-14"/>
          <w:sz w:val="22"/>
        </w:rPr>
        <w:t> </w:t>
      </w:r>
      <w:r>
        <w:rPr>
          <w:sz w:val="22"/>
        </w:rPr>
        <w:t>Applicant’s</w:t>
      </w:r>
      <w:r>
        <w:rPr>
          <w:spacing w:val="-14"/>
          <w:sz w:val="22"/>
        </w:rPr>
        <w:t> </w:t>
      </w:r>
      <w:r>
        <w:rPr>
          <w:sz w:val="22"/>
        </w:rPr>
        <w:t>tenant</w:t>
      </w:r>
      <w:r>
        <w:rPr>
          <w:spacing w:val="-16"/>
          <w:sz w:val="22"/>
        </w:rPr>
        <w:t> </w:t>
      </w:r>
      <w:r>
        <w:rPr>
          <w:sz w:val="22"/>
        </w:rPr>
        <w:t>must</w:t>
      </w:r>
      <w:r>
        <w:rPr>
          <w:spacing w:val="-15"/>
          <w:sz w:val="22"/>
        </w:rPr>
        <w:t> </w:t>
      </w:r>
      <w:r>
        <w:rPr>
          <w:sz w:val="22"/>
        </w:rPr>
        <w:t>meet</w:t>
      </w:r>
      <w:r>
        <w:rPr>
          <w:spacing w:val="-15"/>
          <w:sz w:val="22"/>
        </w:rPr>
        <w:t> </w:t>
      </w:r>
      <w:r>
        <w:rPr>
          <w:sz w:val="22"/>
        </w:rPr>
        <w:t>the</w:t>
      </w:r>
      <w:r>
        <w:rPr>
          <w:spacing w:val="-16"/>
          <w:sz w:val="22"/>
        </w:rPr>
        <w:t> </w:t>
      </w:r>
      <w:r>
        <w:rPr>
          <w:sz w:val="22"/>
        </w:rPr>
        <w:t>established</w:t>
      </w:r>
      <w:r>
        <w:rPr>
          <w:spacing w:val="-15"/>
          <w:sz w:val="22"/>
        </w:rPr>
        <w:t> </w:t>
      </w:r>
      <w:r>
        <w:rPr>
          <w:sz w:val="22"/>
        </w:rPr>
        <w:t>AMI</w:t>
      </w:r>
      <w:r>
        <w:rPr>
          <w:spacing w:val="-13"/>
          <w:sz w:val="22"/>
        </w:rPr>
        <w:t> </w:t>
      </w:r>
      <w:r>
        <w:rPr>
          <w:sz w:val="22"/>
        </w:rPr>
        <w:t>criteria</w:t>
      </w:r>
      <w:r>
        <w:rPr>
          <w:spacing w:val="-16"/>
          <w:sz w:val="22"/>
        </w:rPr>
        <w:t> </w:t>
      </w:r>
      <w:r>
        <w:rPr>
          <w:sz w:val="22"/>
        </w:rPr>
        <w:t>per</w:t>
      </w:r>
      <w:r>
        <w:rPr>
          <w:spacing w:val="-13"/>
          <w:sz w:val="22"/>
        </w:rPr>
        <w:t> </w:t>
      </w:r>
      <w:r>
        <w:rPr>
          <w:sz w:val="22"/>
        </w:rPr>
        <w:t>Sub-Program Module when applying. Income may be verified using but not limited to the following:</w:t>
      </w:r>
    </w:p>
    <w:p>
      <w:pPr>
        <w:pStyle w:val="ListParagraph"/>
        <w:numPr>
          <w:ilvl w:val="2"/>
          <w:numId w:val="11"/>
        </w:numPr>
        <w:tabs>
          <w:tab w:pos="1561" w:val="left" w:leader="none"/>
        </w:tabs>
        <w:spacing w:line="252" w:lineRule="exact" w:before="0" w:after="0"/>
        <w:ind w:left="1560" w:right="0" w:hanging="361"/>
        <w:jc w:val="left"/>
        <w:rPr>
          <w:sz w:val="22"/>
        </w:rPr>
      </w:pPr>
      <w:r>
        <w:rPr>
          <w:sz w:val="22"/>
        </w:rPr>
        <w:t>Social</w:t>
      </w:r>
      <w:r>
        <w:rPr>
          <w:spacing w:val="-6"/>
          <w:sz w:val="22"/>
        </w:rPr>
        <w:t> </w:t>
      </w:r>
      <w:r>
        <w:rPr>
          <w:sz w:val="22"/>
        </w:rPr>
        <w:t>security</w:t>
      </w:r>
      <w:r>
        <w:rPr>
          <w:spacing w:val="-6"/>
          <w:sz w:val="22"/>
        </w:rPr>
        <w:t> </w:t>
      </w:r>
      <w:r>
        <w:rPr>
          <w:spacing w:val="-2"/>
          <w:sz w:val="22"/>
        </w:rPr>
        <w:t>letter</w:t>
      </w:r>
    </w:p>
    <w:p>
      <w:pPr>
        <w:pStyle w:val="ListParagraph"/>
        <w:numPr>
          <w:ilvl w:val="2"/>
          <w:numId w:val="11"/>
        </w:numPr>
        <w:tabs>
          <w:tab w:pos="1561" w:val="left" w:leader="none"/>
        </w:tabs>
        <w:spacing w:line="252" w:lineRule="exact" w:before="2" w:after="0"/>
        <w:ind w:left="1560" w:right="0" w:hanging="361"/>
        <w:jc w:val="left"/>
        <w:rPr>
          <w:sz w:val="22"/>
        </w:rPr>
      </w:pPr>
      <w:r>
        <w:rPr>
          <w:spacing w:val="-2"/>
          <w:sz w:val="22"/>
        </w:rPr>
        <w:t>Pensions</w:t>
      </w:r>
    </w:p>
    <w:p>
      <w:pPr>
        <w:pStyle w:val="ListParagraph"/>
        <w:numPr>
          <w:ilvl w:val="2"/>
          <w:numId w:val="11"/>
        </w:numPr>
        <w:tabs>
          <w:tab w:pos="1561" w:val="left" w:leader="none"/>
        </w:tabs>
        <w:spacing w:line="252" w:lineRule="exact" w:before="0" w:after="0"/>
        <w:ind w:left="1560" w:right="0" w:hanging="361"/>
        <w:jc w:val="left"/>
        <w:rPr>
          <w:sz w:val="22"/>
        </w:rPr>
      </w:pPr>
      <w:r>
        <w:rPr>
          <w:sz w:val="22"/>
        </w:rPr>
        <w:t>Tax</w:t>
      </w:r>
      <w:r>
        <w:rPr>
          <w:spacing w:val="-1"/>
          <w:sz w:val="22"/>
        </w:rPr>
        <w:t> </w:t>
      </w:r>
      <w:r>
        <w:rPr>
          <w:spacing w:val="-2"/>
          <w:sz w:val="22"/>
        </w:rPr>
        <w:t>returns</w:t>
      </w:r>
    </w:p>
    <w:p>
      <w:pPr>
        <w:pStyle w:val="ListParagraph"/>
        <w:numPr>
          <w:ilvl w:val="2"/>
          <w:numId w:val="11"/>
        </w:numPr>
        <w:tabs>
          <w:tab w:pos="1561" w:val="left" w:leader="none"/>
        </w:tabs>
        <w:spacing w:line="252" w:lineRule="exact" w:before="1" w:after="0"/>
        <w:ind w:left="1560" w:right="0" w:hanging="361"/>
        <w:jc w:val="left"/>
        <w:rPr>
          <w:sz w:val="22"/>
        </w:rPr>
      </w:pPr>
      <w:r>
        <w:rPr>
          <w:sz w:val="22"/>
        </w:rPr>
        <w:t>Bank</w:t>
      </w:r>
      <w:r>
        <w:rPr>
          <w:spacing w:val="-2"/>
          <w:sz w:val="22"/>
        </w:rPr>
        <w:t> stubs</w:t>
      </w:r>
    </w:p>
    <w:p>
      <w:pPr>
        <w:pStyle w:val="ListParagraph"/>
        <w:numPr>
          <w:ilvl w:val="2"/>
          <w:numId w:val="11"/>
        </w:numPr>
        <w:tabs>
          <w:tab w:pos="1561" w:val="left" w:leader="none"/>
        </w:tabs>
        <w:spacing w:line="252" w:lineRule="exact" w:before="0" w:after="0"/>
        <w:ind w:left="1560" w:right="0" w:hanging="361"/>
        <w:jc w:val="left"/>
        <w:rPr>
          <w:sz w:val="22"/>
        </w:rPr>
      </w:pPr>
      <w:r>
        <w:rPr>
          <w:sz w:val="22"/>
        </w:rPr>
        <w:t>Notarized</w:t>
      </w:r>
      <w:r>
        <w:rPr>
          <w:spacing w:val="-7"/>
          <w:sz w:val="22"/>
        </w:rPr>
        <w:t> </w:t>
      </w:r>
      <w:r>
        <w:rPr>
          <w:sz w:val="22"/>
        </w:rPr>
        <w:t>letters</w:t>
      </w:r>
      <w:r>
        <w:rPr>
          <w:spacing w:val="-9"/>
          <w:sz w:val="22"/>
        </w:rPr>
        <w:t> </w:t>
      </w:r>
      <w:r>
        <w:rPr>
          <w:sz w:val="22"/>
        </w:rPr>
        <w:t>from</w:t>
      </w:r>
      <w:r>
        <w:rPr>
          <w:spacing w:val="-7"/>
          <w:sz w:val="22"/>
        </w:rPr>
        <w:t> </w:t>
      </w:r>
      <w:r>
        <w:rPr>
          <w:sz w:val="22"/>
        </w:rPr>
        <w:t>financial</w:t>
      </w:r>
      <w:r>
        <w:rPr>
          <w:spacing w:val="-7"/>
          <w:sz w:val="22"/>
        </w:rPr>
        <w:t> </w:t>
      </w:r>
      <w:r>
        <w:rPr>
          <w:sz w:val="22"/>
        </w:rPr>
        <w:t>institution;</w:t>
      </w:r>
      <w:r>
        <w:rPr>
          <w:spacing w:val="-7"/>
          <w:sz w:val="22"/>
        </w:rPr>
        <w:t> </w:t>
      </w:r>
      <w:r>
        <w:rPr>
          <w:spacing w:val="-5"/>
          <w:sz w:val="22"/>
        </w:rPr>
        <w:t>or</w:t>
      </w:r>
    </w:p>
    <w:p>
      <w:pPr>
        <w:pStyle w:val="ListParagraph"/>
        <w:numPr>
          <w:ilvl w:val="2"/>
          <w:numId w:val="11"/>
        </w:numPr>
        <w:tabs>
          <w:tab w:pos="1560" w:val="left" w:leader="none"/>
          <w:tab w:pos="1561" w:val="left" w:leader="none"/>
        </w:tabs>
        <w:spacing w:line="252" w:lineRule="exact" w:before="0" w:after="0"/>
        <w:ind w:left="1560" w:right="0" w:hanging="361"/>
        <w:jc w:val="left"/>
        <w:rPr>
          <w:sz w:val="22"/>
        </w:rPr>
      </w:pPr>
      <w:r>
        <w:rPr>
          <w:sz w:val="22"/>
        </w:rPr>
        <w:t>Hardship</w:t>
      </w:r>
      <w:r>
        <w:rPr>
          <w:spacing w:val="-8"/>
          <w:sz w:val="22"/>
        </w:rPr>
        <w:t> </w:t>
      </w:r>
      <w:r>
        <w:rPr>
          <w:spacing w:val="-2"/>
          <w:sz w:val="22"/>
        </w:rPr>
        <w:t>letters</w:t>
      </w:r>
    </w:p>
    <w:p>
      <w:pPr>
        <w:pStyle w:val="ListParagraph"/>
        <w:numPr>
          <w:ilvl w:val="1"/>
          <w:numId w:val="11"/>
        </w:numPr>
        <w:tabs>
          <w:tab w:pos="840" w:val="left" w:leader="none"/>
          <w:tab w:pos="841" w:val="left" w:leader="none"/>
        </w:tabs>
        <w:spacing w:line="237" w:lineRule="auto" w:before="3" w:after="0"/>
        <w:ind w:left="840" w:right="155" w:hanging="361"/>
        <w:jc w:val="left"/>
        <w:rPr>
          <w:sz w:val="22"/>
        </w:rPr>
      </w:pPr>
      <w:r>
        <w:rPr>
          <w:sz w:val="22"/>
        </w:rPr>
        <w:t>Applicants must be current on mortgage payments and shall not be in default under the mortgage documents associated with the property.</w:t>
      </w:r>
    </w:p>
    <w:p>
      <w:pPr>
        <w:pStyle w:val="ListParagraph"/>
        <w:numPr>
          <w:ilvl w:val="1"/>
          <w:numId w:val="11"/>
        </w:numPr>
        <w:tabs>
          <w:tab w:pos="840" w:val="left" w:leader="none"/>
          <w:tab w:pos="841" w:val="left" w:leader="none"/>
        </w:tabs>
        <w:spacing w:line="237" w:lineRule="auto" w:before="3" w:after="0"/>
        <w:ind w:left="840" w:right="154" w:hanging="361"/>
        <w:jc w:val="left"/>
        <w:rPr>
          <w:sz w:val="22"/>
        </w:rPr>
      </w:pPr>
      <w:r>
        <w:rPr>
          <w:sz w:val="22"/>
        </w:rPr>
        <w:t>Priority</w:t>
      </w:r>
      <w:r>
        <w:rPr>
          <w:spacing w:val="-16"/>
          <w:sz w:val="22"/>
        </w:rPr>
        <w:t> </w:t>
      </w:r>
      <w:r>
        <w:rPr>
          <w:sz w:val="22"/>
        </w:rPr>
        <w:t>shall</w:t>
      </w:r>
      <w:r>
        <w:rPr>
          <w:spacing w:val="-15"/>
          <w:sz w:val="22"/>
        </w:rPr>
        <w:t> </w:t>
      </w:r>
      <w:r>
        <w:rPr>
          <w:sz w:val="22"/>
        </w:rPr>
        <w:t>be</w:t>
      </w:r>
      <w:r>
        <w:rPr>
          <w:spacing w:val="-15"/>
          <w:sz w:val="22"/>
        </w:rPr>
        <w:t> </w:t>
      </w:r>
      <w:r>
        <w:rPr>
          <w:sz w:val="22"/>
        </w:rPr>
        <w:t>given</w:t>
      </w:r>
      <w:r>
        <w:rPr>
          <w:spacing w:val="-14"/>
          <w:sz w:val="22"/>
        </w:rPr>
        <w:t> </w:t>
      </w:r>
      <w:r>
        <w:rPr>
          <w:sz w:val="22"/>
        </w:rPr>
        <w:t>to</w:t>
      </w:r>
      <w:r>
        <w:rPr>
          <w:spacing w:val="-16"/>
          <w:sz w:val="22"/>
        </w:rPr>
        <w:t> </w:t>
      </w:r>
      <w:r>
        <w:rPr>
          <w:sz w:val="22"/>
        </w:rPr>
        <w:t>Applicants</w:t>
      </w:r>
      <w:r>
        <w:rPr>
          <w:spacing w:val="-13"/>
          <w:sz w:val="22"/>
        </w:rPr>
        <w:t> </w:t>
      </w:r>
      <w:r>
        <w:rPr>
          <w:sz w:val="22"/>
        </w:rPr>
        <w:t>who</w:t>
      </w:r>
      <w:r>
        <w:rPr>
          <w:spacing w:val="-14"/>
          <w:sz w:val="22"/>
        </w:rPr>
        <w:t> </w:t>
      </w:r>
      <w:r>
        <w:rPr>
          <w:sz w:val="22"/>
        </w:rPr>
        <w:t>have</w:t>
      </w:r>
      <w:r>
        <w:rPr>
          <w:spacing w:val="-14"/>
          <w:sz w:val="22"/>
        </w:rPr>
        <w:t> </w:t>
      </w:r>
      <w:r>
        <w:rPr>
          <w:sz w:val="22"/>
        </w:rPr>
        <w:t>not</w:t>
      </w:r>
      <w:r>
        <w:rPr>
          <w:spacing w:val="-12"/>
          <w:sz w:val="22"/>
        </w:rPr>
        <w:t> </w:t>
      </w:r>
      <w:r>
        <w:rPr>
          <w:sz w:val="22"/>
        </w:rPr>
        <w:t>previously</w:t>
      </w:r>
      <w:r>
        <w:rPr>
          <w:spacing w:val="-13"/>
          <w:sz w:val="22"/>
        </w:rPr>
        <w:t> </w:t>
      </w:r>
      <w:r>
        <w:rPr>
          <w:sz w:val="22"/>
        </w:rPr>
        <w:t>participated</w:t>
      </w:r>
      <w:r>
        <w:rPr>
          <w:spacing w:val="-14"/>
          <w:sz w:val="22"/>
        </w:rPr>
        <w:t> </w:t>
      </w:r>
      <w:r>
        <w:rPr>
          <w:sz w:val="22"/>
        </w:rPr>
        <w:t>in</w:t>
      </w:r>
      <w:r>
        <w:rPr>
          <w:spacing w:val="-16"/>
          <w:sz w:val="22"/>
        </w:rPr>
        <w:t> </w:t>
      </w:r>
      <w:r>
        <w:rPr>
          <w:sz w:val="22"/>
        </w:rPr>
        <w:t>any</w:t>
      </w:r>
      <w:r>
        <w:rPr>
          <w:spacing w:val="-13"/>
          <w:sz w:val="22"/>
        </w:rPr>
        <w:t> </w:t>
      </w:r>
      <w:r>
        <w:rPr>
          <w:sz w:val="22"/>
        </w:rPr>
        <w:t>City</w:t>
      </w:r>
      <w:r>
        <w:rPr>
          <w:spacing w:val="-16"/>
          <w:sz w:val="22"/>
        </w:rPr>
        <w:t> </w:t>
      </w:r>
      <w:r>
        <w:rPr>
          <w:sz w:val="22"/>
        </w:rPr>
        <w:t>repair, rehabilitation, or reconstruction program.</w:t>
      </w:r>
    </w:p>
    <w:p>
      <w:pPr>
        <w:pStyle w:val="ListParagraph"/>
        <w:numPr>
          <w:ilvl w:val="1"/>
          <w:numId w:val="11"/>
        </w:numPr>
        <w:tabs>
          <w:tab w:pos="840" w:val="left" w:leader="none"/>
          <w:tab w:pos="841" w:val="left" w:leader="none"/>
        </w:tabs>
        <w:spacing w:line="269" w:lineRule="exact" w:before="2" w:after="0"/>
        <w:ind w:left="840" w:right="0" w:hanging="361"/>
        <w:jc w:val="left"/>
        <w:rPr>
          <w:sz w:val="22"/>
        </w:rPr>
      </w:pPr>
      <w:r>
        <w:rPr>
          <w:sz w:val="22"/>
        </w:rPr>
        <w:t>Applicants</w:t>
      </w:r>
      <w:r>
        <w:rPr>
          <w:spacing w:val="-6"/>
          <w:sz w:val="22"/>
        </w:rPr>
        <w:t> </w:t>
      </w:r>
      <w:r>
        <w:rPr>
          <w:sz w:val="22"/>
        </w:rPr>
        <w:t>must</w:t>
      </w:r>
      <w:r>
        <w:rPr>
          <w:spacing w:val="-3"/>
          <w:sz w:val="22"/>
        </w:rPr>
        <w:t> </w:t>
      </w:r>
      <w:r>
        <w:rPr>
          <w:sz w:val="22"/>
        </w:rPr>
        <w:t>be</w:t>
      </w:r>
      <w:r>
        <w:rPr>
          <w:spacing w:val="-7"/>
          <w:sz w:val="22"/>
        </w:rPr>
        <w:t> </w:t>
      </w:r>
      <w:r>
        <w:rPr>
          <w:sz w:val="22"/>
        </w:rPr>
        <w:t>willing</w:t>
      </w:r>
      <w:r>
        <w:rPr>
          <w:spacing w:val="-5"/>
          <w:sz w:val="22"/>
        </w:rPr>
        <w:t> </w:t>
      </w:r>
      <w:r>
        <w:rPr>
          <w:sz w:val="22"/>
        </w:rPr>
        <w:t>to</w:t>
      </w:r>
      <w:r>
        <w:rPr>
          <w:spacing w:val="-7"/>
          <w:sz w:val="22"/>
        </w:rPr>
        <w:t> </w:t>
      </w:r>
      <w:r>
        <w:rPr>
          <w:sz w:val="22"/>
        </w:rPr>
        <w:t>voluntarily</w:t>
      </w:r>
      <w:r>
        <w:rPr>
          <w:spacing w:val="-6"/>
          <w:sz w:val="22"/>
        </w:rPr>
        <w:t> </w:t>
      </w:r>
      <w:r>
        <w:rPr>
          <w:sz w:val="22"/>
        </w:rPr>
        <w:t>relocate</w:t>
      </w:r>
      <w:r>
        <w:rPr>
          <w:spacing w:val="-7"/>
          <w:sz w:val="22"/>
        </w:rPr>
        <w:t> </w:t>
      </w:r>
      <w:r>
        <w:rPr>
          <w:sz w:val="22"/>
        </w:rPr>
        <w:t>at</w:t>
      </w:r>
      <w:r>
        <w:rPr>
          <w:spacing w:val="-6"/>
          <w:sz w:val="22"/>
        </w:rPr>
        <w:t> </w:t>
      </w:r>
      <w:r>
        <w:rPr>
          <w:sz w:val="22"/>
        </w:rPr>
        <w:t>their</w:t>
      </w:r>
      <w:r>
        <w:rPr>
          <w:spacing w:val="-3"/>
          <w:sz w:val="22"/>
        </w:rPr>
        <w:t> </w:t>
      </w:r>
      <w:r>
        <w:rPr>
          <w:sz w:val="22"/>
        </w:rPr>
        <w:t>expense,</w:t>
      </w:r>
      <w:r>
        <w:rPr>
          <w:spacing w:val="-5"/>
          <w:sz w:val="22"/>
        </w:rPr>
        <w:t> </w:t>
      </w:r>
      <w:r>
        <w:rPr>
          <w:sz w:val="22"/>
        </w:rPr>
        <w:t>if</w:t>
      </w:r>
      <w:r>
        <w:rPr>
          <w:spacing w:val="-3"/>
          <w:sz w:val="22"/>
        </w:rPr>
        <w:t> </w:t>
      </w:r>
      <w:r>
        <w:rPr>
          <w:spacing w:val="-2"/>
          <w:sz w:val="22"/>
        </w:rPr>
        <w:t>necessary.</w:t>
      </w:r>
    </w:p>
    <w:p>
      <w:pPr>
        <w:pStyle w:val="ListParagraph"/>
        <w:numPr>
          <w:ilvl w:val="1"/>
          <w:numId w:val="11"/>
        </w:numPr>
        <w:tabs>
          <w:tab w:pos="840" w:val="left" w:leader="none"/>
          <w:tab w:pos="841" w:val="left" w:leader="none"/>
        </w:tabs>
        <w:spacing w:line="237" w:lineRule="auto" w:before="1" w:after="0"/>
        <w:ind w:left="840" w:right="156" w:hanging="361"/>
        <w:jc w:val="left"/>
        <w:rPr>
          <w:sz w:val="22"/>
        </w:rPr>
      </w:pPr>
      <w:r>
        <w:rPr>
          <w:sz w:val="22"/>
        </w:rPr>
        <w:t>Applicants</w:t>
      </w:r>
      <w:r>
        <w:rPr>
          <w:spacing w:val="39"/>
          <w:sz w:val="22"/>
        </w:rPr>
        <w:t> </w:t>
      </w:r>
      <w:r>
        <w:rPr>
          <w:sz w:val="22"/>
        </w:rPr>
        <w:t>for</w:t>
      </w:r>
      <w:r>
        <w:rPr>
          <w:spacing w:val="38"/>
          <w:sz w:val="22"/>
        </w:rPr>
        <w:t> </w:t>
      </w:r>
      <w:r>
        <w:rPr>
          <w:sz w:val="22"/>
        </w:rPr>
        <w:t>property</w:t>
      </w:r>
      <w:r>
        <w:rPr>
          <w:spacing w:val="35"/>
          <w:sz w:val="22"/>
        </w:rPr>
        <w:t> </w:t>
      </w:r>
      <w:r>
        <w:rPr>
          <w:sz w:val="22"/>
        </w:rPr>
        <w:t>owners</w:t>
      </w:r>
      <w:r>
        <w:rPr>
          <w:spacing w:val="39"/>
          <w:sz w:val="22"/>
        </w:rPr>
        <w:t> </w:t>
      </w:r>
      <w:r>
        <w:rPr>
          <w:sz w:val="22"/>
        </w:rPr>
        <w:t>who</w:t>
      </w:r>
      <w:r>
        <w:rPr>
          <w:spacing w:val="39"/>
          <w:sz w:val="22"/>
        </w:rPr>
        <w:t> </w:t>
      </w:r>
      <w:r>
        <w:rPr>
          <w:sz w:val="22"/>
        </w:rPr>
        <w:t>lease</w:t>
      </w:r>
      <w:r>
        <w:rPr>
          <w:spacing w:val="37"/>
          <w:sz w:val="22"/>
        </w:rPr>
        <w:t> </w:t>
      </w:r>
      <w:r>
        <w:rPr>
          <w:sz w:val="22"/>
        </w:rPr>
        <w:t>the</w:t>
      </w:r>
      <w:r>
        <w:rPr>
          <w:spacing w:val="37"/>
          <w:sz w:val="22"/>
        </w:rPr>
        <w:t> </w:t>
      </w:r>
      <w:r>
        <w:rPr>
          <w:sz w:val="22"/>
        </w:rPr>
        <w:t>property</w:t>
      </w:r>
      <w:r>
        <w:rPr>
          <w:spacing w:val="37"/>
          <w:sz w:val="22"/>
        </w:rPr>
        <w:t> </w:t>
      </w:r>
      <w:r>
        <w:rPr>
          <w:sz w:val="22"/>
        </w:rPr>
        <w:t>must</w:t>
      </w:r>
      <w:r>
        <w:rPr>
          <w:spacing w:val="38"/>
          <w:sz w:val="22"/>
        </w:rPr>
        <w:t> </w:t>
      </w:r>
      <w:r>
        <w:rPr>
          <w:sz w:val="22"/>
        </w:rPr>
        <w:t>assist</w:t>
      </w:r>
      <w:r>
        <w:rPr>
          <w:spacing w:val="38"/>
          <w:sz w:val="22"/>
        </w:rPr>
        <w:t> </w:t>
      </w:r>
      <w:r>
        <w:rPr>
          <w:sz w:val="22"/>
        </w:rPr>
        <w:t>their</w:t>
      </w:r>
      <w:r>
        <w:rPr>
          <w:spacing w:val="40"/>
          <w:sz w:val="22"/>
        </w:rPr>
        <w:t> </w:t>
      </w:r>
      <w:r>
        <w:rPr>
          <w:sz w:val="22"/>
        </w:rPr>
        <w:t>tenants</w:t>
      </w:r>
      <w:r>
        <w:rPr>
          <w:spacing w:val="39"/>
          <w:sz w:val="22"/>
        </w:rPr>
        <w:t> </w:t>
      </w:r>
      <w:r>
        <w:rPr>
          <w:sz w:val="22"/>
        </w:rPr>
        <w:t>with temporary relocation expenses.</w:t>
      </w:r>
    </w:p>
    <w:p>
      <w:pPr>
        <w:spacing w:after="0" w:line="237" w:lineRule="auto"/>
        <w:jc w:val="left"/>
        <w:rPr>
          <w:sz w:val="22"/>
        </w:rPr>
        <w:sectPr>
          <w:pgSz w:w="12240" w:h="15840"/>
          <w:pgMar w:header="0" w:footer="1738" w:top="1360" w:bottom="1920" w:left="1320" w:right="1280"/>
        </w:sectPr>
      </w:pPr>
    </w:p>
    <w:p>
      <w:pPr>
        <w:pStyle w:val="ListParagraph"/>
        <w:numPr>
          <w:ilvl w:val="1"/>
          <w:numId w:val="11"/>
        </w:numPr>
        <w:tabs>
          <w:tab w:pos="841" w:val="left" w:leader="none"/>
        </w:tabs>
        <w:spacing w:line="237" w:lineRule="auto" w:before="84" w:after="0"/>
        <w:ind w:left="839" w:right="158" w:hanging="360"/>
        <w:jc w:val="both"/>
        <w:rPr>
          <w:sz w:val="22"/>
        </w:rPr>
      </w:pPr>
      <w:r>
        <w:rPr>
          <w:sz w:val="22"/>
        </w:rPr>
        <w:t>Applicants</w:t>
      </w:r>
      <w:r>
        <w:rPr>
          <w:spacing w:val="-16"/>
          <w:sz w:val="22"/>
        </w:rPr>
        <w:t> </w:t>
      </w:r>
      <w:r>
        <w:rPr>
          <w:sz w:val="22"/>
        </w:rPr>
        <w:t>must</w:t>
      </w:r>
      <w:r>
        <w:rPr>
          <w:spacing w:val="-15"/>
          <w:sz w:val="22"/>
        </w:rPr>
        <w:t> </w:t>
      </w:r>
      <w:r>
        <w:rPr>
          <w:sz w:val="22"/>
        </w:rPr>
        <w:t>move</w:t>
      </w:r>
      <w:r>
        <w:rPr>
          <w:spacing w:val="-15"/>
          <w:sz w:val="22"/>
        </w:rPr>
        <w:t> </w:t>
      </w:r>
      <w:r>
        <w:rPr>
          <w:sz w:val="22"/>
        </w:rPr>
        <w:t>any</w:t>
      </w:r>
      <w:r>
        <w:rPr>
          <w:spacing w:val="-16"/>
          <w:sz w:val="22"/>
        </w:rPr>
        <w:t> </w:t>
      </w:r>
      <w:r>
        <w:rPr>
          <w:sz w:val="22"/>
        </w:rPr>
        <w:t>items</w:t>
      </w:r>
      <w:r>
        <w:rPr>
          <w:spacing w:val="-15"/>
          <w:sz w:val="22"/>
        </w:rPr>
        <w:t> </w:t>
      </w:r>
      <w:r>
        <w:rPr>
          <w:sz w:val="22"/>
        </w:rPr>
        <w:t>that</w:t>
      </w:r>
      <w:r>
        <w:rPr>
          <w:spacing w:val="-15"/>
          <w:sz w:val="22"/>
        </w:rPr>
        <w:t> </w:t>
      </w:r>
      <w:r>
        <w:rPr>
          <w:sz w:val="22"/>
        </w:rPr>
        <w:t>prohibit</w:t>
      </w:r>
      <w:r>
        <w:rPr>
          <w:spacing w:val="-15"/>
          <w:sz w:val="22"/>
        </w:rPr>
        <w:t> </w:t>
      </w:r>
      <w:r>
        <w:rPr>
          <w:sz w:val="22"/>
        </w:rPr>
        <w:t>the</w:t>
      </w:r>
      <w:r>
        <w:rPr>
          <w:spacing w:val="-16"/>
          <w:sz w:val="22"/>
        </w:rPr>
        <w:t> </w:t>
      </w:r>
      <w:r>
        <w:rPr>
          <w:sz w:val="22"/>
        </w:rPr>
        <w:t>rehabilitation</w:t>
      </w:r>
      <w:r>
        <w:rPr>
          <w:spacing w:val="-15"/>
          <w:sz w:val="22"/>
        </w:rPr>
        <w:t> </w:t>
      </w:r>
      <w:r>
        <w:rPr>
          <w:sz w:val="22"/>
        </w:rPr>
        <w:t>work</w:t>
      </w:r>
      <w:r>
        <w:rPr>
          <w:spacing w:val="-15"/>
          <w:sz w:val="22"/>
        </w:rPr>
        <w:t> </w:t>
      </w:r>
      <w:r>
        <w:rPr>
          <w:sz w:val="22"/>
        </w:rPr>
        <w:t>from</w:t>
      </w:r>
      <w:r>
        <w:rPr>
          <w:spacing w:val="-16"/>
          <w:sz w:val="22"/>
        </w:rPr>
        <w:t> </w:t>
      </w:r>
      <w:r>
        <w:rPr>
          <w:sz w:val="22"/>
        </w:rPr>
        <w:t>being</w:t>
      </w:r>
      <w:r>
        <w:rPr>
          <w:spacing w:val="-15"/>
          <w:sz w:val="22"/>
        </w:rPr>
        <w:t> </w:t>
      </w:r>
      <w:r>
        <w:rPr>
          <w:sz w:val="22"/>
        </w:rPr>
        <w:t>performed, if necessary.</w:t>
      </w:r>
    </w:p>
    <w:p>
      <w:pPr>
        <w:pStyle w:val="ListParagraph"/>
        <w:numPr>
          <w:ilvl w:val="1"/>
          <w:numId w:val="11"/>
        </w:numPr>
        <w:tabs>
          <w:tab w:pos="841" w:val="left" w:leader="none"/>
        </w:tabs>
        <w:spacing w:line="240" w:lineRule="auto" w:before="1" w:after="0"/>
        <w:ind w:left="839" w:right="154" w:hanging="360"/>
        <w:jc w:val="both"/>
        <w:rPr>
          <w:sz w:val="22"/>
        </w:rPr>
      </w:pPr>
      <w:r>
        <w:rPr>
          <w:sz w:val="22"/>
        </w:rPr>
        <w:t>City Council members, Department of Housing and Neighborhood Revitalization employees and any employee, official or agent of the City is subject to the requirements of</w:t>
      </w:r>
      <w:r>
        <w:rPr>
          <w:spacing w:val="-10"/>
          <w:sz w:val="22"/>
        </w:rPr>
        <w:t> </w:t>
      </w:r>
      <w:r>
        <w:rPr>
          <w:sz w:val="22"/>
        </w:rPr>
        <w:t>the</w:t>
      </w:r>
      <w:r>
        <w:rPr>
          <w:spacing w:val="-11"/>
          <w:sz w:val="22"/>
        </w:rPr>
        <w:t> </w:t>
      </w:r>
      <w:r>
        <w:rPr>
          <w:sz w:val="22"/>
        </w:rPr>
        <w:t>City</w:t>
      </w:r>
      <w:r>
        <w:rPr>
          <w:spacing w:val="-11"/>
          <w:sz w:val="22"/>
        </w:rPr>
        <w:t> </w:t>
      </w:r>
      <w:r>
        <w:rPr>
          <w:sz w:val="22"/>
        </w:rPr>
        <w:t>of</w:t>
      </w:r>
      <w:r>
        <w:rPr>
          <w:spacing w:val="-10"/>
          <w:sz w:val="22"/>
        </w:rPr>
        <w:t> </w:t>
      </w:r>
      <w:r>
        <w:rPr>
          <w:sz w:val="22"/>
        </w:rPr>
        <w:t>Dallas</w:t>
      </w:r>
      <w:r>
        <w:rPr>
          <w:spacing w:val="-9"/>
          <w:sz w:val="22"/>
        </w:rPr>
        <w:t> </w:t>
      </w:r>
      <w:r>
        <w:rPr>
          <w:sz w:val="22"/>
        </w:rPr>
        <w:t>Code</w:t>
      </w:r>
      <w:r>
        <w:rPr>
          <w:spacing w:val="-11"/>
          <w:sz w:val="22"/>
        </w:rPr>
        <w:t> </w:t>
      </w:r>
      <w:r>
        <w:rPr>
          <w:sz w:val="22"/>
        </w:rPr>
        <w:t>of</w:t>
      </w:r>
      <w:r>
        <w:rPr>
          <w:spacing w:val="-10"/>
          <w:sz w:val="22"/>
        </w:rPr>
        <w:t> </w:t>
      </w:r>
      <w:r>
        <w:rPr>
          <w:sz w:val="22"/>
        </w:rPr>
        <w:t>Ethics,</w:t>
      </w:r>
      <w:r>
        <w:rPr>
          <w:spacing w:val="-10"/>
          <w:sz w:val="22"/>
        </w:rPr>
        <w:t> </w:t>
      </w:r>
      <w:r>
        <w:rPr>
          <w:sz w:val="22"/>
        </w:rPr>
        <w:t>and</w:t>
      </w:r>
      <w:r>
        <w:rPr>
          <w:spacing w:val="-11"/>
          <w:sz w:val="22"/>
        </w:rPr>
        <w:t> </w:t>
      </w:r>
      <w:r>
        <w:rPr>
          <w:sz w:val="22"/>
        </w:rPr>
        <w:t>further,</w:t>
      </w:r>
      <w:r>
        <w:rPr>
          <w:spacing w:val="-12"/>
          <w:sz w:val="22"/>
        </w:rPr>
        <w:t> </w:t>
      </w:r>
      <w:r>
        <w:rPr>
          <w:sz w:val="22"/>
        </w:rPr>
        <w:t>those</w:t>
      </w:r>
      <w:r>
        <w:rPr>
          <w:spacing w:val="-9"/>
          <w:sz w:val="22"/>
        </w:rPr>
        <w:t> </w:t>
      </w:r>
      <w:r>
        <w:rPr>
          <w:sz w:val="22"/>
        </w:rPr>
        <w:t>who</w:t>
      </w:r>
      <w:r>
        <w:rPr>
          <w:spacing w:val="-11"/>
          <w:sz w:val="22"/>
        </w:rPr>
        <w:t> </w:t>
      </w:r>
      <w:r>
        <w:rPr>
          <w:sz w:val="22"/>
        </w:rPr>
        <w:t>exercise</w:t>
      </w:r>
      <w:r>
        <w:rPr>
          <w:spacing w:val="-10"/>
          <w:sz w:val="22"/>
        </w:rPr>
        <w:t> </w:t>
      </w:r>
      <w:r>
        <w:rPr>
          <w:sz w:val="22"/>
        </w:rPr>
        <w:t>any</w:t>
      </w:r>
      <w:r>
        <w:rPr>
          <w:spacing w:val="-11"/>
          <w:sz w:val="22"/>
        </w:rPr>
        <w:t> </w:t>
      </w:r>
      <w:r>
        <w:rPr>
          <w:sz w:val="22"/>
        </w:rPr>
        <w:t>policy</w:t>
      </w:r>
      <w:r>
        <w:rPr>
          <w:spacing w:val="-9"/>
          <w:sz w:val="22"/>
        </w:rPr>
        <w:t> </w:t>
      </w:r>
      <w:r>
        <w:rPr>
          <w:sz w:val="22"/>
        </w:rPr>
        <w:t>or</w:t>
      </w:r>
      <w:r>
        <w:rPr>
          <w:spacing w:val="-10"/>
          <w:sz w:val="22"/>
        </w:rPr>
        <w:t> </w:t>
      </w:r>
      <w:r>
        <w:rPr>
          <w:sz w:val="22"/>
        </w:rPr>
        <w:t>program decision-making function in connection with the program are ineligible for assistance under the program, even if it is not a violation of the Code of Ethics.</w:t>
      </w:r>
    </w:p>
    <w:p>
      <w:pPr>
        <w:pStyle w:val="BodyText"/>
        <w:spacing w:before="8"/>
        <w:rPr>
          <w:sz w:val="21"/>
        </w:rPr>
      </w:pPr>
    </w:p>
    <w:p>
      <w:pPr>
        <w:pStyle w:val="Heading5"/>
      </w:pPr>
      <w:r>
        <w:rPr/>
        <w:pict>
          <v:shape style="position:absolute;margin-left:90.065002pt;margin-top:-5.486173pt;width:395.3pt;height:419pt;mso-position-horizontal-relative:page;mso-position-vertical-relative:paragraph;z-index:-17722880" id="docshape48" coordorigin="1801,-110" coordsize="7906,8380" path="m4498,7154l4492,7081,4477,7003,4455,6920,4432,6851,4403,6778,4367,6703,4325,6626,4276,6545,4237,6486,4200,6435,4200,7121,4197,7177,4186,7234,4167,7291,4138,7351,4097,7414,4044,7480,3979,7549,3674,7855,2216,6397,2517,6096,2598,6020,2672,5960,2740,5917,2801,5890,2868,5876,2941,5871,3020,5878,3105,5896,3195,5925,3255,5951,3317,5983,3380,6022,3446,6067,3514,6118,3584,6177,3656,6241,3729,6313,3789,6374,3845,6434,3896,6493,3943,6551,3986,6608,4025,6663,4059,6717,4101,6792,4136,6864,4163,6933,4183,7000,4196,7064,4200,7121,4200,6435,4194,6426,4148,6366,4098,6306,4045,6244,3989,6183,3929,6121,3865,6059,3801,6001,3737,5946,3673,5894,3643,5871,3609,5846,3546,5802,3482,5761,3419,5723,3346,5685,3274,5653,3203,5625,3132,5603,3062,5586,2992,5574,2923,5567,2850,5566,2779,5572,2709,5587,2642,5610,2577,5640,2528,5669,2476,5706,2420,5751,2359,5805,2294,5868,1801,6361,3710,8269,4124,7855,4226,7753,4287,7688,4341,7622,4386,7557,4424,7490,4454,7423,4476,7357,4491,7290,4498,7223,4498,7154xm6418,5561l6056,5433,5650,5290,5561,5261,5475,5237,5393,5218,5365,5213,5314,5204,5239,5194,5193,5192,5143,5195,5089,5202,5030,5213,5073,5143,5109,5074,5136,5005,5154,4936,5164,4867,5165,4799,5157,4731,5139,4653,5111,4577,5075,4502,5030,4430,4976,4359,4956,4336,4913,4290,4872,4252,4872,4809,4868,4865,4854,4920,4830,4976,4794,5035,4747,5096,4687,5160,4280,5567,3649,4935,4102,4482,4166,4425,4229,4382,4293,4353,4358,4337,4422,4336,4501,4352,4577,4381,4649,4426,4718,4486,4761,4533,4797,4584,4827,4638,4851,4694,4867,4752,4872,4809,4872,4252,4849,4231,4782,4178,4713,4133,4641,4094,4566,4062,4474,4034,4386,4021,4303,4023,4225,4039,4163,4064,4098,4101,4030,4149,3958,4208,3883,4279,3248,4914,5157,6822,5346,6633,4499,5785,4718,5567,4753,5532,4783,5505,4810,5484,4833,5469,4863,5456,4896,5445,4932,5437,4971,5433,5014,5433,5066,5438,5125,5449,5194,5465,5256,5482,5328,5503,5407,5528,5496,5558,6180,5799,6418,5561xm7780,4199l7415,4003,6555,3549,6555,3856,6070,4342,6030,4270,5989,4198,5748,3768,5708,3696,5668,3625,5629,3559,5590,3494,5550,3431,5509,3367,5467,3305,5424,3244,5380,3183,5436,3219,5498,3257,5564,3297,5635,3339,5792,3429,6555,3856,6555,3549,5862,3183,5286,2876,5082,3080,5277,3431,5316,3501,5701,4199,6207,5118,6441,5538,6642,5337,6565,5204,6298,4735,6221,4602,6481,4342,6820,4003,7173,4199,7565,4414,7780,4199xm8131,3848l7264,2981,7936,2309,7711,2084,7039,2756,6448,2165,7224,1389,6999,1164,6033,2129,7941,4037,8131,3848xm9707,2272l8024,589,8497,115,8272,-110,7138,1025,7363,1250,7834,778,9517,2461,9707,2272xe" filled="true" fillcolor="#c0c0c0" stroked="false">
            <v:path arrowok="t"/>
            <v:fill opacity="32896f" type="solid"/>
            <w10:wrap type="none"/>
          </v:shape>
        </w:pict>
      </w:r>
      <w:r>
        <w:rPr/>
        <w:t>Property</w:t>
      </w:r>
      <w:r>
        <w:rPr>
          <w:spacing w:val="-6"/>
        </w:rPr>
        <w:t> </w:t>
      </w:r>
      <w:r>
        <w:rPr>
          <w:spacing w:val="-2"/>
        </w:rPr>
        <w:t>Eligibility</w:t>
      </w:r>
    </w:p>
    <w:p>
      <w:pPr>
        <w:pStyle w:val="ListParagraph"/>
        <w:numPr>
          <w:ilvl w:val="1"/>
          <w:numId w:val="11"/>
        </w:numPr>
        <w:tabs>
          <w:tab w:pos="841" w:val="left" w:leader="none"/>
        </w:tabs>
        <w:spacing w:line="237" w:lineRule="auto" w:before="54" w:after="0"/>
        <w:ind w:left="840" w:right="153" w:hanging="361"/>
        <w:jc w:val="both"/>
        <w:rPr>
          <w:sz w:val="22"/>
        </w:rPr>
      </w:pPr>
      <w:r>
        <w:rPr>
          <w:sz w:val="22"/>
        </w:rPr>
        <w:t>Must</w:t>
      </w:r>
      <w:r>
        <w:rPr>
          <w:spacing w:val="-16"/>
          <w:sz w:val="22"/>
        </w:rPr>
        <w:t> </w:t>
      </w:r>
      <w:r>
        <w:rPr>
          <w:sz w:val="22"/>
        </w:rPr>
        <w:t>meet</w:t>
      </w:r>
      <w:r>
        <w:rPr>
          <w:spacing w:val="-15"/>
          <w:sz w:val="22"/>
        </w:rPr>
        <w:t> </w:t>
      </w:r>
      <w:r>
        <w:rPr>
          <w:sz w:val="22"/>
        </w:rPr>
        <w:t>the</w:t>
      </w:r>
      <w:r>
        <w:rPr>
          <w:spacing w:val="-15"/>
          <w:sz w:val="22"/>
        </w:rPr>
        <w:t> </w:t>
      </w:r>
      <w:r>
        <w:rPr>
          <w:sz w:val="22"/>
        </w:rPr>
        <w:t>dwelling</w:t>
      </w:r>
      <w:r>
        <w:rPr>
          <w:spacing w:val="-16"/>
          <w:sz w:val="22"/>
        </w:rPr>
        <w:t> </w:t>
      </w:r>
      <w:r>
        <w:rPr>
          <w:sz w:val="22"/>
        </w:rPr>
        <w:t>type,</w:t>
      </w:r>
      <w:r>
        <w:rPr>
          <w:spacing w:val="-15"/>
          <w:sz w:val="22"/>
        </w:rPr>
        <w:t> </w:t>
      </w:r>
      <w:r>
        <w:rPr>
          <w:sz w:val="22"/>
        </w:rPr>
        <w:t>property</w:t>
      </w:r>
      <w:r>
        <w:rPr>
          <w:spacing w:val="-15"/>
          <w:sz w:val="22"/>
        </w:rPr>
        <w:t> </w:t>
      </w:r>
      <w:r>
        <w:rPr>
          <w:sz w:val="22"/>
        </w:rPr>
        <w:t>owner</w:t>
      </w:r>
      <w:r>
        <w:rPr>
          <w:spacing w:val="-15"/>
          <w:sz w:val="22"/>
        </w:rPr>
        <w:t> </w:t>
      </w:r>
      <w:r>
        <w:rPr>
          <w:sz w:val="22"/>
        </w:rPr>
        <w:t>status,</w:t>
      </w:r>
      <w:r>
        <w:rPr>
          <w:spacing w:val="-16"/>
          <w:sz w:val="22"/>
        </w:rPr>
        <w:t> </w:t>
      </w:r>
      <w:r>
        <w:rPr>
          <w:sz w:val="22"/>
        </w:rPr>
        <w:t>location</w:t>
      </w:r>
      <w:r>
        <w:rPr>
          <w:spacing w:val="-15"/>
          <w:sz w:val="22"/>
        </w:rPr>
        <w:t> </w:t>
      </w:r>
      <w:r>
        <w:rPr>
          <w:sz w:val="22"/>
        </w:rPr>
        <w:t>or</w:t>
      </w:r>
      <w:r>
        <w:rPr>
          <w:spacing w:val="-15"/>
          <w:sz w:val="22"/>
        </w:rPr>
        <w:t> </w:t>
      </w:r>
      <w:r>
        <w:rPr>
          <w:sz w:val="22"/>
        </w:rPr>
        <w:t>other</w:t>
      </w:r>
      <w:r>
        <w:rPr>
          <w:spacing w:val="-16"/>
          <w:sz w:val="22"/>
        </w:rPr>
        <w:t> </w:t>
      </w:r>
      <w:r>
        <w:rPr>
          <w:sz w:val="22"/>
        </w:rPr>
        <w:t>Sub-Program</w:t>
      </w:r>
      <w:r>
        <w:rPr>
          <w:spacing w:val="-15"/>
          <w:sz w:val="22"/>
        </w:rPr>
        <w:t> </w:t>
      </w:r>
      <w:r>
        <w:rPr>
          <w:sz w:val="22"/>
        </w:rPr>
        <w:t>Module </w:t>
      </w:r>
      <w:r>
        <w:rPr>
          <w:spacing w:val="-2"/>
          <w:sz w:val="22"/>
        </w:rPr>
        <w:t>criteria.</w:t>
      </w:r>
    </w:p>
    <w:p>
      <w:pPr>
        <w:pStyle w:val="ListParagraph"/>
        <w:numPr>
          <w:ilvl w:val="1"/>
          <w:numId w:val="11"/>
        </w:numPr>
        <w:tabs>
          <w:tab w:pos="841" w:val="left" w:leader="none"/>
        </w:tabs>
        <w:spacing w:line="237" w:lineRule="auto" w:before="4" w:after="0"/>
        <w:ind w:left="840" w:right="155" w:hanging="361"/>
        <w:jc w:val="both"/>
        <w:rPr>
          <w:sz w:val="22"/>
        </w:rPr>
      </w:pPr>
      <w:r>
        <w:rPr>
          <w:sz w:val="22"/>
        </w:rPr>
        <w:t>Property taxes must be current. Property taxes must not be delinquent for any tax year unless the Applicant has entered into a written agreement with the taxing authority outlining a payment plan for delinquent taxes and is abiding by the written agreement.</w:t>
      </w:r>
    </w:p>
    <w:p>
      <w:pPr>
        <w:pStyle w:val="ListParagraph"/>
        <w:numPr>
          <w:ilvl w:val="1"/>
          <w:numId w:val="11"/>
        </w:numPr>
        <w:tabs>
          <w:tab w:pos="841" w:val="left" w:leader="none"/>
        </w:tabs>
        <w:spacing w:line="269" w:lineRule="exact" w:before="2" w:after="0"/>
        <w:ind w:left="840" w:right="0" w:hanging="361"/>
        <w:jc w:val="both"/>
        <w:rPr>
          <w:sz w:val="22"/>
        </w:rPr>
      </w:pPr>
      <w:r>
        <w:rPr>
          <w:sz w:val="22"/>
        </w:rPr>
        <w:t>Applicant</w:t>
      </w:r>
      <w:r>
        <w:rPr>
          <w:spacing w:val="-4"/>
          <w:sz w:val="22"/>
        </w:rPr>
        <w:t> </w:t>
      </w:r>
      <w:r>
        <w:rPr>
          <w:sz w:val="22"/>
        </w:rPr>
        <w:t>must</w:t>
      </w:r>
      <w:r>
        <w:rPr>
          <w:spacing w:val="-2"/>
          <w:sz w:val="22"/>
        </w:rPr>
        <w:t> </w:t>
      </w:r>
      <w:r>
        <w:rPr>
          <w:sz w:val="22"/>
        </w:rPr>
        <w:t>certify</w:t>
      </w:r>
      <w:r>
        <w:rPr>
          <w:spacing w:val="-5"/>
          <w:sz w:val="22"/>
        </w:rPr>
        <w:t> </w:t>
      </w:r>
      <w:r>
        <w:rPr>
          <w:sz w:val="22"/>
        </w:rPr>
        <w:t>that</w:t>
      </w:r>
      <w:r>
        <w:rPr>
          <w:spacing w:val="-3"/>
          <w:sz w:val="22"/>
        </w:rPr>
        <w:t> </w:t>
      </w:r>
      <w:r>
        <w:rPr>
          <w:sz w:val="22"/>
        </w:rPr>
        <w:t>the</w:t>
      </w:r>
      <w:r>
        <w:rPr>
          <w:spacing w:val="-4"/>
          <w:sz w:val="22"/>
        </w:rPr>
        <w:t> </w:t>
      </w:r>
      <w:r>
        <w:rPr>
          <w:sz w:val="22"/>
        </w:rPr>
        <w:t>home</w:t>
      </w:r>
      <w:r>
        <w:rPr>
          <w:spacing w:val="-3"/>
          <w:sz w:val="22"/>
        </w:rPr>
        <w:t> </w:t>
      </w:r>
      <w:r>
        <w:rPr>
          <w:sz w:val="22"/>
        </w:rPr>
        <w:t>is</w:t>
      </w:r>
      <w:r>
        <w:rPr>
          <w:spacing w:val="-6"/>
          <w:sz w:val="22"/>
        </w:rPr>
        <w:t> </w:t>
      </w:r>
      <w:r>
        <w:rPr>
          <w:sz w:val="22"/>
        </w:rPr>
        <w:t>not</w:t>
      </w:r>
      <w:r>
        <w:rPr>
          <w:spacing w:val="-4"/>
          <w:sz w:val="22"/>
        </w:rPr>
        <w:t> </w:t>
      </w:r>
      <w:r>
        <w:rPr>
          <w:sz w:val="22"/>
        </w:rPr>
        <w:t>for</w:t>
      </w:r>
      <w:r>
        <w:rPr>
          <w:spacing w:val="-4"/>
          <w:sz w:val="22"/>
        </w:rPr>
        <w:t> sale.</w:t>
      </w:r>
    </w:p>
    <w:p>
      <w:pPr>
        <w:pStyle w:val="ListParagraph"/>
        <w:numPr>
          <w:ilvl w:val="1"/>
          <w:numId w:val="11"/>
        </w:numPr>
        <w:tabs>
          <w:tab w:pos="841" w:val="left" w:leader="none"/>
        </w:tabs>
        <w:spacing w:line="237" w:lineRule="auto" w:before="2" w:after="0"/>
        <w:ind w:left="840" w:right="160" w:hanging="361"/>
        <w:jc w:val="both"/>
        <w:rPr>
          <w:sz w:val="22"/>
        </w:rPr>
      </w:pPr>
      <w:r>
        <w:rPr>
          <w:sz w:val="22"/>
        </w:rPr>
        <w:t>Applicant</w:t>
      </w:r>
      <w:r>
        <w:rPr>
          <w:spacing w:val="-12"/>
          <w:sz w:val="22"/>
        </w:rPr>
        <w:t> </w:t>
      </w:r>
      <w:r>
        <w:rPr>
          <w:sz w:val="22"/>
        </w:rPr>
        <w:t>for</w:t>
      </w:r>
      <w:r>
        <w:rPr>
          <w:spacing w:val="-12"/>
          <w:sz w:val="22"/>
        </w:rPr>
        <w:t> </w:t>
      </w:r>
      <w:r>
        <w:rPr>
          <w:sz w:val="22"/>
        </w:rPr>
        <w:t>a</w:t>
      </w:r>
      <w:r>
        <w:rPr>
          <w:spacing w:val="-13"/>
          <w:sz w:val="22"/>
        </w:rPr>
        <w:t> </w:t>
      </w:r>
      <w:r>
        <w:rPr>
          <w:sz w:val="22"/>
        </w:rPr>
        <w:t>homeowner</w:t>
      </w:r>
      <w:r>
        <w:rPr>
          <w:spacing w:val="-12"/>
          <w:sz w:val="22"/>
        </w:rPr>
        <w:t> </w:t>
      </w:r>
      <w:r>
        <w:rPr>
          <w:sz w:val="22"/>
        </w:rPr>
        <w:t>based</w:t>
      </w:r>
      <w:r>
        <w:rPr>
          <w:spacing w:val="-13"/>
          <w:sz w:val="22"/>
        </w:rPr>
        <w:t> </w:t>
      </w:r>
      <w:r>
        <w:rPr>
          <w:sz w:val="22"/>
        </w:rPr>
        <w:t>Sub-Program</w:t>
      </w:r>
      <w:r>
        <w:rPr>
          <w:spacing w:val="-14"/>
          <w:sz w:val="22"/>
        </w:rPr>
        <w:t> </w:t>
      </w:r>
      <w:r>
        <w:rPr>
          <w:sz w:val="22"/>
        </w:rPr>
        <w:t>Module</w:t>
      </w:r>
      <w:r>
        <w:rPr>
          <w:spacing w:val="-13"/>
          <w:sz w:val="22"/>
        </w:rPr>
        <w:t> </w:t>
      </w:r>
      <w:r>
        <w:rPr>
          <w:sz w:val="22"/>
        </w:rPr>
        <w:t>must</w:t>
      </w:r>
      <w:r>
        <w:rPr>
          <w:spacing w:val="-12"/>
          <w:sz w:val="22"/>
        </w:rPr>
        <w:t> </w:t>
      </w:r>
      <w:r>
        <w:rPr>
          <w:sz w:val="22"/>
        </w:rPr>
        <w:t>have</w:t>
      </w:r>
      <w:r>
        <w:rPr>
          <w:spacing w:val="-13"/>
          <w:sz w:val="22"/>
        </w:rPr>
        <w:t> </w:t>
      </w:r>
      <w:r>
        <w:rPr>
          <w:sz w:val="22"/>
        </w:rPr>
        <w:t>occupied</w:t>
      </w:r>
      <w:r>
        <w:rPr>
          <w:spacing w:val="-13"/>
          <w:sz w:val="22"/>
        </w:rPr>
        <w:t> </w:t>
      </w:r>
      <w:r>
        <w:rPr>
          <w:sz w:val="22"/>
        </w:rPr>
        <w:t>the</w:t>
      </w:r>
      <w:r>
        <w:rPr>
          <w:spacing w:val="-13"/>
          <w:sz w:val="22"/>
        </w:rPr>
        <w:t> </w:t>
      </w:r>
      <w:r>
        <w:rPr>
          <w:sz w:val="22"/>
        </w:rPr>
        <w:t>home</w:t>
      </w:r>
      <w:r>
        <w:rPr>
          <w:spacing w:val="-13"/>
          <w:sz w:val="22"/>
        </w:rPr>
        <w:t> </w:t>
      </w:r>
      <w:r>
        <w:rPr>
          <w:sz w:val="22"/>
        </w:rPr>
        <w:t>for at least six months prior to application unless length of occupancy is modified in Sub- Program Module.</w:t>
      </w:r>
    </w:p>
    <w:p>
      <w:pPr>
        <w:pStyle w:val="ListParagraph"/>
        <w:numPr>
          <w:ilvl w:val="1"/>
          <w:numId w:val="11"/>
        </w:numPr>
        <w:tabs>
          <w:tab w:pos="841" w:val="left" w:leader="none"/>
        </w:tabs>
        <w:spacing w:line="237" w:lineRule="auto" w:before="5" w:after="0"/>
        <w:ind w:left="840" w:right="157" w:hanging="361"/>
        <w:jc w:val="both"/>
        <w:rPr>
          <w:sz w:val="22"/>
        </w:rPr>
      </w:pPr>
      <w:r>
        <w:rPr>
          <w:sz w:val="22"/>
        </w:rPr>
        <w:t>Applicant</w:t>
      </w:r>
      <w:r>
        <w:rPr>
          <w:spacing w:val="-4"/>
          <w:sz w:val="22"/>
        </w:rPr>
        <w:t> </w:t>
      </w:r>
      <w:r>
        <w:rPr>
          <w:sz w:val="22"/>
        </w:rPr>
        <w:t>for</w:t>
      </w:r>
      <w:r>
        <w:rPr>
          <w:spacing w:val="-4"/>
          <w:sz w:val="22"/>
        </w:rPr>
        <w:t> </w:t>
      </w:r>
      <w:r>
        <w:rPr>
          <w:sz w:val="22"/>
        </w:rPr>
        <w:t>a</w:t>
      </w:r>
      <w:r>
        <w:rPr>
          <w:spacing w:val="-5"/>
          <w:sz w:val="22"/>
        </w:rPr>
        <w:t> </w:t>
      </w:r>
      <w:r>
        <w:rPr>
          <w:sz w:val="22"/>
        </w:rPr>
        <w:t>lease</w:t>
      </w:r>
      <w:r>
        <w:rPr>
          <w:spacing w:val="-5"/>
          <w:sz w:val="22"/>
        </w:rPr>
        <w:t> </w:t>
      </w:r>
      <w:r>
        <w:rPr>
          <w:sz w:val="22"/>
        </w:rPr>
        <w:t>based</w:t>
      </w:r>
      <w:r>
        <w:rPr>
          <w:spacing w:val="-5"/>
          <w:sz w:val="22"/>
        </w:rPr>
        <w:t> </w:t>
      </w:r>
      <w:r>
        <w:rPr>
          <w:sz w:val="22"/>
        </w:rPr>
        <w:t>Sub-Program</w:t>
      </w:r>
      <w:r>
        <w:rPr>
          <w:spacing w:val="-6"/>
          <w:sz w:val="22"/>
        </w:rPr>
        <w:t> </w:t>
      </w:r>
      <w:r>
        <w:rPr>
          <w:sz w:val="22"/>
        </w:rPr>
        <w:t>Module</w:t>
      </w:r>
      <w:r>
        <w:rPr>
          <w:spacing w:val="-5"/>
          <w:sz w:val="22"/>
        </w:rPr>
        <w:t> </w:t>
      </w:r>
      <w:r>
        <w:rPr>
          <w:sz w:val="22"/>
        </w:rPr>
        <w:t>must</w:t>
      </w:r>
      <w:r>
        <w:rPr>
          <w:spacing w:val="-4"/>
          <w:sz w:val="22"/>
        </w:rPr>
        <w:t> </w:t>
      </w:r>
      <w:r>
        <w:rPr>
          <w:sz w:val="22"/>
        </w:rPr>
        <w:t>have</w:t>
      </w:r>
      <w:r>
        <w:rPr>
          <w:spacing w:val="-5"/>
          <w:sz w:val="22"/>
        </w:rPr>
        <w:t> </w:t>
      </w:r>
      <w:r>
        <w:rPr>
          <w:sz w:val="22"/>
        </w:rPr>
        <w:t>owned</w:t>
      </w:r>
      <w:r>
        <w:rPr>
          <w:spacing w:val="-5"/>
          <w:sz w:val="22"/>
        </w:rPr>
        <w:t> </w:t>
      </w:r>
      <w:r>
        <w:rPr>
          <w:sz w:val="22"/>
        </w:rPr>
        <w:t>the</w:t>
      </w:r>
      <w:r>
        <w:rPr>
          <w:spacing w:val="-5"/>
          <w:sz w:val="22"/>
        </w:rPr>
        <w:t> </w:t>
      </w:r>
      <w:r>
        <w:rPr>
          <w:sz w:val="22"/>
        </w:rPr>
        <w:t>home</w:t>
      </w:r>
      <w:r>
        <w:rPr>
          <w:spacing w:val="-5"/>
          <w:sz w:val="22"/>
        </w:rPr>
        <w:t> </w:t>
      </w:r>
      <w:r>
        <w:rPr>
          <w:sz w:val="22"/>
        </w:rPr>
        <w:t>for</w:t>
      </w:r>
      <w:r>
        <w:rPr>
          <w:spacing w:val="-4"/>
          <w:sz w:val="22"/>
        </w:rPr>
        <w:t> </w:t>
      </w:r>
      <w:r>
        <w:rPr>
          <w:sz w:val="22"/>
        </w:rPr>
        <w:t>at</w:t>
      </w:r>
      <w:r>
        <w:rPr>
          <w:spacing w:val="-4"/>
          <w:sz w:val="22"/>
        </w:rPr>
        <w:t> </w:t>
      </w:r>
      <w:r>
        <w:rPr>
          <w:sz w:val="22"/>
        </w:rPr>
        <w:t>least six months prior to application.</w:t>
      </w:r>
    </w:p>
    <w:p>
      <w:pPr>
        <w:pStyle w:val="ListParagraph"/>
        <w:numPr>
          <w:ilvl w:val="1"/>
          <w:numId w:val="11"/>
        </w:numPr>
        <w:tabs>
          <w:tab w:pos="841" w:val="left" w:leader="none"/>
        </w:tabs>
        <w:spacing w:line="240" w:lineRule="auto" w:before="1" w:after="0"/>
        <w:ind w:left="840" w:right="155" w:hanging="360"/>
        <w:jc w:val="both"/>
        <w:rPr>
          <w:sz w:val="22"/>
        </w:rPr>
      </w:pPr>
      <w:r>
        <w:rPr>
          <w:sz w:val="22"/>
        </w:rPr>
        <w:t>If the property was previously assisted with funds through the Targeted Rehab Program and the property is still</w:t>
      </w:r>
      <w:r>
        <w:rPr>
          <w:spacing w:val="-1"/>
          <w:sz w:val="22"/>
        </w:rPr>
        <w:t> </w:t>
      </w:r>
      <w:r>
        <w:rPr>
          <w:sz w:val="22"/>
        </w:rPr>
        <w:t>within the period of affordability, Applicant may</w:t>
      </w:r>
      <w:r>
        <w:rPr>
          <w:spacing w:val="-2"/>
          <w:sz w:val="22"/>
        </w:rPr>
        <w:t> </w:t>
      </w:r>
      <w:r>
        <w:rPr>
          <w:sz w:val="22"/>
        </w:rPr>
        <w:t>reapply to receive additional assistance up to an amount not exceeding the maximum per property amount for the applicable Sub-Program Module when combined with the amount of prior assistance received.</w:t>
      </w:r>
      <w:r>
        <w:rPr>
          <w:spacing w:val="40"/>
          <w:sz w:val="22"/>
        </w:rPr>
        <w:t> </w:t>
      </w:r>
      <w:r>
        <w:rPr>
          <w:sz w:val="22"/>
        </w:rPr>
        <w:t>Receipt of additional funds may result in additional deed of trust and/or deed restrictions being filed against the property according to the Sub-Program Module requirements.</w:t>
      </w:r>
    </w:p>
    <w:p>
      <w:pPr>
        <w:pStyle w:val="ListParagraph"/>
        <w:numPr>
          <w:ilvl w:val="1"/>
          <w:numId w:val="11"/>
        </w:numPr>
        <w:tabs>
          <w:tab w:pos="841" w:val="left" w:leader="none"/>
        </w:tabs>
        <w:spacing w:line="237" w:lineRule="auto" w:before="0" w:after="0"/>
        <w:ind w:left="840" w:right="156" w:hanging="361"/>
        <w:jc w:val="both"/>
        <w:rPr>
          <w:sz w:val="22"/>
        </w:rPr>
      </w:pPr>
      <w:r>
        <w:rPr>
          <w:sz w:val="22"/>
        </w:rPr>
        <w:t>Requested</w:t>
      </w:r>
      <w:r>
        <w:rPr>
          <w:spacing w:val="-7"/>
          <w:sz w:val="22"/>
        </w:rPr>
        <w:t> </w:t>
      </w:r>
      <w:r>
        <w:rPr>
          <w:sz w:val="22"/>
        </w:rPr>
        <w:t>repairs</w:t>
      </w:r>
      <w:r>
        <w:rPr>
          <w:spacing w:val="-9"/>
          <w:sz w:val="22"/>
        </w:rPr>
        <w:t> </w:t>
      </w:r>
      <w:r>
        <w:rPr>
          <w:sz w:val="22"/>
        </w:rPr>
        <w:t>must</w:t>
      </w:r>
      <w:r>
        <w:rPr>
          <w:spacing w:val="-8"/>
          <w:sz w:val="22"/>
        </w:rPr>
        <w:t> </w:t>
      </w:r>
      <w:r>
        <w:rPr>
          <w:sz w:val="22"/>
        </w:rPr>
        <w:t>conform</w:t>
      </w:r>
      <w:r>
        <w:rPr>
          <w:spacing w:val="-6"/>
          <w:sz w:val="22"/>
        </w:rPr>
        <w:t> </w:t>
      </w:r>
      <w:r>
        <w:rPr>
          <w:sz w:val="22"/>
        </w:rPr>
        <w:t>with</w:t>
      </w:r>
      <w:r>
        <w:rPr>
          <w:spacing w:val="-10"/>
          <w:sz w:val="22"/>
        </w:rPr>
        <w:t> </w:t>
      </w:r>
      <w:r>
        <w:rPr>
          <w:sz w:val="22"/>
        </w:rPr>
        <w:t>the</w:t>
      </w:r>
      <w:r>
        <w:rPr>
          <w:spacing w:val="-7"/>
          <w:sz w:val="22"/>
        </w:rPr>
        <w:t> </w:t>
      </w:r>
      <w:r>
        <w:rPr>
          <w:sz w:val="22"/>
        </w:rPr>
        <w:t>designated</w:t>
      </w:r>
      <w:r>
        <w:rPr>
          <w:spacing w:val="-7"/>
          <w:sz w:val="22"/>
        </w:rPr>
        <w:t> </w:t>
      </w:r>
      <w:r>
        <w:rPr>
          <w:sz w:val="22"/>
        </w:rPr>
        <w:t>eligible</w:t>
      </w:r>
      <w:r>
        <w:rPr>
          <w:spacing w:val="-7"/>
          <w:sz w:val="22"/>
        </w:rPr>
        <w:t> </w:t>
      </w:r>
      <w:r>
        <w:rPr>
          <w:sz w:val="22"/>
        </w:rPr>
        <w:t>improvements</w:t>
      </w:r>
      <w:r>
        <w:rPr>
          <w:spacing w:val="-7"/>
          <w:sz w:val="22"/>
        </w:rPr>
        <w:t> </w:t>
      </w:r>
      <w:r>
        <w:rPr>
          <w:sz w:val="22"/>
        </w:rPr>
        <w:t>listed</w:t>
      </w:r>
      <w:r>
        <w:rPr>
          <w:spacing w:val="-7"/>
          <w:sz w:val="22"/>
        </w:rPr>
        <w:t> </w:t>
      </w:r>
      <w:r>
        <w:rPr>
          <w:sz w:val="22"/>
        </w:rPr>
        <w:t>in</w:t>
      </w:r>
      <w:r>
        <w:rPr>
          <w:spacing w:val="-7"/>
          <w:sz w:val="22"/>
        </w:rPr>
        <w:t> </w:t>
      </w:r>
      <w:r>
        <w:rPr>
          <w:sz w:val="22"/>
        </w:rPr>
        <w:t>each Sub-Program Module. The City has the authority to influence and determine in some cases what the necessary repairs will be.</w:t>
      </w:r>
    </w:p>
    <w:p>
      <w:pPr>
        <w:pStyle w:val="BodyText"/>
        <w:spacing w:before="2"/>
      </w:pPr>
    </w:p>
    <w:p>
      <w:pPr>
        <w:pStyle w:val="Heading5"/>
      </w:pPr>
      <w:r>
        <w:rPr/>
        <w:t>Eligible</w:t>
      </w:r>
      <w:r>
        <w:rPr>
          <w:spacing w:val="-5"/>
        </w:rPr>
        <w:t> </w:t>
      </w:r>
      <w:r>
        <w:rPr>
          <w:spacing w:val="-2"/>
        </w:rPr>
        <w:t>Repairs</w:t>
      </w:r>
    </w:p>
    <w:p>
      <w:pPr>
        <w:pStyle w:val="BodyText"/>
        <w:spacing w:before="52"/>
        <w:ind w:left="120" w:right="155"/>
        <w:jc w:val="both"/>
      </w:pPr>
      <w:r>
        <w:rPr/>
        <w:t>Eligible rehabilitation activities differ for each Sub-Program Module based on funding source, targeted issue, targeted need, or focus and generally includes only items</w:t>
      </w:r>
      <w:r>
        <w:rPr>
          <w:spacing w:val="-1"/>
        </w:rPr>
        <w:t> </w:t>
      </w:r>
      <w:r>
        <w:rPr/>
        <w:t>necessary to bring the structure</w:t>
      </w:r>
      <w:r>
        <w:rPr>
          <w:spacing w:val="-7"/>
        </w:rPr>
        <w:t> </w:t>
      </w:r>
      <w:r>
        <w:rPr/>
        <w:t>into</w:t>
      </w:r>
      <w:r>
        <w:rPr>
          <w:spacing w:val="-7"/>
        </w:rPr>
        <w:t> </w:t>
      </w:r>
      <w:r>
        <w:rPr/>
        <w:t>compliance</w:t>
      </w:r>
      <w:r>
        <w:rPr>
          <w:spacing w:val="-10"/>
        </w:rPr>
        <w:t> </w:t>
      </w:r>
      <w:r>
        <w:rPr/>
        <w:t>with</w:t>
      </w:r>
      <w:r>
        <w:rPr>
          <w:spacing w:val="-7"/>
        </w:rPr>
        <w:t> </w:t>
      </w:r>
      <w:r>
        <w:rPr/>
        <w:t>the</w:t>
      </w:r>
      <w:r>
        <w:rPr>
          <w:spacing w:val="-7"/>
        </w:rPr>
        <w:t> </w:t>
      </w:r>
      <w:r>
        <w:rPr/>
        <w:t>City’s</w:t>
      </w:r>
      <w:r>
        <w:rPr>
          <w:spacing w:val="-7"/>
        </w:rPr>
        <w:t> </w:t>
      </w:r>
      <w:r>
        <w:rPr/>
        <w:t>Chapter</w:t>
      </w:r>
      <w:r>
        <w:rPr>
          <w:spacing w:val="-9"/>
        </w:rPr>
        <w:t> </w:t>
      </w:r>
      <w:r>
        <w:rPr/>
        <w:t>27</w:t>
      </w:r>
      <w:r>
        <w:rPr>
          <w:spacing w:val="-7"/>
        </w:rPr>
        <w:t> </w:t>
      </w:r>
      <w:r>
        <w:rPr/>
        <w:t>Minimum</w:t>
      </w:r>
      <w:r>
        <w:rPr>
          <w:spacing w:val="-6"/>
        </w:rPr>
        <w:t> </w:t>
      </w:r>
      <w:r>
        <w:rPr/>
        <w:t>Property</w:t>
      </w:r>
      <w:r>
        <w:rPr>
          <w:spacing w:val="-7"/>
        </w:rPr>
        <w:t> </w:t>
      </w:r>
      <w:r>
        <w:rPr/>
        <w:t>Standards</w:t>
      </w:r>
      <w:r>
        <w:rPr>
          <w:spacing w:val="-7"/>
        </w:rPr>
        <w:t> </w:t>
      </w:r>
      <w:r>
        <w:rPr/>
        <w:t>and</w:t>
      </w:r>
      <w:r>
        <w:rPr>
          <w:spacing w:val="-7"/>
        </w:rPr>
        <w:t> </w:t>
      </w:r>
      <w:r>
        <w:rPr/>
        <w:t>applicable local residential codes. Eligible activity also includes items recommended as necessary to preserve the property’s structural integrity, historic integrity, weatherization, and quality of living conditions.</w:t>
      </w:r>
      <w:r>
        <w:rPr>
          <w:spacing w:val="-6"/>
        </w:rPr>
        <w:t> </w:t>
      </w:r>
      <w:r>
        <w:rPr/>
        <w:t>The</w:t>
      </w:r>
      <w:r>
        <w:rPr>
          <w:spacing w:val="-9"/>
        </w:rPr>
        <w:t> </w:t>
      </w:r>
      <w:r>
        <w:rPr/>
        <w:t>rehabilitation</w:t>
      </w:r>
      <w:r>
        <w:rPr>
          <w:spacing w:val="-7"/>
        </w:rPr>
        <w:t> </w:t>
      </w:r>
      <w:r>
        <w:rPr/>
        <w:t>item</w:t>
      </w:r>
      <w:r>
        <w:rPr>
          <w:spacing w:val="-6"/>
        </w:rPr>
        <w:t> </w:t>
      </w:r>
      <w:r>
        <w:rPr/>
        <w:t>addressed</w:t>
      </w:r>
      <w:r>
        <w:rPr>
          <w:spacing w:val="-9"/>
        </w:rPr>
        <w:t> </w:t>
      </w:r>
      <w:r>
        <w:rPr/>
        <w:t>should</w:t>
      </w:r>
      <w:r>
        <w:rPr>
          <w:spacing w:val="-7"/>
        </w:rPr>
        <w:t> </w:t>
      </w:r>
      <w:r>
        <w:rPr/>
        <w:t>have</w:t>
      </w:r>
      <w:r>
        <w:rPr>
          <w:spacing w:val="-7"/>
        </w:rPr>
        <w:t> </w:t>
      </w:r>
      <w:r>
        <w:rPr/>
        <w:t>a</w:t>
      </w:r>
      <w:r>
        <w:rPr>
          <w:spacing w:val="-9"/>
        </w:rPr>
        <w:t> </w:t>
      </w:r>
      <w:r>
        <w:rPr/>
        <w:t>useful</w:t>
      </w:r>
      <w:r>
        <w:rPr>
          <w:spacing w:val="-7"/>
        </w:rPr>
        <w:t> </w:t>
      </w:r>
      <w:r>
        <w:rPr/>
        <w:t>life</w:t>
      </w:r>
      <w:r>
        <w:rPr>
          <w:spacing w:val="-7"/>
        </w:rPr>
        <w:t> </w:t>
      </w:r>
      <w:r>
        <w:rPr/>
        <w:t>of</w:t>
      </w:r>
      <w:r>
        <w:rPr>
          <w:spacing w:val="-6"/>
        </w:rPr>
        <w:t> </w:t>
      </w:r>
      <w:r>
        <w:rPr/>
        <w:t>a</w:t>
      </w:r>
      <w:r>
        <w:rPr>
          <w:spacing w:val="-11"/>
        </w:rPr>
        <w:t> </w:t>
      </w:r>
      <w:r>
        <w:rPr/>
        <w:t>minimum</w:t>
      </w:r>
      <w:r>
        <w:rPr>
          <w:spacing w:val="-8"/>
        </w:rPr>
        <w:t> </w:t>
      </w:r>
      <w:r>
        <w:rPr/>
        <w:t>of</w:t>
      </w:r>
      <w:r>
        <w:rPr>
          <w:spacing w:val="-7"/>
        </w:rPr>
        <w:t> </w:t>
      </w:r>
      <w:r>
        <w:rPr/>
        <w:t>5</w:t>
      </w:r>
      <w:r>
        <w:rPr>
          <w:spacing w:val="-9"/>
        </w:rPr>
        <w:t> </w:t>
      </w:r>
      <w:r>
        <w:rPr/>
        <w:t>years</w:t>
      </w:r>
      <w:r>
        <w:rPr>
          <w:spacing w:val="-8"/>
        </w:rPr>
        <w:t> </w:t>
      </w:r>
      <w:r>
        <w:rPr/>
        <w:t>at project completion.</w:t>
      </w:r>
    </w:p>
    <w:p>
      <w:pPr>
        <w:pStyle w:val="BodyText"/>
        <w:spacing w:before="10"/>
        <w:rPr>
          <w:sz w:val="21"/>
        </w:rPr>
      </w:pPr>
    </w:p>
    <w:p>
      <w:pPr>
        <w:pStyle w:val="BodyText"/>
        <w:ind w:left="120" w:right="156"/>
        <w:jc w:val="both"/>
      </w:pPr>
      <w:r>
        <w:rPr/>
        <w:t>Improvements</w:t>
      </w:r>
      <w:r>
        <w:rPr>
          <w:spacing w:val="-2"/>
        </w:rPr>
        <w:t> </w:t>
      </w:r>
      <w:r>
        <w:rPr/>
        <w:t>to,</w:t>
      </w:r>
      <w:r>
        <w:rPr>
          <w:spacing w:val="-1"/>
        </w:rPr>
        <w:t> </w:t>
      </w:r>
      <w:r>
        <w:rPr/>
        <w:t>or demolition of, an accessory</w:t>
      </w:r>
      <w:r>
        <w:rPr>
          <w:spacing w:val="-2"/>
        </w:rPr>
        <w:t> </w:t>
      </w:r>
      <w:r>
        <w:rPr/>
        <w:t>structure</w:t>
      </w:r>
      <w:r>
        <w:rPr>
          <w:spacing w:val="-3"/>
        </w:rPr>
        <w:t> </w:t>
      </w:r>
      <w:r>
        <w:rPr/>
        <w:t>such as detached garage, work shed, or small residential structure may be made on a case by case basis depending on the eligible repairs listed in each Sub-Program Module, available budget, grant requirements, planning requirements, current building codes, health and safety concerns, and minimum occupancy requirements of property residents.</w:t>
      </w:r>
    </w:p>
    <w:p>
      <w:pPr>
        <w:spacing w:after="0"/>
        <w:jc w:val="both"/>
        <w:sectPr>
          <w:pgSz w:w="12240" w:h="15840"/>
          <w:pgMar w:header="0" w:footer="1738" w:top="1360" w:bottom="1920" w:left="1320" w:right="1280"/>
        </w:sectPr>
      </w:pPr>
    </w:p>
    <w:p>
      <w:pPr>
        <w:pStyle w:val="BodyText"/>
        <w:spacing w:before="80"/>
        <w:ind w:left="120" w:right="156"/>
        <w:jc w:val="both"/>
      </w:pPr>
      <w:r>
        <w:rPr/>
        <w:t>Assistance</w:t>
      </w:r>
      <w:r>
        <w:rPr>
          <w:spacing w:val="-7"/>
        </w:rPr>
        <w:t> </w:t>
      </w:r>
      <w:r>
        <w:rPr/>
        <w:t>in</w:t>
      </w:r>
      <w:r>
        <w:rPr>
          <w:spacing w:val="-10"/>
        </w:rPr>
        <w:t> </w:t>
      </w:r>
      <w:r>
        <w:rPr/>
        <w:t>removing</w:t>
      </w:r>
      <w:r>
        <w:rPr>
          <w:spacing w:val="-7"/>
        </w:rPr>
        <w:t> </w:t>
      </w:r>
      <w:r>
        <w:rPr/>
        <w:t>any</w:t>
      </w:r>
      <w:r>
        <w:rPr>
          <w:spacing w:val="-7"/>
        </w:rPr>
        <w:t> </w:t>
      </w:r>
      <w:r>
        <w:rPr/>
        <w:t>items</w:t>
      </w:r>
      <w:r>
        <w:rPr>
          <w:spacing w:val="-9"/>
        </w:rPr>
        <w:t> </w:t>
      </w:r>
      <w:r>
        <w:rPr/>
        <w:t>from</w:t>
      </w:r>
      <w:r>
        <w:rPr>
          <w:spacing w:val="-9"/>
        </w:rPr>
        <w:t> </w:t>
      </w:r>
      <w:r>
        <w:rPr/>
        <w:t>the</w:t>
      </w:r>
      <w:r>
        <w:rPr>
          <w:spacing w:val="-10"/>
        </w:rPr>
        <w:t> </w:t>
      </w:r>
      <w:r>
        <w:rPr/>
        <w:t>property</w:t>
      </w:r>
      <w:r>
        <w:rPr>
          <w:spacing w:val="-7"/>
        </w:rPr>
        <w:t> </w:t>
      </w:r>
      <w:r>
        <w:rPr/>
        <w:t>that</w:t>
      </w:r>
      <w:r>
        <w:rPr>
          <w:spacing w:val="-6"/>
        </w:rPr>
        <w:t> </w:t>
      </w:r>
      <w:r>
        <w:rPr/>
        <w:t>are</w:t>
      </w:r>
      <w:r>
        <w:rPr>
          <w:spacing w:val="-7"/>
        </w:rPr>
        <w:t> </w:t>
      </w:r>
      <w:r>
        <w:rPr/>
        <w:t>dangerous,</w:t>
      </w:r>
      <w:r>
        <w:rPr>
          <w:spacing w:val="-6"/>
        </w:rPr>
        <w:t> </w:t>
      </w:r>
      <w:r>
        <w:rPr/>
        <w:t>hazardous,</w:t>
      </w:r>
      <w:r>
        <w:rPr>
          <w:spacing w:val="-8"/>
        </w:rPr>
        <w:t> </w:t>
      </w:r>
      <w:r>
        <w:rPr/>
        <w:t>or</w:t>
      </w:r>
      <w:r>
        <w:rPr>
          <w:spacing w:val="-9"/>
        </w:rPr>
        <w:t> </w:t>
      </w:r>
      <w:r>
        <w:rPr/>
        <w:t>a</w:t>
      </w:r>
      <w:r>
        <w:rPr>
          <w:spacing w:val="-10"/>
        </w:rPr>
        <w:t> </w:t>
      </w:r>
      <w:r>
        <w:rPr/>
        <w:t>violation of local code may be an eligible repair when performed in conjunction with the rehabilitation of eligible improvements on the property. Homeowner must move any material that is a hindrance to performing the approved repairs.</w:t>
      </w:r>
    </w:p>
    <w:p>
      <w:pPr>
        <w:pStyle w:val="BodyText"/>
        <w:spacing w:before="11"/>
        <w:rPr>
          <w:sz w:val="21"/>
        </w:rPr>
      </w:pPr>
    </w:p>
    <w:p>
      <w:pPr>
        <w:pStyle w:val="BodyText"/>
        <w:ind w:left="120" w:right="158"/>
        <w:jc w:val="both"/>
      </w:pPr>
      <w:r>
        <w:rPr/>
        <w:t>Assistance may not be used for the purchase or repairs of appliances or renovations not necessary to bring the home up to local code or property standards.</w:t>
      </w:r>
    </w:p>
    <w:p>
      <w:pPr>
        <w:pStyle w:val="BodyText"/>
        <w:spacing w:before="10"/>
        <w:rPr>
          <w:sz w:val="21"/>
        </w:rPr>
      </w:pPr>
    </w:p>
    <w:p>
      <w:pPr>
        <w:pStyle w:val="BodyText"/>
        <w:spacing w:before="1"/>
        <w:ind w:left="120" w:right="160"/>
        <w:jc w:val="both"/>
      </w:pPr>
      <w:r>
        <w:rPr/>
        <w:pict>
          <v:shape style="position:absolute;margin-left:90.065002pt;margin-top:-3.878617pt;width:395.3pt;height:419pt;mso-position-horizontal-relative:page;mso-position-vertical-relative:paragraph;z-index:-17722368" id="docshape49" coordorigin="1801,-78" coordsize="7906,8380" path="m4498,7186l4492,7113,4477,7035,4455,6952,4432,6883,4403,6811,4367,6736,4325,6658,4276,6577,4237,6518,4200,6467,4200,7153,4197,7209,4186,7266,4167,7323,4138,7383,4097,7446,4044,7512,3979,7581,3674,7887,2216,6429,2517,6128,2598,6052,2672,5992,2740,5949,2801,5922,2868,5908,2941,5904,3020,5910,3105,5928,3195,5957,3255,5983,3317,6015,3380,6054,3446,6099,3514,6151,3584,6209,3656,6273,3729,6345,3789,6406,3845,6466,3896,6525,3943,6583,3986,6640,4025,6695,4059,6749,4101,6824,4136,6896,4163,6966,4183,7032,4196,7097,4200,7153,4200,6467,4194,6458,4148,6398,4098,6338,4045,6277,3989,6215,3929,6154,3865,6091,3801,6033,3737,5978,3673,5926,3643,5904,3609,5878,3546,5834,3482,5793,3419,5755,3346,5717,3274,5685,3203,5658,3132,5636,3062,5619,2992,5607,2923,5599,2850,5598,2779,5605,2709,5619,2642,5642,2577,5673,2528,5701,2476,5738,2420,5784,2359,5838,2294,5900,1801,6393,3710,8302,4124,7887,4226,7785,4287,7720,4341,7655,4386,7589,4424,7522,4454,7456,4476,7389,4491,7322,4498,7255,4498,7186xm6418,5593l6056,5465,5650,5323,5561,5293,5475,5269,5393,5250,5365,5245,5314,5236,5239,5226,5193,5224,5143,5227,5089,5234,5030,5245,5073,5175,5109,5106,5136,5037,5154,4968,5164,4899,5165,4831,5157,4763,5139,4685,5111,4609,5075,4535,5030,4462,4976,4391,4956,4368,4913,4322,4872,4284,4872,4842,4868,4897,4854,4952,4830,5009,4794,5067,4747,5128,4687,5192,4280,5599,3649,4968,4102,4515,4166,4458,4229,4414,4293,4385,4358,4370,4422,4368,4501,4384,4577,4413,4649,4458,4718,4518,4761,4565,4797,4616,4827,4670,4851,4726,4867,4785,4872,4842,4872,4284,4849,4263,4782,4210,4713,4165,4641,4126,4566,4094,4474,4066,4386,4053,4303,4055,4225,4071,4163,4096,4098,4133,4030,4181,3958,4240,3883,4312,3248,4946,5157,6854,5346,6665,4499,5818,4718,5599,4753,5564,4783,5537,4810,5516,4833,5502,4863,5488,4896,5477,4932,5470,4971,5465,5014,5465,5066,5471,5125,5481,5194,5497,5256,5515,5328,5536,5407,5561,5496,5590,6180,5831,6418,5593xm7780,4231l7415,4036,6555,3582,6555,3889,6070,4374,6030,4302,5989,4231,5748,3800,5708,3728,5668,3657,5629,3591,5590,3527,5550,3463,5509,3400,5467,3337,5424,3276,5380,3215,5436,3251,5498,3289,5564,3329,5635,3371,5792,3461,6555,3889,6555,3582,5862,3215,5286,2908,5082,3112,5277,3463,5316,3533,5701,4231,6207,5150,6441,5570,6642,5369,6565,5236,6298,4768,6221,4634,6481,4374,6820,4036,7173,4231,7565,4447,7780,4231xm8131,3880l7264,3013,7936,2342,7711,2116,7039,2788,6448,2197,7224,1421,6999,1196,6033,2161,7941,4070,8131,3880xm9707,2304l8024,621,8497,148,8272,-78,7138,1057,7363,1282,7834,811,9517,2494,9707,2304xe" filled="true" fillcolor="#c0c0c0" stroked="false">
            <v:path arrowok="t"/>
            <v:fill opacity="32896f" type="solid"/>
            <w10:wrap type="none"/>
          </v:shape>
        </w:pict>
      </w:r>
      <w:r>
        <w:rPr/>
        <w:t>The</w:t>
      </w:r>
      <w:r>
        <w:rPr>
          <w:spacing w:val="-16"/>
        </w:rPr>
        <w:t> </w:t>
      </w:r>
      <w:r>
        <w:rPr/>
        <w:t>details</w:t>
      </w:r>
      <w:r>
        <w:rPr>
          <w:spacing w:val="-15"/>
        </w:rPr>
        <w:t> </w:t>
      </w:r>
      <w:r>
        <w:rPr/>
        <w:t>of</w:t>
      </w:r>
      <w:r>
        <w:rPr>
          <w:spacing w:val="-15"/>
        </w:rPr>
        <w:t> </w:t>
      </w:r>
      <w:r>
        <w:rPr/>
        <w:t>each</w:t>
      </w:r>
      <w:r>
        <w:rPr>
          <w:spacing w:val="-16"/>
        </w:rPr>
        <w:t> </w:t>
      </w:r>
      <w:r>
        <w:rPr/>
        <w:t>Sub-Program</w:t>
      </w:r>
      <w:r>
        <w:rPr>
          <w:spacing w:val="-15"/>
        </w:rPr>
        <w:t> </w:t>
      </w:r>
      <w:r>
        <w:rPr/>
        <w:t>Module</w:t>
      </w:r>
      <w:r>
        <w:rPr>
          <w:spacing w:val="-15"/>
        </w:rPr>
        <w:t> </w:t>
      </w:r>
      <w:r>
        <w:rPr/>
        <w:t>are</w:t>
      </w:r>
      <w:r>
        <w:rPr>
          <w:spacing w:val="-15"/>
        </w:rPr>
        <w:t> </w:t>
      </w:r>
      <w:r>
        <w:rPr/>
        <w:t>found</w:t>
      </w:r>
      <w:r>
        <w:rPr>
          <w:spacing w:val="-16"/>
        </w:rPr>
        <w:t> </w:t>
      </w:r>
      <w:r>
        <w:rPr/>
        <w:t>in</w:t>
      </w:r>
      <w:r>
        <w:rPr>
          <w:spacing w:val="-15"/>
        </w:rPr>
        <w:t> </w:t>
      </w:r>
      <w:r>
        <w:rPr/>
        <w:t>the</w:t>
      </w:r>
      <w:r>
        <w:rPr>
          <w:spacing w:val="-15"/>
        </w:rPr>
        <w:t> </w:t>
      </w:r>
      <w:r>
        <w:rPr/>
        <w:t>appendix</w:t>
      </w:r>
      <w:r>
        <w:rPr>
          <w:spacing w:val="-16"/>
        </w:rPr>
        <w:t> </w:t>
      </w:r>
      <w:r>
        <w:rPr/>
        <w:t>and</w:t>
      </w:r>
      <w:r>
        <w:rPr>
          <w:spacing w:val="-15"/>
        </w:rPr>
        <w:t> </w:t>
      </w:r>
      <w:r>
        <w:rPr/>
        <w:t>include</w:t>
      </w:r>
      <w:r>
        <w:rPr>
          <w:spacing w:val="-15"/>
        </w:rPr>
        <w:t> </w:t>
      </w:r>
      <w:r>
        <w:rPr/>
        <w:t>a</w:t>
      </w:r>
      <w:r>
        <w:rPr>
          <w:spacing w:val="-15"/>
        </w:rPr>
        <w:t> </w:t>
      </w:r>
      <w:r>
        <w:rPr/>
        <w:t>full</w:t>
      </w:r>
      <w:r>
        <w:rPr>
          <w:spacing w:val="-16"/>
        </w:rPr>
        <w:t> </w:t>
      </w:r>
      <w:r>
        <w:rPr/>
        <w:t>list</w:t>
      </w:r>
      <w:r>
        <w:rPr>
          <w:spacing w:val="-15"/>
        </w:rPr>
        <w:t> </w:t>
      </w:r>
      <w:r>
        <w:rPr/>
        <w:t>of</w:t>
      </w:r>
      <w:r>
        <w:rPr>
          <w:spacing w:val="-15"/>
        </w:rPr>
        <w:t> </w:t>
      </w:r>
      <w:r>
        <w:rPr/>
        <w:t>eligible and ineligible repair items.</w:t>
      </w:r>
    </w:p>
    <w:p>
      <w:pPr>
        <w:pStyle w:val="BodyText"/>
        <w:spacing w:before="10"/>
        <w:rPr>
          <w:sz w:val="21"/>
        </w:rPr>
      </w:pPr>
    </w:p>
    <w:p>
      <w:pPr>
        <w:pStyle w:val="Heading5"/>
      </w:pPr>
      <w:r>
        <w:rPr/>
        <w:t>Assistance</w:t>
      </w:r>
      <w:r>
        <w:rPr>
          <w:spacing w:val="-9"/>
        </w:rPr>
        <w:t> </w:t>
      </w:r>
      <w:r>
        <w:rPr>
          <w:spacing w:val="-4"/>
        </w:rPr>
        <w:t>Terms</w:t>
      </w:r>
    </w:p>
    <w:p>
      <w:pPr>
        <w:pStyle w:val="BodyText"/>
        <w:spacing w:before="52"/>
        <w:ind w:left="120" w:right="157"/>
        <w:jc w:val="both"/>
      </w:pPr>
      <w:r>
        <w:rPr/>
        <w:t>Financial assistance will be the exact amount required to cover the cost of eligible repairs up to the amount available per property</w:t>
      </w:r>
      <w:r>
        <w:rPr>
          <w:spacing w:val="-1"/>
        </w:rPr>
        <w:t> </w:t>
      </w:r>
      <w:r>
        <w:rPr/>
        <w:t>and will be paid directly</w:t>
      </w:r>
      <w:r>
        <w:rPr>
          <w:spacing w:val="-1"/>
        </w:rPr>
        <w:t> </w:t>
      </w:r>
      <w:r>
        <w:rPr/>
        <w:t>to</w:t>
      </w:r>
      <w:r>
        <w:rPr>
          <w:spacing w:val="-2"/>
        </w:rPr>
        <w:t> </w:t>
      </w:r>
      <w:r>
        <w:rPr/>
        <w:t>the</w:t>
      </w:r>
      <w:r>
        <w:rPr>
          <w:spacing w:val="-2"/>
        </w:rPr>
        <w:t> </w:t>
      </w:r>
      <w:r>
        <w:rPr/>
        <w:t>contractor to</w:t>
      </w:r>
      <w:r>
        <w:rPr>
          <w:spacing w:val="-2"/>
        </w:rPr>
        <w:t> </w:t>
      </w:r>
      <w:r>
        <w:rPr/>
        <w:t>perform the</w:t>
      </w:r>
      <w:r>
        <w:rPr>
          <w:spacing w:val="-2"/>
        </w:rPr>
        <w:t> </w:t>
      </w:r>
      <w:r>
        <w:rPr/>
        <w:t>repair </w:t>
      </w:r>
      <w:r>
        <w:rPr>
          <w:spacing w:val="-2"/>
        </w:rPr>
        <w:t>work.</w:t>
      </w:r>
    </w:p>
    <w:p>
      <w:pPr>
        <w:pStyle w:val="BodyText"/>
        <w:spacing w:before="1"/>
      </w:pPr>
    </w:p>
    <w:p>
      <w:pPr>
        <w:pStyle w:val="BodyText"/>
        <w:ind w:left="120" w:right="156"/>
        <w:jc w:val="both"/>
      </w:pPr>
      <w:r>
        <w:rPr/>
        <w:t>The terms of assistance for the TRP may be in the form of a loan or forgivable grant to the Applicant.</w:t>
      </w:r>
      <w:r>
        <w:rPr>
          <w:spacing w:val="-15"/>
        </w:rPr>
        <w:t> </w:t>
      </w:r>
      <w:r>
        <w:rPr/>
        <w:t>The</w:t>
      </w:r>
      <w:r>
        <w:rPr>
          <w:spacing w:val="-15"/>
        </w:rPr>
        <w:t> </w:t>
      </w:r>
      <w:r>
        <w:rPr/>
        <w:t>terms</w:t>
      </w:r>
      <w:r>
        <w:rPr>
          <w:spacing w:val="-16"/>
        </w:rPr>
        <w:t> </w:t>
      </w:r>
      <w:r>
        <w:rPr/>
        <w:t>may</w:t>
      </w:r>
      <w:r>
        <w:rPr>
          <w:spacing w:val="-13"/>
        </w:rPr>
        <w:t> </w:t>
      </w:r>
      <w:r>
        <w:rPr/>
        <w:t>require</w:t>
      </w:r>
      <w:r>
        <w:rPr>
          <w:spacing w:val="-16"/>
        </w:rPr>
        <w:t> </w:t>
      </w:r>
      <w:r>
        <w:rPr/>
        <w:t>an</w:t>
      </w:r>
      <w:r>
        <w:rPr>
          <w:spacing w:val="-14"/>
        </w:rPr>
        <w:t> </w:t>
      </w:r>
      <w:r>
        <w:rPr/>
        <w:t>affordability</w:t>
      </w:r>
      <w:r>
        <w:rPr>
          <w:spacing w:val="-16"/>
        </w:rPr>
        <w:t> </w:t>
      </w:r>
      <w:r>
        <w:rPr/>
        <w:t>period.</w:t>
      </w:r>
      <w:r>
        <w:rPr>
          <w:spacing w:val="-12"/>
        </w:rPr>
        <w:t> </w:t>
      </w:r>
      <w:r>
        <w:rPr/>
        <w:t>The</w:t>
      </w:r>
      <w:r>
        <w:rPr>
          <w:spacing w:val="-16"/>
        </w:rPr>
        <w:t> </w:t>
      </w:r>
      <w:r>
        <w:rPr/>
        <w:t>loan</w:t>
      </w:r>
      <w:r>
        <w:rPr>
          <w:spacing w:val="-14"/>
        </w:rPr>
        <w:t> </w:t>
      </w:r>
      <w:r>
        <w:rPr/>
        <w:t>or</w:t>
      </w:r>
      <w:r>
        <w:rPr>
          <w:spacing w:val="-15"/>
        </w:rPr>
        <w:t> </w:t>
      </w:r>
      <w:r>
        <w:rPr/>
        <w:t>forgivable</w:t>
      </w:r>
      <w:r>
        <w:rPr>
          <w:spacing w:val="-14"/>
        </w:rPr>
        <w:t> </w:t>
      </w:r>
      <w:r>
        <w:rPr/>
        <w:t>grant</w:t>
      </w:r>
      <w:r>
        <w:rPr>
          <w:spacing w:val="-15"/>
        </w:rPr>
        <w:t> </w:t>
      </w:r>
      <w:r>
        <w:rPr/>
        <w:t>amount</w:t>
      </w:r>
      <w:r>
        <w:rPr>
          <w:spacing w:val="-15"/>
        </w:rPr>
        <w:t> </w:t>
      </w:r>
      <w:r>
        <w:rPr/>
        <w:t>shall be</w:t>
      </w:r>
      <w:r>
        <w:rPr>
          <w:spacing w:val="-12"/>
        </w:rPr>
        <w:t> </w:t>
      </w:r>
      <w:r>
        <w:rPr/>
        <w:t>subject</w:t>
      </w:r>
      <w:r>
        <w:rPr>
          <w:spacing w:val="-11"/>
        </w:rPr>
        <w:t> </w:t>
      </w:r>
      <w:r>
        <w:rPr/>
        <w:t>to</w:t>
      </w:r>
      <w:r>
        <w:rPr>
          <w:spacing w:val="-15"/>
        </w:rPr>
        <w:t> </w:t>
      </w:r>
      <w:r>
        <w:rPr/>
        <w:t>the</w:t>
      </w:r>
      <w:r>
        <w:rPr>
          <w:spacing w:val="-12"/>
        </w:rPr>
        <w:t> </w:t>
      </w:r>
      <w:r>
        <w:rPr/>
        <w:t>City’s</w:t>
      </w:r>
      <w:r>
        <w:rPr>
          <w:spacing w:val="-12"/>
        </w:rPr>
        <w:t> </w:t>
      </w:r>
      <w:r>
        <w:rPr/>
        <w:t>established</w:t>
      </w:r>
      <w:r>
        <w:rPr>
          <w:spacing w:val="-12"/>
        </w:rPr>
        <w:t> </w:t>
      </w:r>
      <w:r>
        <w:rPr/>
        <w:t>loan</w:t>
      </w:r>
      <w:r>
        <w:rPr>
          <w:spacing w:val="-12"/>
        </w:rPr>
        <w:t> </w:t>
      </w:r>
      <w:r>
        <w:rPr/>
        <w:t>or</w:t>
      </w:r>
      <w:r>
        <w:rPr>
          <w:spacing w:val="-11"/>
        </w:rPr>
        <w:t> </w:t>
      </w:r>
      <w:r>
        <w:rPr/>
        <w:t>grant</w:t>
      </w:r>
      <w:r>
        <w:rPr>
          <w:spacing w:val="-11"/>
        </w:rPr>
        <w:t> </w:t>
      </w:r>
      <w:r>
        <w:rPr/>
        <w:t>underwriting</w:t>
      </w:r>
      <w:r>
        <w:rPr>
          <w:spacing w:val="-12"/>
        </w:rPr>
        <w:t> </w:t>
      </w:r>
      <w:r>
        <w:rPr/>
        <w:t>criteria/requirements</w:t>
      </w:r>
      <w:r>
        <w:rPr>
          <w:spacing w:val="-14"/>
        </w:rPr>
        <w:t> </w:t>
      </w:r>
      <w:r>
        <w:rPr/>
        <w:t>as</w:t>
      </w:r>
      <w:r>
        <w:rPr>
          <w:spacing w:val="-12"/>
        </w:rPr>
        <w:t> </w:t>
      </w:r>
      <w:r>
        <w:rPr/>
        <w:t>determined by the applicable Sub-Program Module. The loan or forgivable grant shall be prorated for repayment. Each module will dictate the terms of the repayment based upon factors that may determine this, i.e. funding source.</w:t>
      </w:r>
    </w:p>
    <w:p>
      <w:pPr>
        <w:pStyle w:val="BodyText"/>
        <w:spacing w:before="9"/>
        <w:rPr>
          <w:sz w:val="21"/>
        </w:rPr>
      </w:pPr>
    </w:p>
    <w:p>
      <w:pPr>
        <w:pStyle w:val="BodyText"/>
        <w:ind w:left="120" w:right="155"/>
        <w:jc w:val="both"/>
      </w:pPr>
      <w:r>
        <w:rPr/>
        <w:t>The loan or forgivable grant may be enforced by a deed restriction and/or secured by a deed of trust.</w:t>
      </w:r>
      <w:r>
        <w:rPr>
          <w:spacing w:val="-16"/>
        </w:rPr>
        <w:t> </w:t>
      </w:r>
      <w:r>
        <w:rPr/>
        <w:t>Each</w:t>
      </w:r>
      <w:r>
        <w:rPr>
          <w:spacing w:val="-15"/>
        </w:rPr>
        <w:t> </w:t>
      </w:r>
      <w:r>
        <w:rPr/>
        <w:t>Sub-Program</w:t>
      </w:r>
      <w:r>
        <w:rPr>
          <w:spacing w:val="-15"/>
        </w:rPr>
        <w:t> </w:t>
      </w:r>
      <w:r>
        <w:rPr/>
        <w:t>Module</w:t>
      </w:r>
      <w:r>
        <w:rPr>
          <w:spacing w:val="-16"/>
        </w:rPr>
        <w:t> </w:t>
      </w:r>
      <w:r>
        <w:rPr/>
        <w:t>outlines</w:t>
      </w:r>
      <w:r>
        <w:rPr>
          <w:spacing w:val="-14"/>
        </w:rPr>
        <w:t> </w:t>
      </w:r>
      <w:r>
        <w:rPr/>
        <w:t>when</w:t>
      </w:r>
      <w:r>
        <w:rPr>
          <w:spacing w:val="-16"/>
        </w:rPr>
        <w:t> </w:t>
      </w:r>
      <w:r>
        <w:rPr/>
        <w:t>these</w:t>
      </w:r>
      <w:r>
        <w:rPr>
          <w:spacing w:val="-14"/>
        </w:rPr>
        <w:t> </w:t>
      </w:r>
      <w:r>
        <w:rPr/>
        <w:t>legal</w:t>
      </w:r>
      <w:r>
        <w:rPr>
          <w:spacing w:val="-15"/>
        </w:rPr>
        <w:t> </w:t>
      </w:r>
      <w:r>
        <w:rPr/>
        <w:t>agreements</w:t>
      </w:r>
      <w:r>
        <w:rPr>
          <w:spacing w:val="-16"/>
        </w:rPr>
        <w:t> </w:t>
      </w:r>
      <w:r>
        <w:rPr/>
        <w:t>will</w:t>
      </w:r>
      <w:r>
        <w:rPr>
          <w:spacing w:val="-12"/>
        </w:rPr>
        <w:t> </w:t>
      </w:r>
      <w:r>
        <w:rPr/>
        <w:t>be</w:t>
      </w:r>
      <w:r>
        <w:rPr>
          <w:spacing w:val="-15"/>
        </w:rPr>
        <w:t> </w:t>
      </w:r>
      <w:r>
        <w:rPr/>
        <w:t>applied.</w:t>
      </w:r>
      <w:r>
        <w:rPr>
          <w:spacing w:val="-13"/>
        </w:rPr>
        <w:t> </w:t>
      </w:r>
      <w:r>
        <w:rPr/>
        <w:t>The</w:t>
      </w:r>
      <w:r>
        <w:rPr>
          <w:spacing w:val="-16"/>
        </w:rPr>
        <w:t> </w:t>
      </w:r>
      <w:r>
        <w:rPr/>
        <w:t>terms shall be defined in each Sub-Program Module based upon loan or forgivable grant amount and duration of affordability period in the instance the applicant can no longer meet the terms.</w:t>
      </w:r>
    </w:p>
    <w:p>
      <w:pPr>
        <w:pStyle w:val="BodyText"/>
        <w:spacing w:before="11"/>
        <w:rPr>
          <w:sz w:val="21"/>
        </w:rPr>
      </w:pPr>
    </w:p>
    <w:p>
      <w:pPr>
        <w:pStyle w:val="BodyText"/>
        <w:ind w:left="120"/>
      </w:pPr>
      <w:r>
        <w:rPr/>
        <w:t>There</w:t>
      </w:r>
      <w:r>
        <w:rPr>
          <w:spacing w:val="-9"/>
        </w:rPr>
        <w:t> </w:t>
      </w:r>
      <w:r>
        <w:rPr/>
        <w:t>are</w:t>
      </w:r>
      <w:r>
        <w:rPr>
          <w:spacing w:val="-7"/>
        </w:rPr>
        <w:t> </w:t>
      </w:r>
      <w:r>
        <w:rPr/>
        <w:t>no</w:t>
      </w:r>
      <w:r>
        <w:rPr>
          <w:spacing w:val="-9"/>
        </w:rPr>
        <w:t> </w:t>
      </w:r>
      <w:r>
        <w:rPr/>
        <w:t>grant</w:t>
      </w:r>
      <w:r>
        <w:rPr>
          <w:spacing w:val="-7"/>
        </w:rPr>
        <w:t> </w:t>
      </w:r>
      <w:r>
        <w:rPr/>
        <w:t>repayments</w:t>
      </w:r>
      <w:r>
        <w:rPr>
          <w:spacing w:val="-9"/>
        </w:rPr>
        <w:t> </w:t>
      </w:r>
      <w:r>
        <w:rPr/>
        <w:t>unless</w:t>
      </w:r>
      <w:r>
        <w:rPr>
          <w:spacing w:val="-7"/>
        </w:rPr>
        <w:t> </w:t>
      </w:r>
      <w:r>
        <w:rPr/>
        <w:t>one</w:t>
      </w:r>
      <w:r>
        <w:rPr>
          <w:spacing w:val="-8"/>
        </w:rPr>
        <w:t> </w:t>
      </w:r>
      <w:r>
        <w:rPr/>
        <w:t>of</w:t>
      </w:r>
      <w:r>
        <w:rPr>
          <w:spacing w:val="-8"/>
        </w:rPr>
        <w:t> </w:t>
      </w:r>
      <w:r>
        <w:rPr/>
        <w:t>the</w:t>
      </w:r>
      <w:r>
        <w:rPr>
          <w:spacing w:val="-12"/>
        </w:rPr>
        <w:t> </w:t>
      </w:r>
      <w:r>
        <w:rPr/>
        <w:t>following</w:t>
      </w:r>
      <w:r>
        <w:rPr>
          <w:spacing w:val="-6"/>
        </w:rPr>
        <w:t> </w:t>
      </w:r>
      <w:r>
        <w:rPr/>
        <w:t>happen</w:t>
      </w:r>
      <w:r>
        <w:rPr>
          <w:spacing w:val="-7"/>
        </w:rPr>
        <w:t> </w:t>
      </w:r>
      <w:r>
        <w:rPr/>
        <w:t>within</w:t>
      </w:r>
      <w:r>
        <w:rPr>
          <w:spacing w:val="-7"/>
        </w:rPr>
        <w:t> </w:t>
      </w:r>
      <w:r>
        <w:rPr/>
        <w:t>the</w:t>
      </w:r>
      <w:r>
        <w:rPr>
          <w:spacing w:val="-7"/>
        </w:rPr>
        <w:t> </w:t>
      </w:r>
      <w:r>
        <w:rPr/>
        <w:t>affordability</w:t>
      </w:r>
      <w:r>
        <w:rPr>
          <w:spacing w:val="-6"/>
        </w:rPr>
        <w:t> </w:t>
      </w:r>
      <w:r>
        <w:rPr>
          <w:spacing w:val="-2"/>
        </w:rPr>
        <w:t>period:</w:t>
      </w:r>
    </w:p>
    <w:p>
      <w:pPr>
        <w:pStyle w:val="ListParagraph"/>
        <w:numPr>
          <w:ilvl w:val="1"/>
          <w:numId w:val="11"/>
        </w:numPr>
        <w:tabs>
          <w:tab w:pos="840" w:val="left" w:leader="none"/>
          <w:tab w:pos="841" w:val="left" w:leader="none"/>
        </w:tabs>
        <w:spacing w:line="269" w:lineRule="exact" w:before="1" w:after="0"/>
        <w:ind w:left="840" w:right="0" w:hanging="361"/>
        <w:jc w:val="left"/>
        <w:rPr>
          <w:sz w:val="22"/>
        </w:rPr>
      </w:pPr>
      <w:r>
        <w:rPr>
          <w:sz w:val="22"/>
        </w:rPr>
        <w:t>The</w:t>
      </w:r>
      <w:r>
        <w:rPr>
          <w:spacing w:val="-9"/>
          <w:sz w:val="22"/>
        </w:rPr>
        <w:t> </w:t>
      </w:r>
      <w:r>
        <w:rPr>
          <w:sz w:val="22"/>
        </w:rPr>
        <w:t>sale,</w:t>
      </w:r>
      <w:r>
        <w:rPr>
          <w:spacing w:val="-6"/>
          <w:sz w:val="22"/>
        </w:rPr>
        <w:t> </w:t>
      </w:r>
      <w:r>
        <w:rPr>
          <w:sz w:val="22"/>
        </w:rPr>
        <w:t>conveyance,</w:t>
      </w:r>
      <w:r>
        <w:rPr>
          <w:spacing w:val="-8"/>
          <w:sz w:val="22"/>
        </w:rPr>
        <w:t> </w:t>
      </w:r>
      <w:r>
        <w:rPr>
          <w:sz w:val="22"/>
        </w:rPr>
        <w:t>transfer,</w:t>
      </w:r>
      <w:r>
        <w:rPr>
          <w:spacing w:val="-5"/>
          <w:sz w:val="22"/>
        </w:rPr>
        <w:t> </w:t>
      </w:r>
      <w:r>
        <w:rPr>
          <w:sz w:val="22"/>
        </w:rPr>
        <w:t>rental,</w:t>
      </w:r>
      <w:r>
        <w:rPr>
          <w:spacing w:val="-6"/>
          <w:sz w:val="22"/>
        </w:rPr>
        <w:t> </w:t>
      </w:r>
      <w:r>
        <w:rPr>
          <w:sz w:val="22"/>
        </w:rPr>
        <w:t>or</w:t>
      </w:r>
      <w:r>
        <w:rPr>
          <w:spacing w:val="-6"/>
          <w:sz w:val="22"/>
        </w:rPr>
        <w:t> </w:t>
      </w:r>
      <w:r>
        <w:rPr>
          <w:sz w:val="22"/>
        </w:rPr>
        <w:t>hypothecation</w:t>
      </w:r>
      <w:r>
        <w:rPr>
          <w:spacing w:val="-7"/>
          <w:sz w:val="22"/>
        </w:rPr>
        <w:t> </w:t>
      </w:r>
      <w:r>
        <w:rPr>
          <w:sz w:val="22"/>
        </w:rPr>
        <w:t>of</w:t>
      </w:r>
      <w:r>
        <w:rPr>
          <w:spacing w:val="-8"/>
          <w:sz w:val="22"/>
        </w:rPr>
        <w:t> </w:t>
      </w:r>
      <w:r>
        <w:rPr>
          <w:sz w:val="22"/>
        </w:rPr>
        <w:t>the</w:t>
      </w:r>
      <w:r>
        <w:rPr>
          <w:spacing w:val="-7"/>
          <w:sz w:val="22"/>
        </w:rPr>
        <w:t> </w:t>
      </w:r>
      <w:r>
        <w:rPr>
          <w:sz w:val="22"/>
        </w:rPr>
        <w:t>security</w:t>
      </w:r>
      <w:r>
        <w:rPr>
          <w:spacing w:val="-7"/>
          <w:sz w:val="22"/>
        </w:rPr>
        <w:t> </w:t>
      </w:r>
      <w:r>
        <w:rPr>
          <w:sz w:val="22"/>
        </w:rPr>
        <w:t>of</w:t>
      </w:r>
      <w:r>
        <w:rPr>
          <w:spacing w:val="-6"/>
          <w:sz w:val="22"/>
        </w:rPr>
        <w:t> </w:t>
      </w:r>
      <w:r>
        <w:rPr>
          <w:sz w:val="22"/>
        </w:rPr>
        <w:t>the</w:t>
      </w:r>
      <w:r>
        <w:rPr>
          <w:spacing w:val="-7"/>
          <w:sz w:val="22"/>
        </w:rPr>
        <w:t> </w:t>
      </w:r>
      <w:r>
        <w:rPr>
          <w:sz w:val="22"/>
        </w:rPr>
        <w:t>property;</w:t>
      </w:r>
      <w:r>
        <w:rPr>
          <w:spacing w:val="-5"/>
          <w:sz w:val="22"/>
        </w:rPr>
        <w:t> or</w:t>
      </w:r>
    </w:p>
    <w:p>
      <w:pPr>
        <w:pStyle w:val="ListParagraph"/>
        <w:numPr>
          <w:ilvl w:val="1"/>
          <w:numId w:val="11"/>
        </w:numPr>
        <w:tabs>
          <w:tab w:pos="840" w:val="left" w:leader="none"/>
          <w:tab w:pos="841" w:val="left" w:leader="none"/>
        </w:tabs>
        <w:spacing w:line="269" w:lineRule="exact" w:before="0" w:after="0"/>
        <w:ind w:left="840" w:right="0" w:hanging="361"/>
        <w:jc w:val="left"/>
        <w:rPr>
          <w:sz w:val="22"/>
        </w:rPr>
      </w:pPr>
      <w:r>
        <w:rPr>
          <w:sz w:val="22"/>
        </w:rPr>
        <w:t>If</w:t>
      </w:r>
      <w:r>
        <w:rPr>
          <w:spacing w:val="-4"/>
          <w:sz w:val="22"/>
        </w:rPr>
        <w:t> </w:t>
      </w:r>
      <w:r>
        <w:rPr>
          <w:sz w:val="22"/>
        </w:rPr>
        <w:t>the</w:t>
      </w:r>
      <w:r>
        <w:rPr>
          <w:spacing w:val="-6"/>
          <w:sz w:val="22"/>
        </w:rPr>
        <w:t> </w:t>
      </w:r>
      <w:r>
        <w:rPr>
          <w:sz w:val="22"/>
        </w:rPr>
        <w:t>home</w:t>
      </w:r>
      <w:r>
        <w:rPr>
          <w:spacing w:val="-6"/>
          <w:sz w:val="22"/>
        </w:rPr>
        <w:t> </w:t>
      </w:r>
      <w:r>
        <w:rPr>
          <w:sz w:val="22"/>
        </w:rPr>
        <w:t>is</w:t>
      </w:r>
      <w:r>
        <w:rPr>
          <w:spacing w:val="-3"/>
          <w:sz w:val="22"/>
        </w:rPr>
        <w:t> </w:t>
      </w:r>
      <w:r>
        <w:rPr>
          <w:sz w:val="22"/>
        </w:rPr>
        <w:t>vacated</w:t>
      </w:r>
      <w:r>
        <w:rPr>
          <w:spacing w:val="-5"/>
          <w:sz w:val="22"/>
        </w:rPr>
        <w:t> </w:t>
      </w:r>
      <w:r>
        <w:rPr>
          <w:sz w:val="22"/>
        </w:rPr>
        <w:t>during</w:t>
      </w:r>
      <w:r>
        <w:rPr>
          <w:spacing w:val="-4"/>
          <w:sz w:val="22"/>
        </w:rPr>
        <w:t> </w:t>
      </w:r>
      <w:r>
        <w:rPr>
          <w:sz w:val="22"/>
        </w:rPr>
        <w:t>the</w:t>
      </w:r>
      <w:r>
        <w:rPr>
          <w:spacing w:val="-6"/>
          <w:sz w:val="22"/>
        </w:rPr>
        <w:t> </w:t>
      </w:r>
      <w:r>
        <w:rPr>
          <w:sz w:val="22"/>
        </w:rPr>
        <w:t>affordability</w:t>
      </w:r>
      <w:r>
        <w:rPr>
          <w:spacing w:val="-6"/>
          <w:sz w:val="22"/>
        </w:rPr>
        <w:t> </w:t>
      </w:r>
      <w:r>
        <w:rPr>
          <w:sz w:val="22"/>
        </w:rPr>
        <w:t>period;</w:t>
      </w:r>
      <w:r>
        <w:rPr>
          <w:spacing w:val="-1"/>
          <w:sz w:val="22"/>
        </w:rPr>
        <w:t> </w:t>
      </w:r>
      <w:r>
        <w:rPr>
          <w:spacing w:val="-5"/>
          <w:sz w:val="22"/>
        </w:rPr>
        <w:t>or</w:t>
      </w:r>
    </w:p>
    <w:p>
      <w:pPr>
        <w:pStyle w:val="ListParagraph"/>
        <w:numPr>
          <w:ilvl w:val="1"/>
          <w:numId w:val="11"/>
        </w:numPr>
        <w:tabs>
          <w:tab w:pos="840" w:val="left" w:leader="none"/>
          <w:tab w:pos="841" w:val="left" w:leader="none"/>
        </w:tabs>
        <w:spacing w:line="269" w:lineRule="exact" w:before="0" w:after="0"/>
        <w:ind w:left="840" w:right="0" w:hanging="361"/>
        <w:jc w:val="left"/>
        <w:rPr>
          <w:sz w:val="22"/>
        </w:rPr>
      </w:pPr>
      <w:r>
        <w:rPr>
          <w:sz w:val="22"/>
        </w:rPr>
        <w:t>Failure</w:t>
      </w:r>
      <w:r>
        <w:rPr>
          <w:spacing w:val="-3"/>
          <w:sz w:val="22"/>
        </w:rPr>
        <w:t> </w:t>
      </w:r>
      <w:r>
        <w:rPr>
          <w:sz w:val="22"/>
        </w:rPr>
        <w:t>to</w:t>
      </w:r>
      <w:r>
        <w:rPr>
          <w:spacing w:val="-3"/>
          <w:sz w:val="22"/>
        </w:rPr>
        <w:t> </w:t>
      </w:r>
      <w:r>
        <w:rPr>
          <w:sz w:val="22"/>
        </w:rPr>
        <w:t>adhere</w:t>
      </w:r>
      <w:r>
        <w:rPr>
          <w:spacing w:val="-4"/>
          <w:sz w:val="22"/>
        </w:rPr>
        <w:t> </w:t>
      </w:r>
      <w:r>
        <w:rPr>
          <w:sz w:val="22"/>
        </w:rPr>
        <w:t>to</w:t>
      </w:r>
      <w:r>
        <w:rPr>
          <w:spacing w:val="-5"/>
          <w:sz w:val="22"/>
        </w:rPr>
        <w:t> </w:t>
      </w:r>
      <w:r>
        <w:rPr>
          <w:sz w:val="22"/>
        </w:rPr>
        <w:t>the</w:t>
      </w:r>
      <w:r>
        <w:rPr>
          <w:spacing w:val="-6"/>
          <w:sz w:val="22"/>
        </w:rPr>
        <w:t> </w:t>
      </w:r>
      <w:r>
        <w:rPr>
          <w:sz w:val="22"/>
        </w:rPr>
        <w:t>provisions</w:t>
      </w:r>
      <w:r>
        <w:rPr>
          <w:spacing w:val="-2"/>
          <w:sz w:val="22"/>
        </w:rPr>
        <w:t> </w:t>
      </w:r>
      <w:r>
        <w:rPr>
          <w:sz w:val="22"/>
        </w:rPr>
        <w:t>of</w:t>
      </w:r>
      <w:r>
        <w:rPr>
          <w:spacing w:val="-3"/>
          <w:sz w:val="22"/>
        </w:rPr>
        <w:t> </w:t>
      </w:r>
      <w:r>
        <w:rPr>
          <w:sz w:val="22"/>
        </w:rPr>
        <w:t>the</w:t>
      </w:r>
      <w:r>
        <w:rPr>
          <w:spacing w:val="-4"/>
          <w:sz w:val="22"/>
        </w:rPr>
        <w:t> </w:t>
      </w:r>
      <w:r>
        <w:rPr>
          <w:spacing w:val="-2"/>
          <w:sz w:val="22"/>
        </w:rPr>
        <w:t>contract.</w:t>
      </w:r>
    </w:p>
    <w:p>
      <w:pPr>
        <w:pStyle w:val="BodyText"/>
        <w:spacing w:before="7"/>
        <w:rPr>
          <w:sz w:val="21"/>
        </w:rPr>
      </w:pPr>
    </w:p>
    <w:p>
      <w:pPr>
        <w:pStyle w:val="BodyText"/>
        <w:spacing w:before="1"/>
        <w:ind w:left="120" w:right="156"/>
        <w:jc w:val="both"/>
      </w:pPr>
      <w:r>
        <w:rPr/>
        <w:t>During the period of affordability, monitoring shall be performed on an annual basis. Applicant must</w:t>
      </w:r>
      <w:r>
        <w:rPr>
          <w:spacing w:val="-15"/>
        </w:rPr>
        <w:t> </w:t>
      </w:r>
      <w:r>
        <w:rPr/>
        <w:t>certify</w:t>
      </w:r>
      <w:r>
        <w:rPr>
          <w:spacing w:val="-13"/>
        </w:rPr>
        <w:t> </w:t>
      </w:r>
      <w:r>
        <w:rPr/>
        <w:t>annually</w:t>
      </w:r>
      <w:r>
        <w:rPr>
          <w:spacing w:val="-13"/>
        </w:rPr>
        <w:t> </w:t>
      </w:r>
      <w:r>
        <w:rPr/>
        <w:t>that</w:t>
      </w:r>
      <w:r>
        <w:rPr>
          <w:spacing w:val="-15"/>
        </w:rPr>
        <w:t> </w:t>
      </w:r>
      <w:r>
        <w:rPr/>
        <w:t>the</w:t>
      </w:r>
      <w:r>
        <w:rPr>
          <w:spacing w:val="-14"/>
        </w:rPr>
        <w:t> </w:t>
      </w:r>
      <w:r>
        <w:rPr/>
        <w:t>home</w:t>
      </w:r>
      <w:r>
        <w:rPr>
          <w:spacing w:val="-16"/>
        </w:rPr>
        <w:t> </w:t>
      </w:r>
      <w:r>
        <w:rPr/>
        <w:t>is</w:t>
      </w:r>
      <w:r>
        <w:rPr>
          <w:spacing w:val="-12"/>
        </w:rPr>
        <w:t> </w:t>
      </w:r>
      <w:r>
        <w:rPr/>
        <w:t>not</w:t>
      </w:r>
      <w:r>
        <w:rPr>
          <w:spacing w:val="-15"/>
        </w:rPr>
        <w:t> </w:t>
      </w:r>
      <w:r>
        <w:rPr/>
        <w:t>for</w:t>
      </w:r>
      <w:r>
        <w:rPr>
          <w:spacing w:val="-15"/>
        </w:rPr>
        <w:t> </w:t>
      </w:r>
      <w:r>
        <w:rPr/>
        <w:t>sale,</w:t>
      </w:r>
      <w:r>
        <w:rPr>
          <w:spacing w:val="-15"/>
        </w:rPr>
        <w:t> </w:t>
      </w:r>
      <w:r>
        <w:rPr/>
        <w:t>the</w:t>
      </w:r>
      <w:r>
        <w:rPr>
          <w:spacing w:val="-14"/>
        </w:rPr>
        <w:t> </w:t>
      </w:r>
      <w:r>
        <w:rPr/>
        <w:t>property</w:t>
      </w:r>
      <w:r>
        <w:rPr>
          <w:spacing w:val="-13"/>
        </w:rPr>
        <w:t> </w:t>
      </w:r>
      <w:r>
        <w:rPr/>
        <w:t>is</w:t>
      </w:r>
      <w:r>
        <w:rPr>
          <w:spacing w:val="-13"/>
        </w:rPr>
        <w:t> </w:t>
      </w:r>
      <w:r>
        <w:rPr/>
        <w:t>in</w:t>
      </w:r>
      <w:r>
        <w:rPr>
          <w:spacing w:val="-14"/>
        </w:rPr>
        <w:t> </w:t>
      </w:r>
      <w:r>
        <w:rPr/>
        <w:t>compliance</w:t>
      </w:r>
      <w:r>
        <w:rPr>
          <w:spacing w:val="-14"/>
        </w:rPr>
        <w:t> </w:t>
      </w:r>
      <w:r>
        <w:rPr/>
        <w:t>with</w:t>
      </w:r>
      <w:r>
        <w:rPr>
          <w:spacing w:val="-14"/>
        </w:rPr>
        <w:t> </w:t>
      </w:r>
      <w:r>
        <w:rPr/>
        <w:t>state,</w:t>
      </w:r>
      <w:r>
        <w:rPr>
          <w:spacing w:val="-15"/>
        </w:rPr>
        <w:t> </w:t>
      </w:r>
      <w:r>
        <w:rPr/>
        <w:t>federal, and local laws, the repairs are being maintained, the property is the primary residence of the Applicant (unless it is a module that allows for rentals), and any other certifications required by the</w:t>
      </w:r>
      <w:r>
        <w:rPr>
          <w:spacing w:val="-3"/>
        </w:rPr>
        <w:t> </w:t>
      </w:r>
      <w:r>
        <w:rPr/>
        <w:t>City</w:t>
      </w:r>
      <w:r>
        <w:rPr>
          <w:spacing w:val="-5"/>
        </w:rPr>
        <w:t> </w:t>
      </w:r>
      <w:r>
        <w:rPr/>
        <w:t>in</w:t>
      </w:r>
      <w:r>
        <w:rPr>
          <w:spacing w:val="-6"/>
        </w:rPr>
        <w:t> </w:t>
      </w:r>
      <w:r>
        <w:rPr/>
        <w:t>the</w:t>
      </w:r>
      <w:r>
        <w:rPr>
          <w:spacing w:val="-6"/>
        </w:rPr>
        <w:t> </w:t>
      </w:r>
      <w:r>
        <w:rPr/>
        <w:t>contract,</w:t>
      </w:r>
      <w:r>
        <w:rPr>
          <w:spacing w:val="-4"/>
        </w:rPr>
        <w:t> </w:t>
      </w:r>
      <w:r>
        <w:rPr/>
        <w:t>until</w:t>
      </w:r>
      <w:r>
        <w:rPr>
          <w:spacing w:val="-4"/>
        </w:rPr>
        <w:t> </w:t>
      </w:r>
      <w:r>
        <w:rPr/>
        <w:t>the</w:t>
      </w:r>
      <w:r>
        <w:rPr>
          <w:spacing w:val="-5"/>
        </w:rPr>
        <w:t> </w:t>
      </w:r>
      <w:r>
        <w:rPr/>
        <w:t>balance</w:t>
      </w:r>
      <w:r>
        <w:rPr>
          <w:spacing w:val="-3"/>
        </w:rPr>
        <w:t> </w:t>
      </w:r>
      <w:r>
        <w:rPr/>
        <w:t>of</w:t>
      </w:r>
      <w:r>
        <w:rPr>
          <w:spacing w:val="-4"/>
        </w:rPr>
        <w:t> </w:t>
      </w:r>
      <w:r>
        <w:rPr/>
        <w:t>the</w:t>
      </w:r>
      <w:r>
        <w:rPr>
          <w:spacing w:val="-5"/>
        </w:rPr>
        <w:t> </w:t>
      </w:r>
      <w:r>
        <w:rPr/>
        <w:t>loan</w:t>
      </w:r>
      <w:r>
        <w:rPr>
          <w:spacing w:val="-3"/>
        </w:rPr>
        <w:t> </w:t>
      </w:r>
      <w:r>
        <w:rPr/>
        <w:t>is</w:t>
      </w:r>
      <w:r>
        <w:rPr>
          <w:spacing w:val="-5"/>
        </w:rPr>
        <w:t> </w:t>
      </w:r>
      <w:r>
        <w:rPr/>
        <w:t>repaid</w:t>
      </w:r>
      <w:r>
        <w:rPr>
          <w:spacing w:val="-3"/>
        </w:rPr>
        <w:t> </w:t>
      </w:r>
      <w:r>
        <w:rPr/>
        <w:t>to</w:t>
      </w:r>
      <w:r>
        <w:rPr>
          <w:spacing w:val="-8"/>
        </w:rPr>
        <w:t> </w:t>
      </w:r>
      <w:r>
        <w:rPr/>
        <w:t>the</w:t>
      </w:r>
      <w:r>
        <w:rPr>
          <w:spacing w:val="-3"/>
        </w:rPr>
        <w:t> </w:t>
      </w:r>
      <w:r>
        <w:rPr/>
        <w:t>City</w:t>
      </w:r>
      <w:r>
        <w:rPr>
          <w:spacing w:val="-5"/>
        </w:rPr>
        <w:t> </w:t>
      </w:r>
      <w:r>
        <w:rPr/>
        <w:t>or</w:t>
      </w:r>
      <w:r>
        <w:rPr>
          <w:spacing w:val="-4"/>
        </w:rPr>
        <w:t> </w:t>
      </w:r>
      <w:r>
        <w:rPr/>
        <w:t>until</w:t>
      </w:r>
      <w:r>
        <w:rPr>
          <w:spacing w:val="-4"/>
        </w:rPr>
        <w:t> </w:t>
      </w:r>
      <w:r>
        <w:rPr/>
        <w:t>the</w:t>
      </w:r>
      <w:r>
        <w:rPr>
          <w:spacing w:val="-5"/>
        </w:rPr>
        <w:t> </w:t>
      </w:r>
      <w:r>
        <w:rPr/>
        <w:t>full</w:t>
      </w:r>
      <w:r>
        <w:rPr>
          <w:spacing w:val="-4"/>
        </w:rPr>
        <w:t> </w:t>
      </w:r>
      <w:r>
        <w:rPr/>
        <w:t>amount</w:t>
      </w:r>
      <w:r>
        <w:rPr>
          <w:spacing w:val="-4"/>
        </w:rPr>
        <w:t> </w:t>
      </w:r>
      <w:r>
        <w:rPr/>
        <w:t>of the loan is forgiven, as specified in each Sub-Program Module.</w:t>
      </w:r>
    </w:p>
    <w:p>
      <w:pPr>
        <w:pStyle w:val="BodyText"/>
        <w:spacing w:before="11"/>
        <w:rPr>
          <w:sz w:val="21"/>
        </w:rPr>
      </w:pPr>
    </w:p>
    <w:p>
      <w:pPr>
        <w:pStyle w:val="Heading5"/>
        <w:jc w:val="left"/>
      </w:pPr>
      <w:r>
        <w:rPr>
          <w:spacing w:val="-2"/>
        </w:rPr>
        <w:t>Goals</w:t>
      </w:r>
    </w:p>
    <w:p>
      <w:pPr>
        <w:pStyle w:val="BodyText"/>
        <w:spacing w:before="50"/>
        <w:ind w:left="120" w:right="155" w:hanging="1"/>
        <w:jc w:val="both"/>
      </w:pPr>
      <w:r>
        <w:rPr/>
        <w:t>Goals for each Sub-Program Module, set at Sub-Program Module creation, will align with other sub-program requirements and may be based on funding limits and alignment with other initiatives. Goals may be reviewed yearly and amended as needed.</w:t>
      </w:r>
    </w:p>
    <w:p>
      <w:pPr>
        <w:pStyle w:val="BodyText"/>
      </w:pPr>
    </w:p>
    <w:p>
      <w:pPr>
        <w:pStyle w:val="Heading5"/>
        <w:jc w:val="left"/>
      </w:pPr>
      <w:r>
        <w:rPr>
          <w:spacing w:val="-2"/>
        </w:rPr>
        <w:t>Administration</w:t>
      </w:r>
    </w:p>
    <w:p>
      <w:pPr>
        <w:spacing w:after="0"/>
        <w:jc w:val="left"/>
        <w:sectPr>
          <w:pgSz w:w="12240" w:h="15840"/>
          <w:pgMar w:header="0" w:footer="1738" w:top="1360" w:bottom="1920" w:left="1320" w:right="1280"/>
        </w:sectPr>
      </w:pPr>
    </w:p>
    <w:p>
      <w:pPr>
        <w:pStyle w:val="BodyText"/>
        <w:spacing w:before="80"/>
        <w:ind w:left="119" w:right="155"/>
        <w:jc w:val="both"/>
      </w:pPr>
      <w:r>
        <w:rPr/>
        <w:t>The TRP is designed to work in conjunction with other Housing &amp; Neighborhood Revitalization (Housing)</w:t>
      </w:r>
      <w:r>
        <w:rPr>
          <w:spacing w:val="-9"/>
        </w:rPr>
        <w:t> </w:t>
      </w:r>
      <w:r>
        <w:rPr/>
        <w:t>Programs,</w:t>
      </w:r>
      <w:r>
        <w:rPr>
          <w:spacing w:val="-8"/>
        </w:rPr>
        <w:t> </w:t>
      </w:r>
      <w:r>
        <w:rPr/>
        <w:t>other</w:t>
      </w:r>
      <w:r>
        <w:rPr>
          <w:spacing w:val="-9"/>
        </w:rPr>
        <w:t> </w:t>
      </w:r>
      <w:r>
        <w:rPr/>
        <w:t>City</w:t>
      </w:r>
      <w:r>
        <w:rPr>
          <w:spacing w:val="-9"/>
        </w:rPr>
        <w:t> </w:t>
      </w:r>
      <w:r>
        <w:rPr/>
        <w:t>initiatives,</w:t>
      </w:r>
      <w:r>
        <w:rPr>
          <w:spacing w:val="-8"/>
        </w:rPr>
        <w:t> </w:t>
      </w:r>
      <w:r>
        <w:rPr/>
        <w:t>and</w:t>
      </w:r>
      <w:r>
        <w:rPr>
          <w:spacing w:val="-12"/>
        </w:rPr>
        <w:t> </w:t>
      </w:r>
      <w:r>
        <w:rPr/>
        <w:t>philanthropic</w:t>
      </w:r>
      <w:r>
        <w:rPr>
          <w:spacing w:val="-9"/>
        </w:rPr>
        <w:t> </w:t>
      </w:r>
      <w:r>
        <w:rPr/>
        <w:t>efforts</w:t>
      </w:r>
      <w:r>
        <w:rPr>
          <w:spacing w:val="-9"/>
        </w:rPr>
        <w:t> </w:t>
      </w:r>
      <w:r>
        <w:rPr/>
        <w:t>to</w:t>
      </w:r>
      <w:r>
        <w:rPr>
          <w:spacing w:val="-10"/>
        </w:rPr>
        <w:t> </w:t>
      </w:r>
      <w:r>
        <w:rPr/>
        <w:t>permanently</w:t>
      </w:r>
      <w:r>
        <w:rPr>
          <w:spacing w:val="-9"/>
        </w:rPr>
        <w:t> </w:t>
      </w:r>
      <w:r>
        <w:rPr/>
        <w:t>address</w:t>
      </w:r>
      <w:r>
        <w:rPr>
          <w:spacing w:val="-12"/>
        </w:rPr>
        <w:t> </w:t>
      </w:r>
      <w:r>
        <w:rPr/>
        <w:t>these issues and preserve affordable housing. Activities under the TRP program include income eligibility referrals, application evaluation procedures, repair assessments, ongoing compliance and other duties as established in the contract, the program guidelines, and the policies and </w:t>
      </w:r>
      <w:r>
        <w:rPr>
          <w:spacing w:val="-2"/>
        </w:rPr>
        <w:t>procedures.</w:t>
      </w:r>
    </w:p>
    <w:p>
      <w:pPr>
        <w:pStyle w:val="BodyText"/>
      </w:pPr>
    </w:p>
    <w:p>
      <w:pPr>
        <w:pStyle w:val="BodyText"/>
        <w:ind w:left="119" w:right="155"/>
        <w:jc w:val="both"/>
      </w:pPr>
      <w:r>
        <w:rPr/>
        <w:pict>
          <v:shape style="position:absolute;margin-left:90.065002pt;margin-top:8.668063pt;width:395.3pt;height:419pt;mso-position-horizontal-relative:page;mso-position-vertical-relative:paragraph;z-index:-17721856" id="docshape50" coordorigin="1801,173" coordsize="7906,8380" path="m4498,7437l4492,7364,4477,7286,4455,7203,4432,7134,4403,7062,4367,6987,4325,6909,4276,6828,4237,6769,4200,6718,4200,7404,4197,7460,4186,7517,4167,7574,4138,7634,4097,7697,4044,7763,3979,7832,3674,8138,2216,6680,2517,6379,2598,6303,2672,6243,2740,6200,2801,6173,2868,6159,2941,6155,3020,6161,3105,6179,3195,6208,3255,6234,3317,6266,3380,6305,3446,6350,3514,6402,3584,6460,3656,6524,3729,6596,3789,6657,3845,6717,3896,6776,3943,6834,3986,6891,4025,6946,4059,7000,4101,7075,4136,7147,4163,7216,4183,7283,4196,7348,4200,7404,4200,6718,4194,6709,4148,6649,4098,6589,4045,6528,3989,6466,3929,6404,3865,6342,3801,6284,3737,6229,3673,6177,3643,6155,3609,6129,3546,6085,3482,6044,3419,6006,3346,5968,3274,5936,3203,5909,3132,5886,3062,5869,2992,5857,2923,5850,2850,5849,2779,5855,2709,5870,2642,5893,2577,5924,2528,5952,2476,5989,2420,6034,2359,6089,2294,6151,1801,6644,3710,8553,4124,8138,4226,8036,4287,7971,4341,7906,4386,7840,4424,7773,4454,7706,4476,7640,4491,7573,4498,7506,4498,7437xm6418,5844l6056,5716,5650,5573,5561,5544,5475,5520,5393,5501,5365,5496,5314,5487,5239,5477,5193,5475,5143,5478,5089,5485,5030,5496,5073,5426,5109,5357,5136,5288,5154,5219,5164,5150,5165,5082,5157,5014,5139,4936,5111,4860,5075,4786,5030,4713,4976,4642,4956,4619,4913,4573,4872,4535,4872,5093,4868,5148,4854,5203,4830,5259,4794,5318,4747,5379,4687,5443,4280,5850,3649,5219,4102,4766,4166,4709,4229,4665,4293,4636,4358,4621,4422,4619,4501,4635,4577,4664,4649,4709,4718,4769,4761,4816,4797,4867,4827,4921,4851,4977,4867,5036,4872,5093,4872,4535,4849,4514,4782,4461,4713,4416,4641,4377,4566,4345,4474,4317,4386,4304,4303,4306,4225,4322,4163,4347,4098,4384,4030,4432,3958,4491,3883,4562,3248,5197,5157,7105,5346,6916,4499,6069,4718,5850,4753,5815,4783,5788,4810,5767,4833,5752,4863,5739,4896,5728,4932,5720,4971,5716,5014,5716,5066,5721,5125,5732,5194,5748,5256,5766,5328,5786,5407,5811,5496,5841,6180,6082,6418,5844xm7780,4482l7415,4287,6555,3832,6555,4139,6070,4625,6030,4553,5989,4482,5748,4051,5708,3979,5668,3908,5629,3842,5590,3778,5550,3714,5509,3651,5467,3588,5424,3527,5380,3466,5436,3502,5498,3540,5564,3580,5635,3622,5792,3712,6555,4139,6555,3832,5862,3466,5286,3159,5082,3363,5277,3714,5316,3784,5701,4482,6207,5401,6441,5821,6642,5620,6565,5487,6298,5019,6221,4885,6481,4625,6820,4287,7173,4482,7565,4697,7780,4482xm8131,4131l7264,3264,7936,2592,7711,2367,7039,3039,6448,2448,7224,1672,6999,1447,6033,2412,7941,4321,8131,4131xm9707,2555l8024,872,8497,399,8272,173,7138,1308,7363,1533,7834,1062,9517,2745,9707,2555xe" filled="true" fillcolor="#c0c0c0" stroked="false">
            <v:path arrowok="t"/>
            <v:fill opacity="32896f" type="solid"/>
            <w10:wrap type="none"/>
          </v:shape>
        </w:pict>
      </w:r>
      <w:r>
        <w:rPr/>
        <w:t>Housing will create, and will periodically update, an application that is consistent with the TRP and the authorizing statute, as amended, to be used by Applicants who are interested in a Sub- Program Module. The City may accept applications on a rolling basis or may solicit applications through a competitive application process based on Sub-Program Module specifications. Only applications that</w:t>
      </w:r>
      <w:r>
        <w:rPr>
          <w:spacing w:val="-4"/>
        </w:rPr>
        <w:t> </w:t>
      </w:r>
      <w:r>
        <w:rPr/>
        <w:t>meet</w:t>
      </w:r>
      <w:r>
        <w:rPr>
          <w:spacing w:val="-1"/>
        </w:rPr>
        <w:t> </w:t>
      </w:r>
      <w:r>
        <w:rPr/>
        <w:t>or</w:t>
      </w:r>
      <w:r>
        <w:rPr>
          <w:spacing w:val="-1"/>
        </w:rPr>
        <w:t> </w:t>
      </w:r>
      <w:r>
        <w:rPr/>
        <w:t>exceed</w:t>
      </w:r>
      <w:r>
        <w:rPr>
          <w:spacing w:val="-5"/>
        </w:rPr>
        <w:t> </w:t>
      </w:r>
      <w:r>
        <w:rPr/>
        <w:t>the</w:t>
      </w:r>
      <w:r>
        <w:rPr>
          <w:spacing w:val="-5"/>
        </w:rPr>
        <w:t> </w:t>
      </w:r>
      <w:r>
        <w:rPr/>
        <w:t>minimum</w:t>
      </w:r>
      <w:r>
        <w:rPr>
          <w:spacing w:val="-1"/>
        </w:rPr>
        <w:t> </w:t>
      </w:r>
      <w:r>
        <w:rPr/>
        <w:t>criteria of</w:t>
      </w:r>
      <w:r>
        <w:rPr>
          <w:spacing w:val="-1"/>
        </w:rPr>
        <w:t> </w:t>
      </w:r>
      <w:r>
        <w:rPr/>
        <w:t>the</w:t>
      </w:r>
      <w:r>
        <w:rPr>
          <w:spacing w:val="-3"/>
        </w:rPr>
        <w:t> </w:t>
      </w:r>
      <w:r>
        <w:rPr/>
        <w:t>Sub-Program</w:t>
      </w:r>
      <w:r>
        <w:rPr>
          <w:spacing w:val="-4"/>
        </w:rPr>
        <w:t> </w:t>
      </w:r>
      <w:r>
        <w:rPr/>
        <w:t>Module are</w:t>
      </w:r>
      <w:r>
        <w:rPr>
          <w:spacing w:val="-3"/>
        </w:rPr>
        <w:t> </w:t>
      </w:r>
      <w:r>
        <w:rPr/>
        <w:t>eligible to be provided assistance.</w:t>
      </w:r>
    </w:p>
    <w:p>
      <w:pPr>
        <w:pStyle w:val="BodyText"/>
        <w:spacing w:before="11"/>
        <w:rPr>
          <w:sz w:val="21"/>
        </w:rPr>
      </w:pPr>
    </w:p>
    <w:p>
      <w:pPr>
        <w:pStyle w:val="BodyText"/>
        <w:ind w:left="119" w:right="157"/>
        <w:jc w:val="both"/>
      </w:pPr>
      <w:r>
        <w:rPr/>
        <w:t>The Director of Housing &amp; Neighborhood Revitalization (Director) shall be responsible for ensuring that all programs are implemented in accordance with all applicable policies and </w:t>
      </w:r>
      <w:r>
        <w:rPr>
          <w:spacing w:val="-2"/>
        </w:rPr>
        <w:t>regulations.</w:t>
      </w:r>
    </w:p>
    <w:p>
      <w:pPr>
        <w:pStyle w:val="BodyText"/>
        <w:spacing w:before="10"/>
        <w:rPr>
          <w:sz w:val="21"/>
        </w:rPr>
      </w:pPr>
    </w:p>
    <w:p>
      <w:pPr>
        <w:pStyle w:val="Heading5"/>
        <w:ind w:left="119"/>
      </w:pPr>
      <w:r>
        <w:rPr/>
        <w:t>Consistency</w:t>
      </w:r>
      <w:r>
        <w:rPr>
          <w:spacing w:val="-8"/>
        </w:rPr>
        <w:t> </w:t>
      </w:r>
      <w:r>
        <w:rPr/>
        <w:t>with</w:t>
      </w:r>
      <w:r>
        <w:rPr>
          <w:spacing w:val="-7"/>
        </w:rPr>
        <w:t> </w:t>
      </w:r>
      <w:r>
        <w:rPr/>
        <w:t>City’s</w:t>
      </w:r>
      <w:r>
        <w:rPr>
          <w:spacing w:val="-6"/>
        </w:rPr>
        <w:t> </w:t>
      </w:r>
      <w:r>
        <w:rPr/>
        <w:t>Affordable</w:t>
      </w:r>
      <w:r>
        <w:rPr>
          <w:spacing w:val="-7"/>
        </w:rPr>
        <w:t> </w:t>
      </w:r>
      <w:r>
        <w:rPr/>
        <w:t>Housing</w:t>
      </w:r>
      <w:r>
        <w:rPr>
          <w:spacing w:val="-9"/>
        </w:rPr>
        <w:t> </w:t>
      </w:r>
      <w:r>
        <w:rPr>
          <w:spacing w:val="-2"/>
        </w:rPr>
        <w:t>Goals</w:t>
      </w:r>
    </w:p>
    <w:p>
      <w:pPr>
        <w:pStyle w:val="BodyText"/>
        <w:spacing w:before="52"/>
        <w:ind w:left="119" w:right="151" w:hanging="1"/>
        <w:jc w:val="both"/>
      </w:pPr>
      <w:r>
        <w:rPr/>
        <w:t>Sub-Program Modules shall align with the Comprehensive Housing Policy. This TRP sets forth the</w:t>
      </w:r>
      <w:r>
        <w:rPr>
          <w:spacing w:val="-6"/>
        </w:rPr>
        <w:t> </w:t>
      </w:r>
      <w:r>
        <w:rPr/>
        <w:t>requirements</w:t>
      </w:r>
      <w:r>
        <w:rPr>
          <w:spacing w:val="-8"/>
        </w:rPr>
        <w:t> </w:t>
      </w:r>
      <w:r>
        <w:rPr/>
        <w:t>that</w:t>
      </w:r>
      <w:r>
        <w:rPr>
          <w:spacing w:val="-7"/>
        </w:rPr>
        <w:t> </w:t>
      </w:r>
      <w:r>
        <w:rPr/>
        <w:t>are</w:t>
      </w:r>
      <w:r>
        <w:rPr>
          <w:spacing w:val="-9"/>
        </w:rPr>
        <w:t> </w:t>
      </w:r>
      <w:r>
        <w:rPr/>
        <w:t>designed</w:t>
      </w:r>
      <w:r>
        <w:rPr>
          <w:spacing w:val="-6"/>
        </w:rPr>
        <w:t> </w:t>
      </w:r>
      <w:r>
        <w:rPr/>
        <w:t>to</w:t>
      </w:r>
      <w:r>
        <w:rPr>
          <w:spacing w:val="-9"/>
        </w:rPr>
        <w:t> </w:t>
      </w:r>
      <w:r>
        <w:rPr/>
        <w:t>work</w:t>
      </w:r>
      <w:r>
        <w:rPr>
          <w:spacing w:val="-8"/>
        </w:rPr>
        <w:t> </w:t>
      </w:r>
      <w:r>
        <w:rPr/>
        <w:t>in</w:t>
      </w:r>
      <w:r>
        <w:rPr>
          <w:spacing w:val="-6"/>
        </w:rPr>
        <w:t> </w:t>
      </w:r>
      <w:r>
        <w:rPr/>
        <w:t>conjunction</w:t>
      </w:r>
      <w:r>
        <w:rPr>
          <w:spacing w:val="-6"/>
        </w:rPr>
        <w:t> </w:t>
      </w:r>
      <w:r>
        <w:rPr/>
        <w:t>with</w:t>
      </w:r>
      <w:r>
        <w:rPr>
          <w:spacing w:val="-6"/>
        </w:rPr>
        <w:t> </w:t>
      </w:r>
      <w:r>
        <w:rPr/>
        <w:t>other</w:t>
      </w:r>
      <w:r>
        <w:rPr>
          <w:spacing w:val="-8"/>
        </w:rPr>
        <w:t> </w:t>
      </w:r>
      <w:r>
        <w:rPr/>
        <w:t>City</w:t>
      </w:r>
      <w:r>
        <w:rPr>
          <w:spacing w:val="-6"/>
        </w:rPr>
        <w:t> </w:t>
      </w:r>
      <w:r>
        <w:rPr/>
        <w:t>programs</w:t>
      </w:r>
      <w:r>
        <w:rPr>
          <w:spacing w:val="-8"/>
        </w:rPr>
        <w:t> </w:t>
      </w:r>
      <w:r>
        <w:rPr/>
        <w:t>and</w:t>
      </w:r>
      <w:r>
        <w:rPr>
          <w:spacing w:val="-9"/>
        </w:rPr>
        <w:t> </w:t>
      </w:r>
      <w:r>
        <w:rPr/>
        <w:t>the</w:t>
      </w:r>
      <w:r>
        <w:rPr>
          <w:spacing w:val="-6"/>
        </w:rPr>
        <w:t> </w:t>
      </w:r>
      <w:r>
        <w:rPr/>
        <w:t>City’s existing affordable housing production</w:t>
      </w:r>
      <w:r>
        <w:rPr>
          <w:spacing w:val="-2"/>
        </w:rPr>
        <w:t> </w:t>
      </w:r>
      <w:r>
        <w:rPr/>
        <w:t>goals.</w:t>
      </w:r>
      <w:r>
        <w:rPr>
          <w:spacing w:val="-3"/>
        </w:rPr>
        <w:t> </w:t>
      </w:r>
      <w:r>
        <w:rPr/>
        <w:t>On</w:t>
      </w:r>
      <w:r>
        <w:rPr>
          <w:spacing w:val="-4"/>
        </w:rPr>
        <w:t> </w:t>
      </w:r>
      <w:r>
        <w:rPr/>
        <w:t>an annual</w:t>
      </w:r>
      <w:r>
        <w:rPr>
          <w:spacing w:val="-2"/>
        </w:rPr>
        <w:t> </w:t>
      </w:r>
      <w:r>
        <w:rPr/>
        <w:t>basis,</w:t>
      </w:r>
      <w:r>
        <w:rPr>
          <w:spacing w:val="-3"/>
        </w:rPr>
        <w:t> </w:t>
      </w:r>
      <w:r>
        <w:rPr/>
        <w:t>the</w:t>
      </w:r>
      <w:r>
        <w:rPr>
          <w:spacing w:val="-2"/>
        </w:rPr>
        <w:t> </w:t>
      </w:r>
      <w:r>
        <w:rPr/>
        <w:t>Department shall</w:t>
      </w:r>
      <w:r>
        <w:rPr>
          <w:spacing w:val="-2"/>
        </w:rPr>
        <w:t> </w:t>
      </w:r>
      <w:r>
        <w:rPr/>
        <w:t>report</w:t>
      </w:r>
      <w:r>
        <w:rPr>
          <w:spacing w:val="-3"/>
        </w:rPr>
        <w:t> </w:t>
      </w:r>
      <w:r>
        <w:rPr/>
        <w:t>to the City Council the year-to-date production data for the program.</w:t>
      </w:r>
    </w:p>
    <w:p>
      <w:pPr>
        <w:pStyle w:val="BodyText"/>
        <w:spacing w:before="3"/>
        <w:rPr>
          <w:sz w:val="26"/>
        </w:rPr>
      </w:pPr>
    </w:p>
    <w:p>
      <w:pPr>
        <w:pStyle w:val="Heading5"/>
        <w:spacing w:before="1"/>
        <w:ind w:left="119"/>
      </w:pPr>
      <w:r>
        <w:rPr/>
        <w:t>Consistency</w:t>
      </w:r>
      <w:r>
        <w:rPr>
          <w:spacing w:val="-7"/>
        </w:rPr>
        <w:t> </w:t>
      </w:r>
      <w:r>
        <w:rPr/>
        <w:t>with</w:t>
      </w:r>
      <w:r>
        <w:rPr>
          <w:spacing w:val="-6"/>
        </w:rPr>
        <w:t> </w:t>
      </w:r>
      <w:r>
        <w:rPr/>
        <w:t>Fair</w:t>
      </w:r>
      <w:r>
        <w:rPr>
          <w:spacing w:val="-6"/>
        </w:rPr>
        <w:t> </w:t>
      </w:r>
      <w:r>
        <w:rPr/>
        <w:t>Housing</w:t>
      </w:r>
      <w:r>
        <w:rPr>
          <w:spacing w:val="-4"/>
        </w:rPr>
        <w:t> Laws</w:t>
      </w:r>
    </w:p>
    <w:p>
      <w:pPr>
        <w:pStyle w:val="BodyText"/>
        <w:spacing w:before="49"/>
        <w:ind w:left="119" w:right="156"/>
        <w:jc w:val="both"/>
      </w:pPr>
      <w:r>
        <w:rPr/>
        <w:t>On an annual basis, the TRP will be reviewed by the Office of Equity and Human Rights, or its successor</w:t>
      </w:r>
      <w:r>
        <w:rPr>
          <w:spacing w:val="-16"/>
        </w:rPr>
        <w:t> </w:t>
      </w:r>
      <w:r>
        <w:rPr/>
        <w:t>department,</w:t>
      </w:r>
      <w:r>
        <w:rPr>
          <w:spacing w:val="-15"/>
        </w:rPr>
        <w:t> </w:t>
      </w:r>
      <w:r>
        <w:rPr/>
        <w:t>to</w:t>
      </w:r>
      <w:r>
        <w:rPr>
          <w:spacing w:val="-15"/>
        </w:rPr>
        <w:t> </w:t>
      </w:r>
      <w:r>
        <w:rPr/>
        <w:t>ensure</w:t>
      </w:r>
      <w:r>
        <w:rPr>
          <w:spacing w:val="-16"/>
        </w:rPr>
        <w:t> </w:t>
      </w:r>
      <w:r>
        <w:rPr/>
        <w:t>that</w:t>
      </w:r>
      <w:r>
        <w:rPr>
          <w:spacing w:val="-15"/>
        </w:rPr>
        <w:t> </w:t>
      </w:r>
      <w:r>
        <w:rPr/>
        <w:t>the</w:t>
      </w:r>
      <w:r>
        <w:rPr>
          <w:spacing w:val="-15"/>
        </w:rPr>
        <w:t> </w:t>
      </w:r>
      <w:r>
        <w:rPr/>
        <w:t>Program</w:t>
      </w:r>
      <w:r>
        <w:rPr>
          <w:spacing w:val="-15"/>
        </w:rPr>
        <w:t> </w:t>
      </w:r>
      <w:r>
        <w:rPr/>
        <w:t>is</w:t>
      </w:r>
      <w:r>
        <w:rPr>
          <w:spacing w:val="-16"/>
        </w:rPr>
        <w:t> </w:t>
      </w:r>
      <w:r>
        <w:rPr/>
        <w:t>being</w:t>
      </w:r>
      <w:r>
        <w:rPr>
          <w:spacing w:val="-15"/>
        </w:rPr>
        <w:t> </w:t>
      </w:r>
      <w:r>
        <w:rPr/>
        <w:t>operated</w:t>
      </w:r>
      <w:r>
        <w:rPr>
          <w:spacing w:val="-15"/>
        </w:rPr>
        <w:t> </w:t>
      </w:r>
      <w:r>
        <w:rPr/>
        <w:t>in</w:t>
      </w:r>
      <w:r>
        <w:rPr>
          <w:spacing w:val="-16"/>
        </w:rPr>
        <w:t> </w:t>
      </w:r>
      <w:r>
        <w:rPr/>
        <w:t>a</w:t>
      </w:r>
      <w:r>
        <w:rPr>
          <w:spacing w:val="-15"/>
        </w:rPr>
        <w:t> </w:t>
      </w:r>
      <w:r>
        <w:rPr/>
        <w:t>manner</w:t>
      </w:r>
      <w:r>
        <w:rPr>
          <w:spacing w:val="-15"/>
        </w:rPr>
        <w:t> </w:t>
      </w:r>
      <w:r>
        <w:rPr/>
        <w:t>that</w:t>
      </w:r>
      <w:r>
        <w:rPr>
          <w:spacing w:val="-15"/>
        </w:rPr>
        <w:t> </w:t>
      </w:r>
      <w:r>
        <w:rPr/>
        <w:t>is</w:t>
      </w:r>
      <w:r>
        <w:rPr>
          <w:spacing w:val="-16"/>
        </w:rPr>
        <w:t> </w:t>
      </w:r>
      <w:r>
        <w:rPr/>
        <w:t>consistent with</w:t>
      </w:r>
      <w:r>
        <w:rPr>
          <w:spacing w:val="-3"/>
        </w:rPr>
        <w:t> </w:t>
      </w:r>
      <w:r>
        <w:rPr/>
        <w:t>fair</w:t>
      </w:r>
      <w:r>
        <w:rPr>
          <w:spacing w:val="-1"/>
        </w:rPr>
        <w:t> </w:t>
      </w:r>
      <w:r>
        <w:rPr/>
        <w:t>housing</w:t>
      </w:r>
      <w:r>
        <w:rPr>
          <w:spacing w:val="-3"/>
        </w:rPr>
        <w:t> </w:t>
      </w:r>
      <w:r>
        <w:rPr/>
        <w:t>laws.</w:t>
      </w:r>
      <w:r>
        <w:rPr>
          <w:spacing w:val="-1"/>
        </w:rPr>
        <w:t> </w:t>
      </w:r>
      <w:r>
        <w:rPr/>
        <w:t>The</w:t>
      </w:r>
      <w:r>
        <w:rPr>
          <w:spacing w:val="-3"/>
        </w:rPr>
        <w:t> </w:t>
      </w:r>
      <w:r>
        <w:rPr/>
        <w:t>City</w:t>
      </w:r>
      <w:r>
        <w:rPr>
          <w:spacing w:val="-2"/>
        </w:rPr>
        <w:t> </w:t>
      </w:r>
      <w:r>
        <w:rPr/>
        <w:t>will</w:t>
      </w:r>
      <w:r>
        <w:rPr>
          <w:spacing w:val="-3"/>
        </w:rPr>
        <w:t> </w:t>
      </w:r>
      <w:r>
        <w:rPr/>
        <w:t>collect</w:t>
      </w:r>
      <w:r>
        <w:rPr>
          <w:spacing w:val="-1"/>
        </w:rPr>
        <w:t> </w:t>
      </w:r>
      <w:r>
        <w:rPr/>
        <w:t>and</w:t>
      </w:r>
      <w:r>
        <w:rPr>
          <w:spacing w:val="-4"/>
        </w:rPr>
        <w:t> </w:t>
      </w:r>
      <w:r>
        <w:rPr/>
        <w:t>maintain</w:t>
      </w:r>
      <w:r>
        <w:rPr>
          <w:spacing w:val="-3"/>
        </w:rPr>
        <w:t> </w:t>
      </w:r>
      <w:r>
        <w:rPr/>
        <w:t>data</w:t>
      </w:r>
      <w:r>
        <w:rPr>
          <w:spacing w:val="-4"/>
        </w:rPr>
        <w:t> </w:t>
      </w:r>
      <w:r>
        <w:rPr/>
        <w:t>regarding</w:t>
      </w:r>
      <w:r>
        <w:rPr>
          <w:spacing w:val="-4"/>
        </w:rPr>
        <w:t> </w:t>
      </w:r>
      <w:r>
        <w:rPr/>
        <w:t>the</w:t>
      </w:r>
      <w:r>
        <w:rPr>
          <w:spacing w:val="-3"/>
        </w:rPr>
        <w:t> </w:t>
      </w:r>
      <w:r>
        <w:rPr/>
        <w:t>location</w:t>
      </w:r>
      <w:r>
        <w:rPr>
          <w:spacing w:val="-3"/>
        </w:rPr>
        <w:t> </w:t>
      </w:r>
      <w:r>
        <w:rPr/>
        <w:t>of</w:t>
      </w:r>
      <w:r>
        <w:rPr>
          <w:spacing w:val="-4"/>
        </w:rPr>
        <w:t> </w:t>
      </w:r>
      <w:r>
        <w:rPr/>
        <w:t>properties that receive assistance.</w:t>
      </w:r>
    </w:p>
    <w:p>
      <w:pPr>
        <w:spacing w:after="0"/>
        <w:jc w:val="both"/>
        <w:sectPr>
          <w:pgSz w:w="12240" w:h="15840"/>
          <w:pgMar w:header="0" w:footer="1738" w:top="1360" w:bottom="1920" w:left="1320" w:right="1280"/>
        </w:sectPr>
      </w:pPr>
    </w:p>
    <w:p>
      <w:pPr>
        <w:pStyle w:val="Heading3"/>
        <w:spacing w:line="259" w:lineRule="auto"/>
        <w:ind w:right="910"/>
        <w:jc w:val="both"/>
      </w:pPr>
      <w:bookmarkStart w:name="Targeted Rehabilitation Program - West D" w:id="34"/>
      <w:bookmarkEnd w:id="34"/>
      <w:r>
        <w:rPr/>
      </w:r>
      <w:bookmarkStart w:name="_bookmark9" w:id="35"/>
      <w:bookmarkEnd w:id="35"/>
      <w:r>
        <w:rPr/>
      </w:r>
      <w:r>
        <w:rPr>
          <w:color w:val="001F5F"/>
        </w:rPr>
        <w:t>Targeted</w:t>
      </w:r>
      <w:r>
        <w:rPr>
          <w:color w:val="001F5F"/>
          <w:spacing w:val="-8"/>
        </w:rPr>
        <w:t> </w:t>
      </w:r>
      <w:r>
        <w:rPr>
          <w:color w:val="001F5F"/>
        </w:rPr>
        <w:t>Rehabilitation</w:t>
      </w:r>
      <w:r>
        <w:rPr>
          <w:color w:val="001F5F"/>
          <w:spacing w:val="-8"/>
        </w:rPr>
        <w:t> </w:t>
      </w:r>
      <w:r>
        <w:rPr>
          <w:color w:val="001F5F"/>
        </w:rPr>
        <w:t>Program</w:t>
      </w:r>
      <w:r>
        <w:rPr>
          <w:color w:val="001F5F"/>
          <w:spacing w:val="-4"/>
        </w:rPr>
        <w:t> </w:t>
      </w:r>
      <w:r>
        <w:rPr>
          <w:color w:val="001F5F"/>
        </w:rPr>
        <w:t>-</w:t>
      </w:r>
      <w:r>
        <w:rPr>
          <w:color w:val="001F5F"/>
          <w:spacing w:val="-6"/>
        </w:rPr>
        <w:t> </w:t>
      </w:r>
      <w:r>
        <w:rPr>
          <w:color w:val="001F5F"/>
        </w:rPr>
        <w:t>West</w:t>
      </w:r>
      <w:r>
        <w:rPr>
          <w:color w:val="001F5F"/>
          <w:spacing w:val="-8"/>
        </w:rPr>
        <w:t> </w:t>
      </w:r>
      <w:r>
        <w:rPr>
          <w:color w:val="001F5F"/>
        </w:rPr>
        <w:t>Dallas</w:t>
      </w:r>
      <w:r>
        <w:rPr>
          <w:color w:val="001F5F"/>
          <w:spacing w:val="-6"/>
        </w:rPr>
        <w:t> </w:t>
      </w:r>
      <w:r>
        <w:rPr>
          <w:color w:val="001F5F"/>
        </w:rPr>
        <w:t>Sub-Program Module </w:t>
      </w:r>
      <w:r>
        <w:rPr>
          <w:color w:val="FF0000"/>
        </w:rPr>
        <w:t>Pillars 1, 3, 6</w:t>
      </w:r>
    </w:p>
    <w:p>
      <w:pPr>
        <w:pStyle w:val="Heading5"/>
        <w:spacing w:before="251"/>
      </w:pPr>
      <w:r>
        <w:rPr/>
        <w:t>Need</w:t>
      </w:r>
      <w:r>
        <w:rPr>
          <w:spacing w:val="-4"/>
        </w:rPr>
        <w:t> </w:t>
      </w:r>
      <w:r>
        <w:rPr/>
        <w:t>or</w:t>
      </w:r>
      <w:r>
        <w:rPr>
          <w:spacing w:val="-5"/>
        </w:rPr>
        <w:t> </w:t>
      </w:r>
      <w:r>
        <w:rPr/>
        <w:t>targeted</w:t>
      </w:r>
      <w:r>
        <w:rPr>
          <w:spacing w:val="-5"/>
        </w:rPr>
        <w:t> </w:t>
      </w:r>
      <w:r>
        <w:rPr>
          <w:spacing w:val="-2"/>
        </w:rPr>
        <w:t>Issue</w:t>
      </w:r>
    </w:p>
    <w:p>
      <w:pPr>
        <w:pStyle w:val="BodyText"/>
        <w:spacing w:before="52"/>
        <w:ind w:left="119" w:right="155"/>
        <w:jc w:val="both"/>
      </w:pPr>
      <w:r>
        <w:rPr/>
        <w:pict>
          <v:shape style="position:absolute;margin-left:90.065002pt;margin-top:32.257015pt;width:395.3pt;height:419pt;mso-position-horizontal-relative:page;mso-position-vertical-relative:paragraph;z-index:-17721344" id="docshape51" coordorigin="1801,645" coordsize="7906,8380" path="m4498,7909l4492,7835,4477,7757,4455,7674,4432,7605,4403,7533,4367,7458,4325,7380,4276,7300,4237,7241,4200,7190,4200,7876,4197,7932,4186,7989,4167,8046,4138,8106,4097,8169,4044,8235,3979,8304,3674,8610,2216,7152,2517,6851,2598,6775,2672,6715,2740,6672,2801,6645,2868,6630,2941,6626,3020,6633,3105,6651,3195,6680,3255,6706,3317,6738,3380,6777,3446,6822,3514,6873,3584,6931,3656,6996,3729,7068,3789,7129,3845,7189,3896,7248,3943,7306,3986,7363,4025,7418,4059,7472,4101,7546,4136,7619,4163,7688,4183,7755,4196,7819,4200,7876,4200,7190,4194,7181,4148,7121,4098,7060,4045,6999,3989,6938,3929,6876,3865,6814,3801,6756,3737,6701,3673,6649,3643,6626,3609,6601,3546,6557,3482,6515,3419,6478,3346,6440,3274,6407,3203,6380,3132,6358,3062,6341,2992,6329,2923,6322,2850,6320,2779,6327,2709,6342,2642,6365,2577,6395,2528,6424,2476,6461,2420,6506,2359,6560,2294,6623,1801,7116,3710,9024,4124,8610,4226,8508,4287,8443,4341,8377,4386,8311,4424,8245,4454,8178,4476,8112,4491,8045,4498,7977,4498,7909xm6418,6316l6056,6188,5650,6045,5561,6016,5475,5992,5393,5973,5365,5968,5314,5959,5239,5949,5193,5947,5143,5950,5089,5957,5030,5968,5073,5898,5109,5829,5136,5759,5154,5691,5164,5622,5165,5554,5157,5486,5139,5408,5111,5332,5075,5257,5030,5185,4976,5114,4956,5091,4913,5045,4872,5007,4872,5564,4868,5620,4854,5675,4830,5731,4794,5790,4747,5851,4687,5914,4280,6322,3649,5690,4102,5237,4166,5180,4229,5137,4293,5108,4358,5092,4422,5091,4501,5106,4577,5136,4649,5181,4718,5240,4761,5288,4797,5339,4827,5393,4851,5449,4867,5507,4872,5564,4872,5007,4849,4986,4782,4933,4713,4888,4641,4849,4566,4817,4474,4789,4386,4776,4303,4778,4225,4794,4163,4819,4098,4855,4030,4904,3958,4963,3883,5034,3248,5669,5157,7577,5346,7388,4499,6540,4718,6322,4753,6287,4783,6260,4810,6239,4833,6224,4863,6211,4896,6200,4932,6192,4971,6188,5014,6188,5066,6193,5125,6204,5194,6220,5256,6237,5328,6258,5407,6283,5496,6312,6180,6554,6418,6316xm7780,4953l7415,4758,6555,4304,6555,4611,6070,5097,6030,5025,5989,4953,5748,4523,5708,4451,5668,4380,5629,4314,5590,4249,5550,4185,5509,4122,5467,4060,5424,3999,5380,3938,5436,3974,5498,4012,5564,4051,5635,4093,5792,4184,6555,4611,6555,4304,5862,3938,5286,3631,5082,3835,5277,4186,5316,4256,5701,4953,6207,5872,6441,6293,6642,6092,6565,5959,6298,5490,6221,5357,6481,5097,6820,4758,7173,4953,7565,5169,7780,4953xm8131,4603l7264,3736,7936,3064,7711,2839,7039,3511,6448,2920,7224,2144,6999,1918,6033,2884,7941,4792,8131,4603xm9707,3027l8024,1344,8497,870,8272,645,7138,1780,7363,2005,7834,1533,9517,3216,9707,3027xe" filled="true" fillcolor="#c0c0c0" stroked="false">
            <v:path arrowok="t"/>
            <v:fill opacity="32896f" type="solid"/>
            <w10:wrap type="none"/>
          </v:shape>
        </w:pict>
      </w:r>
      <w:r>
        <w:rPr/>
        <w:t>Property values are rising quickly as new development spreads throughout West Dallas. The increased</w:t>
      </w:r>
      <w:r>
        <w:rPr>
          <w:spacing w:val="-11"/>
        </w:rPr>
        <w:t> </w:t>
      </w:r>
      <w:r>
        <w:rPr/>
        <w:t>cost</w:t>
      </w:r>
      <w:r>
        <w:rPr>
          <w:spacing w:val="-10"/>
        </w:rPr>
        <w:t> </w:t>
      </w:r>
      <w:r>
        <w:rPr/>
        <w:t>of</w:t>
      </w:r>
      <w:r>
        <w:rPr>
          <w:spacing w:val="-12"/>
        </w:rPr>
        <w:t> </w:t>
      </w:r>
      <w:r>
        <w:rPr/>
        <w:t>taxes</w:t>
      </w:r>
      <w:r>
        <w:rPr>
          <w:spacing w:val="-11"/>
        </w:rPr>
        <w:t> </w:t>
      </w:r>
      <w:r>
        <w:rPr/>
        <w:t>often</w:t>
      </w:r>
      <w:r>
        <w:rPr>
          <w:spacing w:val="-11"/>
        </w:rPr>
        <w:t> </w:t>
      </w:r>
      <w:r>
        <w:rPr/>
        <w:t>competes</w:t>
      </w:r>
      <w:r>
        <w:rPr>
          <w:spacing w:val="-11"/>
        </w:rPr>
        <w:t> </w:t>
      </w:r>
      <w:r>
        <w:rPr/>
        <w:t>with</w:t>
      </w:r>
      <w:r>
        <w:rPr>
          <w:spacing w:val="-14"/>
        </w:rPr>
        <w:t> </w:t>
      </w:r>
      <w:r>
        <w:rPr/>
        <w:t>the</w:t>
      </w:r>
      <w:r>
        <w:rPr>
          <w:spacing w:val="-11"/>
        </w:rPr>
        <w:t> </w:t>
      </w:r>
      <w:r>
        <w:rPr/>
        <w:t>cost</w:t>
      </w:r>
      <w:r>
        <w:rPr>
          <w:spacing w:val="-10"/>
        </w:rPr>
        <w:t> </w:t>
      </w:r>
      <w:r>
        <w:rPr/>
        <w:t>of</w:t>
      </w:r>
      <w:r>
        <w:rPr>
          <w:spacing w:val="-12"/>
        </w:rPr>
        <w:t> </w:t>
      </w:r>
      <w:r>
        <w:rPr/>
        <w:t>needed</w:t>
      </w:r>
      <w:r>
        <w:rPr>
          <w:spacing w:val="-11"/>
        </w:rPr>
        <w:t> </w:t>
      </w:r>
      <w:r>
        <w:rPr/>
        <w:t>home</w:t>
      </w:r>
      <w:r>
        <w:rPr>
          <w:spacing w:val="-14"/>
        </w:rPr>
        <w:t> </w:t>
      </w:r>
      <w:r>
        <w:rPr/>
        <w:t>repair</w:t>
      </w:r>
      <w:r>
        <w:rPr>
          <w:spacing w:val="-10"/>
        </w:rPr>
        <w:t> </w:t>
      </w:r>
      <w:r>
        <w:rPr/>
        <w:t>or</w:t>
      </w:r>
      <w:r>
        <w:rPr>
          <w:spacing w:val="-10"/>
        </w:rPr>
        <w:t> </w:t>
      </w:r>
      <w:r>
        <w:rPr/>
        <w:t>maintenance.</w:t>
      </w:r>
      <w:r>
        <w:rPr>
          <w:spacing w:val="-12"/>
        </w:rPr>
        <w:t> </w:t>
      </w:r>
      <w:r>
        <w:rPr/>
        <w:t>This TRP, the</w:t>
      </w:r>
      <w:r>
        <w:rPr>
          <w:spacing w:val="-3"/>
        </w:rPr>
        <w:t> </w:t>
      </w:r>
      <w:r>
        <w:rPr/>
        <w:t>West</w:t>
      </w:r>
      <w:r>
        <w:rPr>
          <w:spacing w:val="-1"/>
        </w:rPr>
        <w:t> </w:t>
      </w:r>
      <w:r>
        <w:rPr/>
        <w:t>Dallas Sub-Program</w:t>
      </w:r>
      <w:r>
        <w:rPr>
          <w:spacing w:val="-1"/>
        </w:rPr>
        <w:t> </w:t>
      </w:r>
      <w:r>
        <w:rPr/>
        <w:t>Module</w:t>
      </w:r>
      <w:r>
        <w:rPr>
          <w:spacing w:val="-3"/>
        </w:rPr>
        <w:t> </w:t>
      </w:r>
      <w:r>
        <w:rPr/>
        <w:t>(“West Dallas TRP”),</w:t>
      </w:r>
      <w:r>
        <w:rPr>
          <w:spacing w:val="-1"/>
        </w:rPr>
        <w:t> </w:t>
      </w:r>
      <w:r>
        <w:rPr/>
        <w:t>is directed to</w:t>
      </w:r>
      <w:r>
        <w:rPr>
          <w:spacing w:val="-3"/>
        </w:rPr>
        <w:t> </w:t>
      </w:r>
      <w:r>
        <w:rPr/>
        <w:t>aid homeowners who occupy their homes in West Dallas who have home improvement needs but are financially unable to address them. The funding will prioritize exterior improvements. West Dallas TRP geography</w:t>
      </w:r>
      <w:r>
        <w:rPr>
          <w:spacing w:val="-16"/>
        </w:rPr>
        <w:t> </w:t>
      </w:r>
      <w:r>
        <w:rPr/>
        <w:t>is</w:t>
      </w:r>
      <w:r>
        <w:rPr>
          <w:spacing w:val="-12"/>
        </w:rPr>
        <w:t> </w:t>
      </w:r>
      <w:r>
        <w:rPr/>
        <w:t>defined</w:t>
      </w:r>
      <w:r>
        <w:rPr>
          <w:spacing w:val="-12"/>
        </w:rPr>
        <w:t> </w:t>
      </w:r>
      <w:r>
        <w:rPr/>
        <w:t>by</w:t>
      </w:r>
      <w:r>
        <w:rPr>
          <w:spacing w:val="-15"/>
        </w:rPr>
        <w:t> </w:t>
      </w:r>
      <w:r>
        <w:rPr/>
        <w:t>the</w:t>
      </w:r>
      <w:r>
        <w:rPr>
          <w:spacing w:val="-12"/>
        </w:rPr>
        <w:t> </w:t>
      </w:r>
      <w:r>
        <w:rPr/>
        <w:t>following</w:t>
      </w:r>
      <w:r>
        <w:rPr>
          <w:spacing w:val="-12"/>
        </w:rPr>
        <w:t> </w:t>
      </w:r>
      <w:r>
        <w:rPr/>
        <w:t>census</w:t>
      </w:r>
      <w:r>
        <w:rPr>
          <w:spacing w:val="-16"/>
        </w:rPr>
        <w:t> </w:t>
      </w:r>
      <w:r>
        <w:rPr/>
        <w:t>tracts:</w:t>
      </w:r>
      <w:r>
        <w:rPr>
          <w:spacing w:val="-13"/>
        </w:rPr>
        <w:t> </w:t>
      </w:r>
      <w:r>
        <w:rPr/>
        <w:t>43,</w:t>
      </w:r>
      <w:r>
        <w:rPr>
          <w:spacing w:val="-13"/>
        </w:rPr>
        <w:t> </w:t>
      </w:r>
      <w:r>
        <w:rPr/>
        <w:t>101.01,</w:t>
      </w:r>
      <w:r>
        <w:rPr>
          <w:spacing w:val="-13"/>
        </w:rPr>
        <w:t> </w:t>
      </w:r>
      <w:r>
        <w:rPr/>
        <w:t>101.02,</w:t>
      </w:r>
      <w:r>
        <w:rPr>
          <w:spacing w:val="-13"/>
        </w:rPr>
        <w:t> </w:t>
      </w:r>
      <w:r>
        <w:rPr/>
        <w:t>105,</w:t>
      </w:r>
      <w:r>
        <w:rPr>
          <w:spacing w:val="-11"/>
        </w:rPr>
        <w:t> </w:t>
      </w:r>
      <w:r>
        <w:rPr/>
        <w:t>106.01,</w:t>
      </w:r>
      <w:r>
        <w:rPr>
          <w:spacing w:val="-13"/>
        </w:rPr>
        <w:t> </w:t>
      </w:r>
      <w:r>
        <w:rPr/>
        <w:t>106.02,</w:t>
      </w:r>
      <w:r>
        <w:rPr>
          <w:spacing w:val="-10"/>
        </w:rPr>
        <w:t> </w:t>
      </w:r>
      <w:r>
        <w:rPr/>
        <w:t>205</w:t>
      </w:r>
    </w:p>
    <w:p>
      <w:pPr>
        <w:pStyle w:val="BodyText"/>
      </w:pPr>
    </w:p>
    <w:p>
      <w:pPr>
        <w:pStyle w:val="Heading5"/>
        <w:ind w:left="119"/>
        <w:jc w:val="left"/>
      </w:pPr>
      <w:r>
        <w:rPr>
          <w:spacing w:val="-2"/>
        </w:rPr>
        <w:t>Outreach</w:t>
      </w:r>
    </w:p>
    <w:p>
      <w:pPr>
        <w:pStyle w:val="BodyText"/>
        <w:spacing w:before="49"/>
        <w:ind w:left="119" w:right="156"/>
        <w:jc w:val="both"/>
      </w:pPr>
      <w:r>
        <w:rPr/>
        <w:t>The West Dallas TRP design was informed by resident feedback. Resident-only focus groups were held to gather information on targeted beneficiaries and needed improvements. The TRP was then developed by staff and details of the program solidified.</w:t>
      </w:r>
    </w:p>
    <w:p>
      <w:pPr>
        <w:pStyle w:val="BodyText"/>
        <w:spacing w:before="1"/>
      </w:pPr>
    </w:p>
    <w:p>
      <w:pPr>
        <w:pStyle w:val="BodyText"/>
        <w:ind w:left="120" w:right="155"/>
        <w:jc w:val="both"/>
      </w:pPr>
      <w:r>
        <w:rPr/>
        <w:t>The Housing Policy Task Force (HPTF) reviewed the TRP on February 21, 2020 and February 28, 2020 and made recommendations and comments on the overall policy. That feedback was also included in the general policy.</w:t>
      </w:r>
    </w:p>
    <w:p>
      <w:pPr>
        <w:pStyle w:val="BodyText"/>
        <w:spacing w:before="10"/>
        <w:rPr>
          <w:sz w:val="21"/>
        </w:rPr>
      </w:pPr>
    </w:p>
    <w:p>
      <w:pPr>
        <w:pStyle w:val="Heading5"/>
        <w:jc w:val="left"/>
      </w:pPr>
      <w:r>
        <w:rPr/>
        <w:t>Funding</w:t>
      </w:r>
      <w:r>
        <w:rPr>
          <w:spacing w:val="-3"/>
        </w:rPr>
        <w:t> </w:t>
      </w:r>
      <w:r>
        <w:rPr>
          <w:spacing w:val="-2"/>
        </w:rPr>
        <w:t>Source</w:t>
      </w:r>
    </w:p>
    <w:p>
      <w:pPr>
        <w:pStyle w:val="BodyText"/>
        <w:spacing w:line="252" w:lineRule="exact" w:before="52"/>
        <w:ind w:left="120"/>
      </w:pPr>
      <w:r>
        <w:rPr/>
        <w:t>Equity</w:t>
      </w:r>
      <w:r>
        <w:rPr>
          <w:spacing w:val="-8"/>
        </w:rPr>
        <w:t> </w:t>
      </w:r>
      <w:r>
        <w:rPr/>
        <w:t>Revitalization</w:t>
      </w:r>
      <w:r>
        <w:rPr>
          <w:spacing w:val="-9"/>
        </w:rPr>
        <w:t> </w:t>
      </w:r>
      <w:r>
        <w:rPr/>
        <w:t>Capital</w:t>
      </w:r>
      <w:r>
        <w:rPr>
          <w:spacing w:val="-8"/>
        </w:rPr>
        <w:t> </w:t>
      </w:r>
      <w:r>
        <w:rPr>
          <w:spacing w:val="-4"/>
        </w:rPr>
        <w:t>Fund</w:t>
      </w:r>
    </w:p>
    <w:p>
      <w:pPr>
        <w:pStyle w:val="BodyText"/>
        <w:ind w:left="120"/>
      </w:pPr>
      <w:r>
        <w:rPr/>
        <w:t>The</w:t>
      </w:r>
      <w:r>
        <w:rPr>
          <w:spacing w:val="-11"/>
        </w:rPr>
        <w:t> </w:t>
      </w:r>
      <w:r>
        <w:rPr/>
        <w:t>total</w:t>
      </w:r>
      <w:r>
        <w:rPr>
          <w:spacing w:val="-12"/>
        </w:rPr>
        <w:t> </w:t>
      </w:r>
      <w:r>
        <w:rPr/>
        <w:t>amount</w:t>
      </w:r>
      <w:r>
        <w:rPr>
          <w:spacing w:val="-10"/>
        </w:rPr>
        <w:t> </w:t>
      </w:r>
      <w:r>
        <w:rPr/>
        <w:t>available</w:t>
      </w:r>
      <w:r>
        <w:rPr>
          <w:spacing w:val="-11"/>
        </w:rPr>
        <w:t> </w:t>
      </w:r>
      <w:r>
        <w:rPr/>
        <w:t>is</w:t>
      </w:r>
      <w:r>
        <w:rPr>
          <w:spacing w:val="-11"/>
        </w:rPr>
        <w:t> </w:t>
      </w:r>
      <w:r>
        <w:rPr/>
        <w:t>$2,000,000</w:t>
      </w:r>
      <w:r>
        <w:rPr>
          <w:spacing w:val="-10"/>
        </w:rPr>
        <w:t> </w:t>
      </w:r>
      <w:r>
        <w:rPr/>
        <w:t>and</w:t>
      </w:r>
      <w:r>
        <w:rPr>
          <w:spacing w:val="-11"/>
        </w:rPr>
        <w:t> </w:t>
      </w:r>
      <w:r>
        <w:rPr/>
        <w:t>each</w:t>
      </w:r>
      <w:r>
        <w:rPr>
          <w:spacing w:val="-14"/>
        </w:rPr>
        <w:t> </w:t>
      </w:r>
      <w:r>
        <w:rPr/>
        <w:t>grant</w:t>
      </w:r>
      <w:r>
        <w:rPr>
          <w:spacing w:val="-12"/>
        </w:rPr>
        <w:t> </w:t>
      </w:r>
      <w:r>
        <w:rPr/>
        <w:t>will</w:t>
      </w:r>
      <w:r>
        <w:rPr>
          <w:spacing w:val="-12"/>
        </w:rPr>
        <w:t> </w:t>
      </w:r>
      <w:r>
        <w:rPr/>
        <w:t>be</w:t>
      </w:r>
      <w:r>
        <w:rPr>
          <w:spacing w:val="-11"/>
        </w:rPr>
        <w:t> </w:t>
      </w:r>
      <w:r>
        <w:rPr/>
        <w:t>an</w:t>
      </w:r>
      <w:r>
        <w:rPr>
          <w:spacing w:val="-11"/>
        </w:rPr>
        <w:t> </w:t>
      </w:r>
      <w:r>
        <w:rPr/>
        <w:t>amount</w:t>
      </w:r>
      <w:r>
        <w:rPr>
          <w:spacing w:val="-15"/>
        </w:rPr>
        <w:t> </w:t>
      </w:r>
      <w:r>
        <w:rPr/>
        <w:t>not</w:t>
      </w:r>
      <w:r>
        <w:rPr>
          <w:spacing w:val="-10"/>
        </w:rPr>
        <w:t> </w:t>
      </w:r>
      <w:r>
        <w:rPr/>
        <w:t>to</w:t>
      </w:r>
      <w:r>
        <w:rPr>
          <w:spacing w:val="-14"/>
        </w:rPr>
        <w:t> </w:t>
      </w:r>
      <w:r>
        <w:rPr/>
        <w:t>exceed</w:t>
      </w:r>
      <w:r>
        <w:rPr>
          <w:spacing w:val="-11"/>
        </w:rPr>
        <w:t> </w:t>
      </w:r>
      <w:r>
        <w:rPr/>
        <w:t>$20,000 per property. It will be awarded based upon applicants meeting all criteria as listed herein.</w:t>
      </w:r>
    </w:p>
    <w:p>
      <w:pPr>
        <w:pStyle w:val="BodyText"/>
        <w:spacing w:before="1"/>
      </w:pPr>
    </w:p>
    <w:p>
      <w:pPr>
        <w:pStyle w:val="Heading5"/>
        <w:spacing w:line="288" w:lineRule="auto"/>
        <w:ind w:right="7012"/>
      </w:pPr>
      <w:r>
        <w:rPr/>
        <w:t>Eligibility</w:t>
      </w:r>
      <w:r>
        <w:rPr>
          <w:spacing w:val="-16"/>
        </w:rPr>
        <w:t> </w:t>
      </w:r>
      <w:r>
        <w:rPr/>
        <w:t>Requirements Applicant Eligibility</w:t>
      </w:r>
    </w:p>
    <w:p>
      <w:pPr>
        <w:pStyle w:val="BodyText"/>
        <w:ind w:left="120" w:right="155"/>
        <w:jc w:val="both"/>
      </w:pPr>
      <w:r>
        <w:rPr/>
        <w:t>Applicants (sometimes referred to as homeowner) must meet all of the applicant criteria in the TRP and must also own the home and live in it to be repaired. Applicant income must be at or below 80% AMI. Applicant(s) must provide a deed showing the conveyance of ownership, or similar documentation acceptable to the City in its sole discretion, that proves ownership in fee simple. All owners of the property must sign all grant documents.</w:t>
      </w:r>
    </w:p>
    <w:p>
      <w:pPr>
        <w:pStyle w:val="BodyText"/>
        <w:spacing w:before="10"/>
        <w:rPr>
          <w:sz w:val="21"/>
        </w:rPr>
      </w:pPr>
    </w:p>
    <w:p>
      <w:pPr>
        <w:pStyle w:val="Heading5"/>
      </w:pPr>
      <w:r>
        <w:rPr/>
        <w:t>Property</w:t>
      </w:r>
      <w:r>
        <w:rPr>
          <w:spacing w:val="-6"/>
        </w:rPr>
        <w:t> </w:t>
      </w:r>
      <w:r>
        <w:rPr>
          <w:spacing w:val="-2"/>
        </w:rPr>
        <w:t>Eligibility</w:t>
      </w:r>
    </w:p>
    <w:p>
      <w:pPr>
        <w:pStyle w:val="BodyText"/>
        <w:spacing w:before="49"/>
        <w:ind w:left="120" w:right="156"/>
        <w:jc w:val="both"/>
      </w:pPr>
      <w:r>
        <w:rPr/>
        <w:t>Properties</w:t>
      </w:r>
      <w:r>
        <w:rPr>
          <w:spacing w:val="-11"/>
        </w:rPr>
        <w:t> </w:t>
      </w:r>
      <w:r>
        <w:rPr/>
        <w:t>must</w:t>
      </w:r>
      <w:r>
        <w:rPr>
          <w:spacing w:val="-10"/>
        </w:rPr>
        <w:t> </w:t>
      </w:r>
      <w:r>
        <w:rPr/>
        <w:t>meet</w:t>
      </w:r>
      <w:r>
        <w:rPr>
          <w:spacing w:val="-7"/>
        </w:rPr>
        <w:t> </w:t>
      </w:r>
      <w:r>
        <w:rPr/>
        <w:t>the</w:t>
      </w:r>
      <w:r>
        <w:rPr>
          <w:spacing w:val="-9"/>
        </w:rPr>
        <w:t> </w:t>
      </w:r>
      <w:r>
        <w:rPr/>
        <w:t>eligibility</w:t>
      </w:r>
      <w:r>
        <w:rPr>
          <w:spacing w:val="-6"/>
        </w:rPr>
        <w:t> </w:t>
      </w:r>
      <w:r>
        <w:rPr/>
        <w:t>criteria</w:t>
      </w:r>
      <w:r>
        <w:rPr>
          <w:spacing w:val="-9"/>
        </w:rPr>
        <w:t> </w:t>
      </w:r>
      <w:r>
        <w:rPr/>
        <w:t>of</w:t>
      </w:r>
      <w:r>
        <w:rPr>
          <w:spacing w:val="-7"/>
        </w:rPr>
        <w:t> </w:t>
      </w:r>
      <w:r>
        <w:rPr/>
        <w:t>the</w:t>
      </w:r>
      <w:r>
        <w:rPr>
          <w:spacing w:val="-11"/>
        </w:rPr>
        <w:t> </w:t>
      </w:r>
      <w:r>
        <w:rPr/>
        <w:t>West</w:t>
      </w:r>
      <w:r>
        <w:rPr>
          <w:spacing w:val="-7"/>
        </w:rPr>
        <w:t> </w:t>
      </w:r>
      <w:r>
        <w:rPr/>
        <w:t>Dallas</w:t>
      </w:r>
      <w:r>
        <w:rPr>
          <w:spacing w:val="-6"/>
        </w:rPr>
        <w:t> </w:t>
      </w:r>
      <w:r>
        <w:rPr/>
        <w:t>TRP</w:t>
      </w:r>
      <w:r>
        <w:rPr>
          <w:spacing w:val="-7"/>
        </w:rPr>
        <w:t> </w:t>
      </w:r>
      <w:r>
        <w:rPr/>
        <w:t>and</w:t>
      </w:r>
      <w:r>
        <w:rPr>
          <w:spacing w:val="-11"/>
        </w:rPr>
        <w:t> </w:t>
      </w:r>
      <w:r>
        <w:rPr/>
        <w:t>must</w:t>
      </w:r>
      <w:r>
        <w:rPr>
          <w:spacing w:val="-5"/>
        </w:rPr>
        <w:t> </w:t>
      </w:r>
      <w:r>
        <w:rPr/>
        <w:t>also</w:t>
      </w:r>
      <w:r>
        <w:rPr>
          <w:spacing w:val="-9"/>
        </w:rPr>
        <w:t> </w:t>
      </w:r>
      <w:r>
        <w:rPr/>
        <w:t>be</w:t>
      </w:r>
      <w:r>
        <w:rPr>
          <w:spacing w:val="-9"/>
        </w:rPr>
        <w:t> </w:t>
      </w:r>
      <w:r>
        <w:rPr/>
        <w:t>single-family or</w:t>
      </w:r>
      <w:r>
        <w:rPr>
          <w:spacing w:val="-11"/>
        </w:rPr>
        <w:t> </w:t>
      </w:r>
      <w:r>
        <w:rPr/>
        <w:t>duplex,</w:t>
      </w:r>
      <w:r>
        <w:rPr>
          <w:spacing w:val="-13"/>
        </w:rPr>
        <w:t> </w:t>
      </w:r>
      <w:r>
        <w:rPr/>
        <w:t>homeowner</w:t>
      </w:r>
      <w:r>
        <w:rPr>
          <w:spacing w:val="-11"/>
        </w:rPr>
        <w:t> </w:t>
      </w:r>
      <w:r>
        <w:rPr/>
        <w:t>occupied,</w:t>
      </w:r>
      <w:r>
        <w:rPr>
          <w:spacing w:val="-11"/>
        </w:rPr>
        <w:t> </w:t>
      </w:r>
      <w:r>
        <w:rPr/>
        <w:t>and</w:t>
      </w:r>
      <w:r>
        <w:rPr>
          <w:spacing w:val="-12"/>
        </w:rPr>
        <w:t> </w:t>
      </w:r>
      <w:r>
        <w:rPr/>
        <w:t>be</w:t>
      </w:r>
      <w:r>
        <w:rPr>
          <w:spacing w:val="-15"/>
        </w:rPr>
        <w:t> </w:t>
      </w:r>
      <w:r>
        <w:rPr/>
        <w:t>located</w:t>
      </w:r>
      <w:r>
        <w:rPr>
          <w:spacing w:val="-15"/>
        </w:rPr>
        <w:t> </w:t>
      </w:r>
      <w:r>
        <w:rPr/>
        <w:t>in</w:t>
      </w:r>
      <w:r>
        <w:rPr>
          <w:spacing w:val="-12"/>
        </w:rPr>
        <w:t> </w:t>
      </w:r>
      <w:r>
        <w:rPr/>
        <w:t>one</w:t>
      </w:r>
      <w:r>
        <w:rPr>
          <w:spacing w:val="-12"/>
        </w:rPr>
        <w:t> </w:t>
      </w:r>
      <w:r>
        <w:rPr/>
        <w:t>of</w:t>
      </w:r>
      <w:r>
        <w:rPr>
          <w:spacing w:val="-13"/>
        </w:rPr>
        <w:t> </w:t>
      </w:r>
      <w:r>
        <w:rPr/>
        <w:t>the</w:t>
      </w:r>
      <w:r>
        <w:rPr>
          <w:spacing w:val="-15"/>
        </w:rPr>
        <w:t> </w:t>
      </w:r>
      <w:r>
        <w:rPr/>
        <w:t>following</w:t>
      </w:r>
      <w:r>
        <w:rPr>
          <w:spacing w:val="-12"/>
        </w:rPr>
        <w:t> </w:t>
      </w:r>
      <w:r>
        <w:rPr/>
        <w:t>Census</w:t>
      </w:r>
      <w:r>
        <w:rPr>
          <w:spacing w:val="-12"/>
        </w:rPr>
        <w:t> </w:t>
      </w:r>
      <w:r>
        <w:rPr/>
        <w:t>tracts:</w:t>
      </w:r>
      <w:r>
        <w:rPr>
          <w:spacing w:val="-13"/>
        </w:rPr>
        <w:t> </w:t>
      </w:r>
      <w:r>
        <w:rPr/>
        <w:t>43,</w:t>
      </w:r>
      <w:r>
        <w:rPr>
          <w:spacing w:val="-9"/>
        </w:rPr>
        <w:t> </w:t>
      </w:r>
      <w:r>
        <w:rPr/>
        <w:t>101.01, 101.02, 105, 106.01, 106.02, 205.</w:t>
      </w:r>
    </w:p>
    <w:p>
      <w:pPr>
        <w:pStyle w:val="BodyText"/>
        <w:spacing w:before="1"/>
      </w:pPr>
    </w:p>
    <w:p>
      <w:pPr>
        <w:pStyle w:val="Heading5"/>
      </w:pPr>
      <w:r>
        <w:rPr/>
        <w:t>Eligible</w:t>
      </w:r>
      <w:r>
        <w:rPr>
          <w:spacing w:val="-5"/>
        </w:rPr>
        <w:t> </w:t>
      </w:r>
      <w:r>
        <w:rPr>
          <w:spacing w:val="-2"/>
        </w:rPr>
        <w:t>Repairs</w:t>
      </w:r>
    </w:p>
    <w:p>
      <w:pPr>
        <w:pStyle w:val="BodyText"/>
        <w:spacing w:before="52"/>
        <w:ind w:left="120" w:right="154"/>
        <w:jc w:val="both"/>
      </w:pPr>
      <w:r>
        <w:rPr/>
        <w:t>Applicants seeking service will be prioritized based upon the priority tier improvements listed below (“Priority Tier”), and all applicants will be served in the order in which they complete their applications.</w:t>
      </w:r>
      <w:r>
        <w:rPr>
          <w:spacing w:val="-3"/>
        </w:rPr>
        <w:t> </w:t>
      </w:r>
      <w:r>
        <w:rPr/>
        <w:t>If</w:t>
      </w:r>
      <w:r>
        <w:rPr>
          <w:spacing w:val="-3"/>
        </w:rPr>
        <w:t> </w:t>
      </w:r>
      <w:r>
        <w:rPr/>
        <w:t>funds</w:t>
      </w:r>
      <w:r>
        <w:rPr>
          <w:spacing w:val="-4"/>
        </w:rPr>
        <w:t> </w:t>
      </w:r>
      <w:r>
        <w:rPr/>
        <w:t>are</w:t>
      </w:r>
      <w:r>
        <w:rPr>
          <w:spacing w:val="-7"/>
        </w:rPr>
        <w:t> </w:t>
      </w:r>
      <w:r>
        <w:rPr/>
        <w:t>available</w:t>
      </w:r>
      <w:r>
        <w:rPr>
          <w:spacing w:val="-4"/>
        </w:rPr>
        <w:t> </w:t>
      </w:r>
      <w:r>
        <w:rPr/>
        <w:t>after</w:t>
      </w:r>
      <w:r>
        <w:rPr>
          <w:spacing w:val="-3"/>
        </w:rPr>
        <w:t> </w:t>
      </w:r>
      <w:r>
        <w:rPr/>
        <w:t>all</w:t>
      </w:r>
      <w:r>
        <w:rPr>
          <w:spacing w:val="-5"/>
        </w:rPr>
        <w:t> </w:t>
      </w:r>
      <w:r>
        <w:rPr/>
        <w:t>priority</w:t>
      </w:r>
      <w:r>
        <w:rPr>
          <w:spacing w:val="-6"/>
        </w:rPr>
        <w:t> </w:t>
      </w:r>
      <w:r>
        <w:rPr/>
        <w:t>tier</w:t>
      </w:r>
      <w:r>
        <w:rPr>
          <w:spacing w:val="-3"/>
        </w:rPr>
        <w:t> </w:t>
      </w:r>
      <w:r>
        <w:rPr/>
        <w:t>repairs</w:t>
      </w:r>
      <w:r>
        <w:rPr>
          <w:spacing w:val="-4"/>
        </w:rPr>
        <w:t> </w:t>
      </w:r>
      <w:r>
        <w:rPr/>
        <w:t>have</w:t>
      </w:r>
      <w:r>
        <w:rPr>
          <w:spacing w:val="-4"/>
        </w:rPr>
        <w:t> </w:t>
      </w:r>
      <w:r>
        <w:rPr/>
        <w:t>been</w:t>
      </w:r>
      <w:r>
        <w:rPr>
          <w:spacing w:val="-4"/>
        </w:rPr>
        <w:t> </w:t>
      </w:r>
      <w:r>
        <w:rPr/>
        <w:t>completed,</w:t>
      </w:r>
      <w:r>
        <w:rPr>
          <w:spacing w:val="-2"/>
        </w:rPr>
        <w:t> </w:t>
      </w:r>
      <w:r>
        <w:rPr/>
        <w:t>repairs</w:t>
      </w:r>
      <w:r>
        <w:rPr>
          <w:spacing w:val="-6"/>
        </w:rPr>
        <w:t> </w:t>
      </w:r>
      <w:r>
        <w:rPr/>
        <w:t>from the</w:t>
      </w:r>
      <w:r>
        <w:rPr>
          <w:spacing w:val="-12"/>
        </w:rPr>
        <w:t> </w:t>
      </w:r>
      <w:r>
        <w:rPr/>
        <w:t>secondary</w:t>
      </w:r>
      <w:r>
        <w:rPr>
          <w:spacing w:val="-16"/>
        </w:rPr>
        <w:t> </w:t>
      </w:r>
      <w:r>
        <w:rPr/>
        <w:t>tier</w:t>
      </w:r>
      <w:r>
        <w:rPr>
          <w:spacing w:val="-10"/>
        </w:rPr>
        <w:t> </w:t>
      </w:r>
      <w:r>
        <w:rPr/>
        <w:t>will</w:t>
      </w:r>
      <w:r>
        <w:rPr>
          <w:spacing w:val="-12"/>
        </w:rPr>
        <w:t> </w:t>
      </w:r>
      <w:r>
        <w:rPr/>
        <w:t>be</w:t>
      </w:r>
      <w:r>
        <w:rPr>
          <w:spacing w:val="-16"/>
        </w:rPr>
        <w:t> </w:t>
      </w:r>
      <w:r>
        <w:rPr/>
        <w:t>vetted</w:t>
      </w:r>
      <w:r>
        <w:rPr>
          <w:spacing w:val="-14"/>
        </w:rPr>
        <w:t> </w:t>
      </w:r>
      <w:r>
        <w:rPr/>
        <w:t>in</w:t>
      </w:r>
      <w:r>
        <w:rPr>
          <w:spacing w:val="-14"/>
        </w:rPr>
        <w:t> </w:t>
      </w:r>
      <w:r>
        <w:rPr/>
        <w:t>the</w:t>
      </w:r>
      <w:r>
        <w:rPr>
          <w:spacing w:val="-14"/>
        </w:rPr>
        <w:t> </w:t>
      </w:r>
      <w:r>
        <w:rPr/>
        <w:t>order</w:t>
      </w:r>
      <w:r>
        <w:rPr>
          <w:spacing w:val="-10"/>
        </w:rPr>
        <w:t> </w:t>
      </w:r>
      <w:r>
        <w:rPr/>
        <w:t>in</w:t>
      </w:r>
      <w:r>
        <w:rPr>
          <w:spacing w:val="-14"/>
        </w:rPr>
        <w:t> </w:t>
      </w:r>
      <w:r>
        <w:rPr/>
        <w:t>which</w:t>
      </w:r>
      <w:r>
        <w:rPr>
          <w:spacing w:val="-11"/>
        </w:rPr>
        <w:t> </w:t>
      </w:r>
      <w:r>
        <w:rPr/>
        <w:t>Applicants</w:t>
      </w:r>
      <w:r>
        <w:rPr>
          <w:spacing w:val="-13"/>
        </w:rPr>
        <w:t> </w:t>
      </w:r>
      <w:r>
        <w:rPr/>
        <w:t>complete</w:t>
      </w:r>
      <w:r>
        <w:rPr>
          <w:spacing w:val="-14"/>
        </w:rPr>
        <w:t> </w:t>
      </w:r>
      <w:r>
        <w:rPr/>
        <w:t>applications.</w:t>
      </w:r>
      <w:r>
        <w:rPr>
          <w:spacing w:val="-10"/>
        </w:rPr>
        <w:t> </w:t>
      </w:r>
      <w:r>
        <w:rPr/>
        <w:t>Applicants that start but do not finish an application will not be considered for assistance.</w:t>
      </w:r>
    </w:p>
    <w:p>
      <w:pPr>
        <w:spacing w:after="0"/>
        <w:jc w:val="both"/>
        <w:sectPr>
          <w:pgSz w:w="12240" w:h="15840"/>
          <w:pgMar w:header="0" w:footer="1738" w:top="1380" w:bottom="1920" w:left="1320" w:right="1280"/>
        </w:sectPr>
      </w:pPr>
    </w:p>
    <w:p>
      <w:pPr>
        <w:pStyle w:val="BodyText"/>
        <w:spacing w:before="80"/>
        <w:ind w:left="120" w:right="155" w:hanging="1"/>
        <w:jc w:val="both"/>
      </w:pPr>
      <w:r>
        <w:rPr/>
        <w:t>Eligible improvements under this West Dallas TRP is intended for the primary structure, prioritizing exterior elements of the house and land that include the following, but are not limited </w:t>
      </w:r>
      <w:r>
        <w:rPr>
          <w:spacing w:val="-4"/>
        </w:rPr>
        <w:t>to:</w:t>
      </w:r>
    </w:p>
    <w:p>
      <w:pPr>
        <w:pStyle w:val="ListParagraph"/>
        <w:numPr>
          <w:ilvl w:val="0"/>
          <w:numId w:val="12"/>
        </w:numPr>
        <w:tabs>
          <w:tab w:pos="840" w:val="left" w:leader="none"/>
          <w:tab w:pos="841" w:val="left" w:leader="none"/>
        </w:tabs>
        <w:spacing w:line="268" w:lineRule="exact" w:before="1" w:after="0"/>
        <w:ind w:left="840" w:right="0" w:hanging="361"/>
        <w:jc w:val="left"/>
        <w:rPr>
          <w:sz w:val="22"/>
        </w:rPr>
      </w:pPr>
      <w:r>
        <w:rPr>
          <w:sz w:val="22"/>
        </w:rPr>
        <w:t>Priority</w:t>
      </w:r>
      <w:r>
        <w:rPr>
          <w:spacing w:val="-7"/>
          <w:sz w:val="22"/>
        </w:rPr>
        <w:t> </w:t>
      </w:r>
      <w:r>
        <w:rPr>
          <w:spacing w:val="-4"/>
          <w:sz w:val="22"/>
        </w:rPr>
        <w:t>Tier</w:t>
      </w:r>
    </w:p>
    <w:p>
      <w:pPr>
        <w:pStyle w:val="ListParagraph"/>
        <w:numPr>
          <w:ilvl w:val="1"/>
          <w:numId w:val="12"/>
        </w:numPr>
        <w:tabs>
          <w:tab w:pos="1561" w:val="left" w:leader="none"/>
        </w:tabs>
        <w:spacing w:line="220" w:lineRule="auto" w:before="14" w:after="0"/>
        <w:ind w:left="1560" w:right="158" w:hanging="361"/>
        <w:jc w:val="left"/>
        <w:rPr>
          <w:sz w:val="22"/>
        </w:rPr>
      </w:pPr>
      <w:r>
        <w:rPr>
          <w:sz w:val="22"/>
        </w:rPr>
        <w:t>Correction</w:t>
      </w:r>
      <w:r>
        <w:rPr>
          <w:spacing w:val="75"/>
          <w:sz w:val="22"/>
        </w:rPr>
        <w:t> </w:t>
      </w:r>
      <w:r>
        <w:rPr>
          <w:sz w:val="22"/>
        </w:rPr>
        <w:t>of</w:t>
      </w:r>
      <w:r>
        <w:rPr>
          <w:spacing w:val="77"/>
          <w:sz w:val="22"/>
        </w:rPr>
        <w:t> </w:t>
      </w:r>
      <w:r>
        <w:rPr>
          <w:sz w:val="22"/>
        </w:rPr>
        <w:t>exterior</w:t>
      </w:r>
      <w:r>
        <w:rPr>
          <w:spacing w:val="40"/>
          <w:sz w:val="22"/>
        </w:rPr>
        <w:t> </w:t>
      </w:r>
      <w:r>
        <w:rPr>
          <w:sz w:val="22"/>
        </w:rPr>
        <w:t>code</w:t>
      </w:r>
      <w:r>
        <w:rPr>
          <w:spacing w:val="75"/>
          <w:sz w:val="22"/>
        </w:rPr>
        <w:t> </w:t>
      </w:r>
      <w:r>
        <w:rPr>
          <w:sz w:val="22"/>
        </w:rPr>
        <w:t>violations</w:t>
      </w:r>
      <w:r>
        <w:rPr>
          <w:spacing w:val="76"/>
          <w:sz w:val="22"/>
        </w:rPr>
        <w:t> </w:t>
      </w:r>
      <w:r>
        <w:rPr>
          <w:sz w:val="22"/>
        </w:rPr>
        <w:t>and</w:t>
      </w:r>
      <w:r>
        <w:rPr>
          <w:spacing w:val="75"/>
          <w:sz w:val="22"/>
        </w:rPr>
        <w:t> </w:t>
      </w:r>
      <w:r>
        <w:rPr>
          <w:sz w:val="22"/>
        </w:rPr>
        <w:t>elimination</w:t>
      </w:r>
      <w:r>
        <w:rPr>
          <w:spacing w:val="75"/>
          <w:sz w:val="22"/>
        </w:rPr>
        <w:t> </w:t>
      </w:r>
      <w:r>
        <w:rPr>
          <w:sz w:val="22"/>
        </w:rPr>
        <w:t>of</w:t>
      </w:r>
      <w:r>
        <w:rPr>
          <w:spacing w:val="40"/>
          <w:sz w:val="22"/>
        </w:rPr>
        <w:t> </w:t>
      </w:r>
      <w:r>
        <w:rPr>
          <w:sz w:val="22"/>
        </w:rPr>
        <w:t>specific</w:t>
      </w:r>
      <w:r>
        <w:rPr>
          <w:spacing w:val="76"/>
          <w:sz w:val="22"/>
        </w:rPr>
        <w:t> </w:t>
      </w:r>
      <w:r>
        <w:rPr>
          <w:sz w:val="22"/>
        </w:rPr>
        <w:t>conditions detrimental to public health &amp; safety identified by the City</w:t>
      </w:r>
    </w:p>
    <w:p>
      <w:pPr>
        <w:pStyle w:val="ListParagraph"/>
        <w:numPr>
          <w:ilvl w:val="1"/>
          <w:numId w:val="12"/>
        </w:numPr>
        <w:tabs>
          <w:tab w:pos="1561" w:val="left" w:leader="none"/>
        </w:tabs>
        <w:spacing w:line="262" w:lineRule="exact" w:before="6" w:after="0"/>
        <w:ind w:left="1560" w:right="0" w:hanging="361"/>
        <w:jc w:val="left"/>
        <w:rPr>
          <w:sz w:val="22"/>
        </w:rPr>
      </w:pPr>
      <w:r>
        <w:rPr>
          <w:sz w:val="22"/>
        </w:rPr>
        <w:t>Roofing</w:t>
      </w:r>
      <w:r>
        <w:rPr>
          <w:spacing w:val="-5"/>
          <w:sz w:val="22"/>
        </w:rPr>
        <w:t> </w:t>
      </w:r>
      <w:r>
        <w:rPr>
          <w:sz w:val="22"/>
        </w:rPr>
        <w:t>repair</w:t>
      </w:r>
      <w:r>
        <w:rPr>
          <w:spacing w:val="-6"/>
          <w:sz w:val="22"/>
        </w:rPr>
        <w:t> </w:t>
      </w:r>
      <w:r>
        <w:rPr>
          <w:sz w:val="22"/>
        </w:rPr>
        <w:t>/</w:t>
      </w:r>
      <w:r>
        <w:rPr>
          <w:spacing w:val="-4"/>
          <w:sz w:val="22"/>
        </w:rPr>
        <w:t> </w:t>
      </w:r>
      <w:r>
        <w:rPr>
          <w:sz w:val="22"/>
        </w:rPr>
        <w:t>replacement</w:t>
      </w:r>
      <w:r>
        <w:rPr>
          <w:spacing w:val="-6"/>
          <w:sz w:val="22"/>
        </w:rPr>
        <w:t> </w:t>
      </w:r>
      <w:r>
        <w:rPr>
          <w:sz w:val="22"/>
        </w:rPr>
        <w:t>/</w:t>
      </w:r>
      <w:r>
        <w:rPr>
          <w:spacing w:val="-4"/>
          <w:sz w:val="22"/>
        </w:rPr>
        <w:t> </w:t>
      </w:r>
      <w:r>
        <w:rPr>
          <w:spacing w:val="-2"/>
          <w:sz w:val="22"/>
        </w:rPr>
        <w:t>soffit</w:t>
      </w:r>
    </w:p>
    <w:p>
      <w:pPr>
        <w:pStyle w:val="ListParagraph"/>
        <w:numPr>
          <w:ilvl w:val="1"/>
          <w:numId w:val="12"/>
        </w:numPr>
        <w:tabs>
          <w:tab w:pos="1561" w:val="left" w:leader="none"/>
        </w:tabs>
        <w:spacing w:line="252" w:lineRule="exact" w:before="0" w:after="0"/>
        <w:ind w:left="1560" w:right="0" w:hanging="361"/>
        <w:jc w:val="left"/>
        <w:rPr>
          <w:sz w:val="22"/>
        </w:rPr>
      </w:pPr>
      <w:r>
        <w:rPr/>
        <w:pict>
          <v:shape style="position:absolute;margin-left:90.065002pt;margin-top:7.438204pt;width:395.3pt;height:419pt;mso-position-horizontal-relative:page;mso-position-vertical-relative:paragraph;z-index:-17720832" id="docshape52" coordorigin="1801,149" coordsize="7906,8380" path="m4498,7412l4492,7339,4477,7261,4455,7178,4432,7109,4403,7037,4367,6962,4325,6884,4276,6803,4237,6744,4200,6694,4200,7379,4197,7436,4186,7492,4167,7550,4138,7609,4097,7672,4044,7738,3979,7808,3674,8113,2216,6655,2517,6355,2598,6278,2672,6219,2740,6175,2801,6149,2868,6134,2941,6130,3020,6137,3105,6155,3195,6184,3255,6209,3317,6242,3380,6280,3446,6325,3514,6377,3584,6435,3656,6500,3729,6571,3789,6633,3845,6693,3896,6752,3943,6810,3986,6866,4025,6921,4059,6975,4101,7050,4136,7122,4163,7192,4183,7259,4196,7323,4200,7379,4200,6694,4194,6685,4148,6625,4098,6564,4045,6503,3989,6442,3929,6380,3865,6318,3801,6259,3737,6204,3673,6153,3643,6130,3609,6105,3546,6060,3482,6019,3419,5981,3346,5943,3274,5911,3203,5884,3132,5862,3062,5845,2992,5833,2923,5826,2850,5824,2779,5831,2709,5846,2642,5869,2577,5899,2528,5927,2476,5964,2420,6010,2359,6064,2294,6127,1801,6620,3710,8528,4124,8113,4226,8011,4287,7946,4341,7881,4386,7815,4424,7748,4454,7682,4476,7615,4491,7549,4498,7481,4498,7412xm6418,5819l6056,5692,5650,5549,5561,5520,5475,5496,5393,5477,5365,5471,5314,5462,5239,5452,5193,5451,5143,5454,5089,5461,5030,5471,5073,5402,5109,5332,5136,5263,5154,5194,5164,5126,5165,5057,5157,4990,5139,4912,5111,4835,5075,4761,5030,4688,4976,4618,4956,4595,4913,4549,4872,4511,4872,5068,4868,5124,4854,5179,4830,5235,4794,5293,4747,5354,4687,5418,4280,5825,3649,5194,4102,4741,4166,4684,4229,4641,4293,4611,4358,4596,4422,4595,4501,4610,4577,4640,4649,4684,4718,4744,4761,4792,4797,4842,4827,4896,4851,4953,4867,5011,4872,5068,4872,4511,4849,4489,4782,4437,4713,4391,4641,4353,4566,4321,4474,4292,4386,4280,4303,4282,4225,4298,4163,4323,4098,4359,4030,4407,3958,4467,3883,4538,3248,5173,5157,7081,5346,6891,4499,6044,4718,5825,4753,5791,4783,5763,4810,5742,4833,5728,4863,5714,4896,5703,4932,5696,4971,5692,5014,5692,5066,5697,5125,5707,5194,5724,5256,5741,5328,5762,5407,5787,5496,5816,6180,6057,6418,5819xm7780,4457l7415,4262,6555,3808,6555,4115,6070,4600,6030,4529,5989,4457,5748,4026,5708,3955,5668,3883,5629,3818,5590,3753,5550,3689,5509,3626,5467,3564,5424,3502,5380,3442,5436,3477,5498,3515,5564,3555,5635,3597,5792,3687,6555,4115,6555,3808,5862,3442,5286,3135,5082,3339,5277,3689,5316,3759,5701,4457,6207,5376,6441,5797,6642,5596,6565,5462,6298,4994,6221,4860,6481,4600,6820,4262,7173,4457,7565,4673,7780,4457xm8131,4107l7264,3240,7936,2568,7711,2343,7039,3014,6448,2424,7224,1647,6999,1422,6033,2388,7941,4296,8131,4107xm9707,2531l8024,848,8497,374,8272,149,7138,1283,7363,1509,7834,1037,9517,2720,9707,2531xe" filled="true" fillcolor="#c0c0c0" stroked="false">
            <v:path arrowok="t"/>
            <v:fill opacity="32896f" type="solid"/>
            <w10:wrap type="none"/>
          </v:shape>
        </w:pict>
      </w:r>
      <w:r>
        <w:rPr>
          <w:sz w:val="22"/>
        </w:rPr>
        <w:t>Exterior</w:t>
      </w:r>
      <w:r>
        <w:rPr>
          <w:spacing w:val="-10"/>
          <w:sz w:val="22"/>
        </w:rPr>
        <w:t> </w:t>
      </w:r>
      <w:r>
        <w:rPr>
          <w:sz w:val="22"/>
        </w:rPr>
        <w:t>material</w:t>
      </w:r>
      <w:r>
        <w:rPr>
          <w:spacing w:val="-9"/>
          <w:sz w:val="22"/>
        </w:rPr>
        <w:t> </w:t>
      </w:r>
      <w:r>
        <w:rPr>
          <w:sz w:val="22"/>
        </w:rPr>
        <w:t>repair</w:t>
      </w:r>
      <w:r>
        <w:rPr>
          <w:spacing w:val="-7"/>
          <w:sz w:val="22"/>
        </w:rPr>
        <w:t> </w:t>
      </w:r>
      <w:r>
        <w:rPr>
          <w:sz w:val="22"/>
        </w:rPr>
        <w:t>/</w:t>
      </w:r>
      <w:r>
        <w:rPr>
          <w:spacing w:val="-7"/>
          <w:sz w:val="22"/>
        </w:rPr>
        <w:t> </w:t>
      </w:r>
      <w:r>
        <w:rPr>
          <w:sz w:val="22"/>
        </w:rPr>
        <w:t>replacement</w:t>
      </w:r>
      <w:r>
        <w:rPr>
          <w:spacing w:val="-8"/>
          <w:sz w:val="22"/>
        </w:rPr>
        <w:t> </w:t>
      </w:r>
      <w:r>
        <w:rPr>
          <w:sz w:val="22"/>
        </w:rPr>
        <w:t>(siding,</w:t>
      </w:r>
      <w:r>
        <w:rPr>
          <w:spacing w:val="-7"/>
          <w:sz w:val="22"/>
        </w:rPr>
        <w:t> </w:t>
      </w:r>
      <w:r>
        <w:rPr>
          <w:sz w:val="22"/>
        </w:rPr>
        <w:t>repointing,</w:t>
      </w:r>
      <w:r>
        <w:rPr>
          <w:spacing w:val="-4"/>
          <w:sz w:val="22"/>
        </w:rPr>
        <w:t> </w:t>
      </w:r>
      <w:r>
        <w:rPr>
          <w:spacing w:val="-2"/>
          <w:sz w:val="22"/>
        </w:rPr>
        <w:t>painting)</w:t>
      </w:r>
    </w:p>
    <w:p>
      <w:pPr>
        <w:pStyle w:val="ListParagraph"/>
        <w:numPr>
          <w:ilvl w:val="1"/>
          <w:numId w:val="12"/>
        </w:numPr>
        <w:tabs>
          <w:tab w:pos="1562" w:val="left" w:leader="none"/>
        </w:tabs>
        <w:spacing w:line="253" w:lineRule="exact" w:before="0" w:after="0"/>
        <w:ind w:left="1561" w:right="0" w:hanging="361"/>
        <w:jc w:val="left"/>
        <w:rPr>
          <w:sz w:val="22"/>
        </w:rPr>
      </w:pPr>
      <w:r>
        <w:rPr>
          <w:sz w:val="22"/>
        </w:rPr>
        <w:t>HVAC</w:t>
      </w:r>
      <w:r>
        <w:rPr>
          <w:spacing w:val="-4"/>
          <w:sz w:val="22"/>
        </w:rPr>
        <w:t> </w:t>
      </w:r>
      <w:r>
        <w:rPr>
          <w:sz w:val="22"/>
        </w:rPr>
        <w:t>repair</w:t>
      </w:r>
      <w:r>
        <w:rPr>
          <w:spacing w:val="-4"/>
          <w:sz w:val="22"/>
        </w:rPr>
        <w:t> </w:t>
      </w:r>
      <w:r>
        <w:rPr>
          <w:sz w:val="22"/>
        </w:rPr>
        <w:t>/</w:t>
      </w:r>
      <w:r>
        <w:rPr>
          <w:spacing w:val="-3"/>
          <w:sz w:val="22"/>
        </w:rPr>
        <w:t> </w:t>
      </w:r>
      <w:r>
        <w:rPr>
          <w:spacing w:val="-2"/>
          <w:sz w:val="22"/>
        </w:rPr>
        <w:t>replacement</w:t>
      </w:r>
    </w:p>
    <w:p>
      <w:pPr>
        <w:pStyle w:val="ListParagraph"/>
        <w:numPr>
          <w:ilvl w:val="1"/>
          <w:numId w:val="12"/>
        </w:numPr>
        <w:tabs>
          <w:tab w:pos="1562" w:val="left" w:leader="none"/>
        </w:tabs>
        <w:spacing w:line="253" w:lineRule="exact" w:before="0" w:after="0"/>
        <w:ind w:left="1561" w:right="0" w:hanging="361"/>
        <w:jc w:val="left"/>
        <w:rPr>
          <w:sz w:val="22"/>
        </w:rPr>
      </w:pPr>
      <w:r>
        <w:rPr>
          <w:sz w:val="22"/>
        </w:rPr>
        <w:t>Plumbing</w:t>
      </w:r>
      <w:r>
        <w:rPr>
          <w:spacing w:val="-8"/>
          <w:sz w:val="22"/>
        </w:rPr>
        <w:t> </w:t>
      </w:r>
      <w:r>
        <w:rPr>
          <w:sz w:val="22"/>
        </w:rPr>
        <w:t>(exterior</w:t>
      </w:r>
      <w:r>
        <w:rPr>
          <w:spacing w:val="-7"/>
          <w:sz w:val="22"/>
        </w:rPr>
        <w:t> </w:t>
      </w:r>
      <w:r>
        <w:rPr>
          <w:sz w:val="22"/>
        </w:rPr>
        <w:t>gas,</w:t>
      </w:r>
      <w:r>
        <w:rPr>
          <w:spacing w:val="-6"/>
          <w:sz w:val="22"/>
        </w:rPr>
        <w:t> </w:t>
      </w:r>
      <w:r>
        <w:rPr>
          <w:sz w:val="22"/>
        </w:rPr>
        <w:t>sewer,</w:t>
      </w:r>
      <w:r>
        <w:rPr>
          <w:spacing w:val="-5"/>
          <w:sz w:val="22"/>
        </w:rPr>
        <w:t> </w:t>
      </w:r>
      <w:r>
        <w:rPr>
          <w:sz w:val="22"/>
        </w:rPr>
        <w:t>water</w:t>
      </w:r>
      <w:r>
        <w:rPr>
          <w:spacing w:val="-6"/>
          <w:sz w:val="22"/>
        </w:rPr>
        <w:t> </w:t>
      </w:r>
      <w:r>
        <w:rPr>
          <w:spacing w:val="-2"/>
          <w:sz w:val="22"/>
        </w:rPr>
        <w:t>lines)</w:t>
      </w:r>
    </w:p>
    <w:p>
      <w:pPr>
        <w:pStyle w:val="ListParagraph"/>
        <w:numPr>
          <w:ilvl w:val="1"/>
          <w:numId w:val="12"/>
        </w:numPr>
        <w:tabs>
          <w:tab w:pos="1562" w:val="left" w:leader="none"/>
        </w:tabs>
        <w:spacing w:line="253" w:lineRule="exact" w:before="0" w:after="0"/>
        <w:ind w:left="1561" w:right="0" w:hanging="361"/>
        <w:jc w:val="left"/>
        <w:rPr>
          <w:sz w:val="22"/>
        </w:rPr>
      </w:pPr>
      <w:r>
        <w:rPr>
          <w:sz w:val="22"/>
        </w:rPr>
        <w:t>Foundation</w:t>
      </w:r>
      <w:r>
        <w:rPr>
          <w:spacing w:val="-5"/>
          <w:sz w:val="22"/>
        </w:rPr>
        <w:t> </w:t>
      </w:r>
      <w:r>
        <w:rPr>
          <w:sz w:val="22"/>
        </w:rPr>
        <w:t>repair</w:t>
      </w:r>
      <w:r>
        <w:rPr>
          <w:spacing w:val="-5"/>
          <w:sz w:val="22"/>
        </w:rPr>
        <w:t> </w:t>
      </w:r>
      <w:r>
        <w:rPr>
          <w:sz w:val="22"/>
        </w:rPr>
        <w:t>/</w:t>
      </w:r>
      <w:r>
        <w:rPr>
          <w:spacing w:val="-4"/>
          <w:sz w:val="22"/>
        </w:rPr>
        <w:t> </w:t>
      </w:r>
      <w:r>
        <w:rPr>
          <w:spacing w:val="-2"/>
          <w:sz w:val="22"/>
        </w:rPr>
        <w:t>leveling</w:t>
      </w:r>
    </w:p>
    <w:p>
      <w:pPr>
        <w:pStyle w:val="ListParagraph"/>
        <w:numPr>
          <w:ilvl w:val="1"/>
          <w:numId w:val="12"/>
        </w:numPr>
        <w:tabs>
          <w:tab w:pos="1562" w:val="left" w:leader="none"/>
        </w:tabs>
        <w:spacing w:line="220" w:lineRule="auto" w:before="6" w:after="0"/>
        <w:ind w:left="1561" w:right="158" w:hanging="361"/>
        <w:jc w:val="left"/>
        <w:rPr>
          <w:sz w:val="22"/>
        </w:rPr>
      </w:pPr>
      <w:r>
        <w:rPr>
          <w:sz w:val="22"/>
        </w:rPr>
        <w:t>Accessibility</w:t>
      </w:r>
      <w:r>
        <w:rPr>
          <w:spacing w:val="80"/>
          <w:sz w:val="22"/>
        </w:rPr>
        <w:t> </w:t>
      </w:r>
      <w:r>
        <w:rPr>
          <w:sz w:val="22"/>
        </w:rPr>
        <w:t>repairs</w:t>
      </w:r>
      <w:r>
        <w:rPr>
          <w:spacing w:val="80"/>
          <w:sz w:val="22"/>
        </w:rPr>
        <w:t> </w:t>
      </w:r>
      <w:r>
        <w:rPr>
          <w:sz w:val="22"/>
        </w:rPr>
        <w:t>and</w:t>
      </w:r>
      <w:r>
        <w:rPr>
          <w:spacing w:val="80"/>
          <w:sz w:val="22"/>
        </w:rPr>
        <w:t> </w:t>
      </w:r>
      <w:r>
        <w:rPr>
          <w:sz w:val="22"/>
        </w:rPr>
        <w:t>installation</w:t>
      </w:r>
      <w:r>
        <w:rPr>
          <w:spacing w:val="80"/>
          <w:sz w:val="22"/>
        </w:rPr>
        <w:t> </w:t>
      </w:r>
      <w:r>
        <w:rPr>
          <w:sz w:val="22"/>
        </w:rPr>
        <w:t>such</w:t>
      </w:r>
      <w:r>
        <w:rPr>
          <w:spacing w:val="79"/>
          <w:sz w:val="22"/>
        </w:rPr>
        <w:t> </w:t>
      </w:r>
      <w:r>
        <w:rPr>
          <w:sz w:val="22"/>
        </w:rPr>
        <w:t>as</w:t>
      </w:r>
      <w:r>
        <w:rPr>
          <w:spacing w:val="80"/>
          <w:sz w:val="22"/>
        </w:rPr>
        <w:t> </w:t>
      </w:r>
      <w:r>
        <w:rPr>
          <w:sz w:val="22"/>
        </w:rPr>
        <w:t>ramps,</w:t>
      </w:r>
      <w:r>
        <w:rPr>
          <w:spacing w:val="80"/>
          <w:sz w:val="22"/>
        </w:rPr>
        <w:t> </w:t>
      </w:r>
      <w:r>
        <w:rPr>
          <w:sz w:val="22"/>
        </w:rPr>
        <w:t>handrails</w:t>
      </w:r>
      <w:r>
        <w:rPr>
          <w:spacing w:val="80"/>
          <w:sz w:val="22"/>
        </w:rPr>
        <w:t> </w:t>
      </w:r>
      <w:r>
        <w:rPr>
          <w:sz w:val="22"/>
        </w:rPr>
        <w:t>or</w:t>
      </w:r>
      <w:r>
        <w:rPr>
          <w:spacing w:val="80"/>
          <w:sz w:val="22"/>
        </w:rPr>
        <w:t> </w:t>
      </w:r>
      <w:r>
        <w:rPr>
          <w:sz w:val="22"/>
        </w:rPr>
        <w:t>repairing </w:t>
      </w:r>
      <w:r>
        <w:rPr>
          <w:spacing w:val="-2"/>
          <w:sz w:val="22"/>
        </w:rPr>
        <w:t>walkways</w:t>
      </w:r>
    </w:p>
    <w:p>
      <w:pPr>
        <w:pStyle w:val="ListParagraph"/>
        <w:numPr>
          <w:ilvl w:val="1"/>
          <w:numId w:val="12"/>
        </w:numPr>
        <w:tabs>
          <w:tab w:pos="1562" w:val="left" w:leader="none"/>
        </w:tabs>
        <w:spacing w:line="263" w:lineRule="exact" w:before="4" w:after="0"/>
        <w:ind w:left="1561" w:right="0" w:hanging="361"/>
        <w:jc w:val="left"/>
        <w:rPr>
          <w:sz w:val="22"/>
        </w:rPr>
      </w:pPr>
      <w:r>
        <w:rPr>
          <w:spacing w:val="-2"/>
          <w:sz w:val="22"/>
        </w:rPr>
        <w:t>Any</w:t>
      </w:r>
      <w:r>
        <w:rPr>
          <w:spacing w:val="-10"/>
          <w:sz w:val="22"/>
        </w:rPr>
        <w:t> </w:t>
      </w:r>
      <w:r>
        <w:rPr>
          <w:spacing w:val="-2"/>
          <w:sz w:val="22"/>
        </w:rPr>
        <w:t>item</w:t>
      </w:r>
      <w:r>
        <w:rPr>
          <w:spacing w:val="-7"/>
          <w:sz w:val="22"/>
        </w:rPr>
        <w:t> </w:t>
      </w:r>
      <w:r>
        <w:rPr>
          <w:spacing w:val="-2"/>
          <w:sz w:val="22"/>
        </w:rPr>
        <w:t>determined</w:t>
      </w:r>
      <w:r>
        <w:rPr>
          <w:spacing w:val="-8"/>
          <w:sz w:val="22"/>
        </w:rPr>
        <w:t> </w:t>
      </w:r>
      <w:r>
        <w:rPr>
          <w:spacing w:val="-2"/>
          <w:sz w:val="22"/>
        </w:rPr>
        <w:t>eligible</w:t>
      </w:r>
      <w:r>
        <w:rPr>
          <w:spacing w:val="-8"/>
          <w:sz w:val="22"/>
        </w:rPr>
        <w:t> </w:t>
      </w:r>
      <w:r>
        <w:rPr>
          <w:spacing w:val="-2"/>
          <w:sz w:val="22"/>
        </w:rPr>
        <w:t>by</w:t>
      </w:r>
      <w:r>
        <w:rPr>
          <w:spacing w:val="-8"/>
          <w:sz w:val="22"/>
        </w:rPr>
        <w:t> </w:t>
      </w:r>
      <w:r>
        <w:rPr>
          <w:spacing w:val="-2"/>
          <w:sz w:val="22"/>
        </w:rPr>
        <w:t>the</w:t>
      </w:r>
      <w:r>
        <w:rPr>
          <w:spacing w:val="-8"/>
          <w:sz w:val="22"/>
        </w:rPr>
        <w:t> </w:t>
      </w:r>
      <w:r>
        <w:rPr>
          <w:spacing w:val="-2"/>
          <w:sz w:val="22"/>
        </w:rPr>
        <w:t>Director,</w:t>
      </w:r>
      <w:r>
        <w:rPr>
          <w:spacing w:val="-9"/>
          <w:sz w:val="22"/>
        </w:rPr>
        <w:t> </w:t>
      </w:r>
      <w:r>
        <w:rPr>
          <w:spacing w:val="-2"/>
          <w:sz w:val="22"/>
        </w:rPr>
        <w:t>that</w:t>
      </w:r>
      <w:r>
        <w:rPr>
          <w:spacing w:val="-7"/>
          <w:sz w:val="22"/>
        </w:rPr>
        <w:t> </w:t>
      </w:r>
      <w:r>
        <w:rPr>
          <w:spacing w:val="-2"/>
          <w:sz w:val="22"/>
        </w:rPr>
        <w:t>aligns</w:t>
      </w:r>
      <w:r>
        <w:rPr>
          <w:spacing w:val="-7"/>
          <w:sz w:val="22"/>
        </w:rPr>
        <w:t> </w:t>
      </w:r>
      <w:r>
        <w:rPr>
          <w:spacing w:val="-2"/>
          <w:sz w:val="22"/>
        </w:rPr>
        <w:t>with</w:t>
      </w:r>
      <w:r>
        <w:rPr>
          <w:spacing w:val="-8"/>
          <w:sz w:val="22"/>
        </w:rPr>
        <w:t> </w:t>
      </w:r>
      <w:r>
        <w:rPr>
          <w:spacing w:val="-2"/>
          <w:sz w:val="22"/>
        </w:rPr>
        <w:t>the</w:t>
      </w:r>
      <w:r>
        <w:rPr>
          <w:spacing w:val="-8"/>
          <w:sz w:val="22"/>
        </w:rPr>
        <w:t> </w:t>
      </w:r>
      <w:r>
        <w:rPr>
          <w:spacing w:val="-2"/>
          <w:sz w:val="22"/>
        </w:rPr>
        <w:t>overall</w:t>
      </w:r>
      <w:r>
        <w:rPr>
          <w:spacing w:val="-9"/>
          <w:sz w:val="22"/>
        </w:rPr>
        <w:t> </w:t>
      </w:r>
      <w:r>
        <w:rPr>
          <w:spacing w:val="-2"/>
          <w:sz w:val="22"/>
        </w:rPr>
        <w:t>TRP</w:t>
      </w:r>
      <w:r>
        <w:rPr>
          <w:spacing w:val="-11"/>
          <w:sz w:val="22"/>
        </w:rPr>
        <w:t> </w:t>
      </w:r>
      <w:r>
        <w:rPr>
          <w:spacing w:val="-2"/>
          <w:sz w:val="22"/>
        </w:rPr>
        <w:t>policy;</w:t>
      </w:r>
    </w:p>
    <w:p>
      <w:pPr>
        <w:pStyle w:val="ListParagraph"/>
        <w:numPr>
          <w:ilvl w:val="0"/>
          <w:numId w:val="12"/>
        </w:numPr>
        <w:tabs>
          <w:tab w:pos="841" w:val="left" w:leader="none"/>
          <w:tab w:pos="842" w:val="left" w:leader="none"/>
        </w:tabs>
        <w:spacing w:line="259" w:lineRule="exact" w:before="0" w:after="0"/>
        <w:ind w:left="841" w:right="0" w:hanging="361"/>
        <w:jc w:val="left"/>
        <w:rPr>
          <w:sz w:val="22"/>
        </w:rPr>
      </w:pPr>
      <w:r>
        <w:rPr>
          <w:sz w:val="22"/>
        </w:rPr>
        <w:t>Secondary</w:t>
      </w:r>
      <w:r>
        <w:rPr>
          <w:spacing w:val="-4"/>
          <w:sz w:val="22"/>
        </w:rPr>
        <w:t> </w:t>
      </w:r>
      <w:r>
        <w:rPr>
          <w:sz w:val="22"/>
        </w:rPr>
        <w:t>Tier</w:t>
      </w:r>
      <w:r>
        <w:rPr>
          <w:spacing w:val="-5"/>
          <w:sz w:val="22"/>
        </w:rPr>
        <w:t> </w:t>
      </w:r>
      <w:r>
        <w:rPr>
          <w:sz w:val="22"/>
        </w:rPr>
        <w:t>(all</w:t>
      </w:r>
      <w:r>
        <w:rPr>
          <w:spacing w:val="-4"/>
          <w:sz w:val="22"/>
        </w:rPr>
        <w:t> </w:t>
      </w:r>
      <w:r>
        <w:rPr>
          <w:spacing w:val="-2"/>
          <w:sz w:val="22"/>
        </w:rPr>
        <w:t>exterior)</w:t>
      </w:r>
    </w:p>
    <w:p>
      <w:pPr>
        <w:pStyle w:val="ListParagraph"/>
        <w:numPr>
          <w:ilvl w:val="1"/>
          <w:numId w:val="12"/>
        </w:numPr>
        <w:tabs>
          <w:tab w:pos="1562" w:val="left" w:leader="none"/>
        </w:tabs>
        <w:spacing w:line="262" w:lineRule="exact" w:before="0" w:after="0"/>
        <w:ind w:left="1561" w:right="0" w:hanging="361"/>
        <w:jc w:val="left"/>
        <w:rPr>
          <w:sz w:val="22"/>
        </w:rPr>
      </w:pPr>
      <w:r>
        <w:rPr>
          <w:sz w:val="22"/>
        </w:rPr>
        <w:t>Entry</w:t>
      </w:r>
      <w:r>
        <w:rPr>
          <w:spacing w:val="-6"/>
          <w:sz w:val="22"/>
        </w:rPr>
        <w:t> </w:t>
      </w:r>
      <w:r>
        <w:rPr>
          <w:spacing w:val="-2"/>
          <w:sz w:val="22"/>
        </w:rPr>
        <w:t>doors</w:t>
      </w:r>
    </w:p>
    <w:p>
      <w:pPr>
        <w:pStyle w:val="ListParagraph"/>
        <w:numPr>
          <w:ilvl w:val="1"/>
          <w:numId w:val="12"/>
        </w:numPr>
        <w:tabs>
          <w:tab w:pos="1563" w:val="left" w:leader="none"/>
        </w:tabs>
        <w:spacing w:line="253" w:lineRule="exact" w:before="0" w:after="0"/>
        <w:ind w:left="1562" w:right="0" w:hanging="362"/>
        <w:jc w:val="left"/>
        <w:rPr>
          <w:sz w:val="22"/>
        </w:rPr>
      </w:pPr>
      <w:r>
        <w:rPr>
          <w:spacing w:val="-2"/>
          <w:sz w:val="22"/>
        </w:rPr>
        <w:t>Windows</w:t>
      </w:r>
    </w:p>
    <w:p>
      <w:pPr>
        <w:pStyle w:val="ListParagraph"/>
        <w:numPr>
          <w:ilvl w:val="1"/>
          <w:numId w:val="12"/>
        </w:numPr>
        <w:tabs>
          <w:tab w:pos="1563" w:val="left" w:leader="none"/>
        </w:tabs>
        <w:spacing w:line="253" w:lineRule="exact" w:before="0" w:after="0"/>
        <w:ind w:left="1562" w:right="0" w:hanging="362"/>
        <w:jc w:val="left"/>
        <w:rPr>
          <w:sz w:val="22"/>
        </w:rPr>
      </w:pPr>
      <w:r>
        <w:rPr>
          <w:sz w:val="22"/>
        </w:rPr>
        <w:t>Gutters</w:t>
      </w:r>
      <w:r>
        <w:rPr>
          <w:spacing w:val="-4"/>
          <w:sz w:val="22"/>
        </w:rPr>
        <w:t> </w:t>
      </w:r>
      <w:r>
        <w:rPr>
          <w:sz w:val="22"/>
        </w:rPr>
        <w:t>and</w:t>
      </w:r>
      <w:r>
        <w:rPr>
          <w:spacing w:val="-4"/>
          <w:sz w:val="22"/>
        </w:rPr>
        <w:t> </w:t>
      </w:r>
      <w:r>
        <w:rPr>
          <w:spacing w:val="-2"/>
          <w:sz w:val="22"/>
        </w:rPr>
        <w:t>Downspouts</w:t>
      </w:r>
    </w:p>
    <w:p>
      <w:pPr>
        <w:pStyle w:val="ListParagraph"/>
        <w:numPr>
          <w:ilvl w:val="1"/>
          <w:numId w:val="12"/>
        </w:numPr>
        <w:tabs>
          <w:tab w:pos="1563" w:val="left" w:leader="none"/>
        </w:tabs>
        <w:spacing w:line="253" w:lineRule="exact" w:before="0" w:after="0"/>
        <w:ind w:left="1562" w:right="0" w:hanging="362"/>
        <w:jc w:val="left"/>
        <w:rPr>
          <w:sz w:val="22"/>
        </w:rPr>
      </w:pPr>
      <w:r>
        <w:rPr>
          <w:sz w:val="22"/>
        </w:rPr>
        <w:t>Garage</w:t>
      </w:r>
      <w:r>
        <w:rPr>
          <w:spacing w:val="-4"/>
          <w:sz w:val="22"/>
        </w:rPr>
        <w:t> </w:t>
      </w:r>
      <w:r>
        <w:rPr>
          <w:spacing w:val="-2"/>
          <w:sz w:val="22"/>
        </w:rPr>
        <w:t>doors</w:t>
      </w:r>
    </w:p>
    <w:p>
      <w:pPr>
        <w:pStyle w:val="ListParagraph"/>
        <w:numPr>
          <w:ilvl w:val="1"/>
          <w:numId w:val="12"/>
        </w:numPr>
        <w:tabs>
          <w:tab w:pos="1563" w:val="left" w:leader="none"/>
        </w:tabs>
        <w:spacing w:line="253" w:lineRule="exact" w:before="0" w:after="0"/>
        <w:ind w:left="1562" w:right="0" w:hanging="361"/>
        <w:jc w:val="left"/>
        <w:rPr>
          <w:sz w:val="22"/>
        </w:rPr>
      </w:pPr>
      <w:r>
        <w:rPr>
          <w:sz w:val="22"/>
        </w:rPr>
        <w:t>Water</w:t>
      </w:r>
      <w:r>
        <w:rPr>
          <w:spacing w:val="-4"/>
          <w:sz w:val="22"/>
        </w:rPr>
        <w:t> </w:t>
      </w:r>
      <w:r>
        <w:rPr>
          <w:spacing w:val="-2"/>
          <w:sz w:val="22"/>
        </w:rPr>
        <w:t>heater</w:t>
      </w:r>
    </w:p>
    <w:p>
      <w:pPr>
        <w:pStyle w:val="ListParagraph"/>
        <w:numPr>
          <w:ilvl w:val="1"/>
          <w:numId w:val="12"/>
        </w:numPr>
        <w:tabs>
          <w:tab w:pos="1563" w:val="left" w:leader="none"/>
        </w:tabs>
        <w:spacing w:line="253" w:lineRule="exact" w:before="0" w:after="0"/>
        <w:ind w:left="1562" w:right="0" w:hanging="361"/>
        <w:jc w:val="left"/>
        <w:rPr>
          <w:sz w:val="22"/>
        </w:rPr>
      </w:pPr>
      <w:r>
        <w:rPr>
          <w:sz w:val="22"/>
        </w:rPr>
        <w:t>Flooring</w:t>
      </w:r>
      <w:r>
        <w:rPr>
          <w:spacing w:val="-7"/>
          <w:sz w:val="22"/>
        </w:rPr>
        <w:t> </w:t>
      </w:r>
      <w:r>
        <w:rPr>
          <w:spacing w:val="-2"/>
          <w:sz w:val="22"/>
        </w:rPr>
        <w:t>repair</w:t>
      </w:r>
    </w:p>
    <w:p>
      <w:pPr>
        <w:pStyle w:val="ListParagraph"/>
        <w:numPr>
          <w:ilvl w:val="1"/>
          <w:numId w:val="12"/>
        </w:numPr>
        <w:tabs>
          <w:tab w:pos="1563" w:val="left" w:leader="none"/>
        </w:tabs>
        <w:spacing w:line="252" w:lineRule="exact" w:before="0" w:after="0"/>
        <w:ind w:left="1562" w:right="0" w:hanging="361"/>
        <w:jc w:val="left"/>
        <w:rPr>
          <w:sz w:val="22"/>
        </w:rPr>
      </w:pPr>
      <w:r>
        <w:rPr>
          <w:spacing w:val="-2"/>
          <w:sz w:val="22"/>
        </w:rPr>
        <w:t>Stairs</w:t>
      </w:r>
    </w:p>
    <w:p>
      <w:pPr>
        <w:pStyle w:val="ListParagraph"/>
        <w:numPr>
          <w:ilvl w:val="1"/>
          <w:numId w:val="12"/>
        </w:numPr>
        <w:tabs>
          <w:tab w:pos="1563" w:val="left" w:leader="none"/>
        </w:tabs>
        <w:spacing w:line="253" w:lineRule="exact" w:before="0" w:after="0"/>
        <w:ind w:left="1562" w:right="0" w:hanging="361"/>
        <w:jc w:val="left"/>
        <w:rPr>
          <w:sz w:val="22"/>
        </w:rPr>
      </w:pPr>
      <w:r>
        <w:rPr>
          <w:spacing w:val="-2"/>
          <w:sz w:val="22"/>
        </w:rPr>
        <w:t>Flatwork</w:t>
      </w:r>
    </w:p>
    <w:p>
      <w:pPr>
        <w:pStyle w:val="ListParagraph"/>
        <w:numPr>
          <w:ilvl w:val="1"/>
          <w:numId w:val="12"/>
        </w:numPr>
        <w:tabs>
          <w:tab w:pos="1563" w:val="left" w:leader="none"/>
        </w:tabs>
        <w:spacing w:line="253" w:lineRule="exact" w:before="0" w:after="0"/>
        <w:ind w:left="1562" w:right="0" w:hanging="361"/>
        <w:jc w:val="left"/>
        <w:rPr>
          <w:sz w:val="22"/>
        </w:rPr>
      </w:pPr>
      <w:r>
        <w:rPr>
          <w:spacing w:val="-2"/>
          <w:sz w:val="22"/>
        </w:rPr>
        <w:t>Electrical</w:t>
      </w:r>
    </w:p>
    <w:p>
      <w:pPr>
        <w:pStyle w:val="ListParagraph"/>
        <w:numPr>
          <w:ilvl w:val="1"/>
          <w:numId w:val="12"/>
        </w:numPr>
        <w:tabs>
          <w:tab w:pos="1564" w:val="left" w:leader="none"/>
        </w:tabs>
        <w:spacing w:line="262" w:lineRule="exact" w:before="0" w:after="0"/>
        <w:ind w:left="1563" w:right="0" w:hanging="361"/>
        <w:jc w:val="left"/>
        <w:rPr>
          <w:sz w:val="22"/>
        </w:rPr>
      </w:pPr>
      <w:r>
        <w:rPr>
          <w:sz w:val="22"/>
        </w:rPr>
        <w:t>Any</w:t>
      </w:r>
      <w:r>
        <w:rPr>
          <w:spacing w:val="-16"/>
          <w:sz w:val="22"/>
        </w:rPr>
        <w:t> </w:t>
      </w:r>
      <w:r>
        <w:rPr>
          <w:sz w:val="22"/>
        </w:rPr>
        <w:t>item</w:t>
      </w:r>
      <w:r>
        <w:rPr>
          <w:spacing w:val="-12"/>
          <w:sz w:val="22"/>
        </w:rPr>
        <w:t> </w:t>
      </w:r>
      <w:r>
        <w:rPr>
          <w:sz w:val="22"/>
        </w:rPr>
        <w:t>determined</w:t>
      </w:r>
      <w:r>
        <w:rPr>
          <w:spacing w:val="-14"/>
          <w:sz w:val="22"/>
        </w:rPr>
        <w:t> </w:t>
      </w:r>
      <w:r>
        <w:rPr>
          <w:sz w:val="22"/>
        </w:rPr>
        <w:t>eligible</w:t>
      </w:r>
      <w:r>
        <w:rPr>
          <w:spacing w:val="-13"/>
          <w:sz w:val="22"/>
        </w:rPr>
        <w:t> </w:t>
      </w:r>
      <w:r>
        <w:rPr>
          <w:sz w:val="22"/>
        </w:rPr>
        <w:t>by</w:t>
      </w:r>
      <w:r>
        <w:rPr>
          <w:spacing w:val="-13"/>
          <w:sz w:val="22"/>
        </w:rPr>
        <w:t> </w:t>
      </w:r>
      <w:r>
        <w:rPr>
          <w:sz w:val="22"/>
        </w:rPr>
        <w:t>the</w:t>
      </w:r>
      <w:r>
        <w:rPr>
          <w:spacing w:val="-14"/>
          <w:sz w:val="22"/>
        </w:rPr>
        <w:t> </w:t>
      </w:r>
      <w:r>
        <w:rPr>
          <w:sz w:val="22"/>
        </w:rPr>
        <w:t>Director,</w:t>
      </w:r>
      <w:r>
        <w:rPr>
          <w:spacing w:val="-12"/>
          <w:sz w:val="22"/>
        </w:rPr>
        <w:t> </w:t>
      </w:r>
      <w:r>
        <w:rPr>
          <w:sz w:val="22"/>
        </w:rPr>
        <w:t>that</w:t>
      </w:r>
      <w:r>
        <w:rPr>
          <w:spacing w:val="-13"/>
          <w:sz w:val="22"/>
        </w:rPr>
        <w:t> </w:t>
      </w:r>
      <w:r>
        <w:rPr>
          <w:sz w:val="22"/>
        </w:rPr>
        <w:t>aligns</w:t>
      </w:r>
      <w:r>
        <w:rPr>
          <w:spacing w:val="-13"/>
          <w:sz w:val="22"/>
        </w:rPr>
        <w:t> </w:t>
      </w:r>
      <w:r>
        <w:rPr>
          <w:sz w:val="22"/>
        </w:rPr>
        <w:t>with</w:t>
      </w:r>
      <w:r>
        <w:rPr>
          <w:spacing w:val="-14"/>
          <w:sz w:val="22"/>
        </w:rPr>
        <w:t> </w:t>
      </w:r>
      <w:r>
        <w:rPr>
          <w:sz w:val="22"/>
        </w:rPr>
        <w:t>the</w:t>
      </w:r>
      <w:r>
        <w:rPr>
          <w:spacing w:val="-13"/>
          <w:sz w:val="22"/>
        </w:rPr>
        <w:t> </w:t>
      </w:r>
      <w:r>
        <w:rPr>
          <w:sz w:val="22"/>
        </w:rPr>
        <w:t>overall</w:t>
      </w:r>
      <w:r>
        <w:rPr>
          <w:spacing w:val="-14"/>
          <w:sz w:val="22"/>
        </w:rPr>
        <w:t> </w:t>
      </w:r>
      <w:r>
        <w:rPr>
          <w:sz w:val="22"/>
        </w:rPr>
        <w:t>TRP</w:t>
      </w:r>
      <w:r>
        <w:rPr>
          <w:spacing w:val="-14"/>
          <w:sz w:val="22"/>
        </w:rPr>
        <w:t> </w:t>
      </w:r>
      <w:r>
        <w:rPr>
          <w:spacing w:val="-2"/>
          <w:sz w:val="22"/>
        </w:rPr>
        <w:t>policy</w:t>
      </w:r>
    </w:p>
    <w:p>
      <w:pPr>
        <w:pStyle w:val="BodyText"/>
        <w:spacing w:before="4"/>
        <w:rPr>
          <w:sz w:val="20"/>
        </w:rPr>
      </w:pPr>
    </w:p>
    <w:p>
      <w:pPr>
        <w:pStyle w:val="Heading5"/>
        <w:ind w:left="123"/>
        <w:jc w:val="left"/>
      </w:pPr>
      <w:r>
        <w:rPr/>
        <w:t>Ineligible</w:t>
      </w:r>
      <w:r>
        <w:rPr>
          <w:spacing w:val="-4"/>
        </w:rPr>
        <w:t> </w:t>
      </w:r>
      <w:r>
        <w:rPr>
          <w:spacing w:val="-2"/>
        </w:rPr>
        <w:t>Repairs</w:t>
      </w:r>
    </w:p>
    <w:p>
      <w:pPr>
        <w:pStyle w:val="BodyText"/>
        <w:spacing w:before="49"/>
        <w:ind w:left="123"/>
      </w:pPr>
      <w:r>
        <w:rPr/>
        <w:t>Ineligible</w:t>
      </w:r>
      <w:r>
        <w:rPr>
          <w:spacing w:val="-8"/>
        </w:rPr>
        <w:t> </w:t>
      </w:r>
      <w:r>
        <w:rPr/>
        <w:t>repairs</w:t>
      </w:r>
      <w:r>
        <w:rPr>
          <w:spacing w:val="-5"/>
        </w:rPr>
        <w:t> </w:t>
      </w:r>
      <w:r>
        <w:rPr/>
        <w:t>include</w:t>
      </w:r>
      <w:r>
        <w:rPr>
          <w:spacing w:val="-7"/>
        </w:rPr>
        <w:t> </w:t>
      </w:r>
      <w:r>
        <w:rPr/>
        <w:t>but</w:t>
      </w:r>
      <w:r>
        <w:rPr>
          <w:spacing w:val="-4"/>
        </w:rPr>
        <w:t> </w:t>
      </w:r>
      <w:r>
        <w:rPr/>
        <w:t>are</w:t>
      </w:r>
      <w:r>
        <w:rPr>
          <w:spacing w:val="-5"/>
        </w:rPr>
        <w:t> </w:t>
      </w:r>
      <w:r>
        <w:rPr/>
        <w:t>not</w:t>
      </w:r>
      <w:r>
        <w:rPr>
          <w:spacing w:val="-4"/>
        </w:rPr>
        <w:t> </w:t>
      </w:r>
      <w:r>
        <w:rPr/>
        <w:t>limited</w:t>
      </w:r>
      <w:r>
        <w:rPr>
          <w:spacing w:val="-7"/>
        </w:rPr>
        <w:t> </w:t>
      </w:r>
      <w:r>
        <w:rPr>
          <w:spacing w:val="-5"/>
        </w:rPr>
        <w:t>to:</w:t>
      </w:r>
    </w:p>
    <w:p>
      <w:pPr>
        <w:pStyle w:val="ListParagraph"/>
        <w:numPr>
          <w:ilvl w:val="0"/>
          <w:numId w:val="12"/>
        </w:numPr>
        <w:tabs>
          <w:tab w:pos="843" w:val="left" w:leader="none"/>
          <w:tab w:pos="844" w:val="left" w:leader="none"/>
        </w:tabs>
        <w:spacing w:line="237" w:lineRule="auto" w:before="3" w:after="0"/>
        <w:ind w:left="843" w:right="157" w:hanging="361"/>
        <w:jc w:val="left"/>
        <w:rPr>
          <w:sz w:val="22"/>
        </w:rPr>
      </w:pPr>
      <w:r>
        <w:rPr>
          <w:sz w:val="22"/>
        </w:rPr>
        <w:t>Luxury</w:t>
      </w:r>
      <w:r>
        <w:rPr>
          <w:spacing w:val="36"/>
          <w:sz w:val="22"/>
        </w:rPr>
        <w:t> </w:t>
      </w:r>
      <w:r>
        <w:rPr>
          <w:sz w:val="22"/>
        </w:rPr>
        <w:t>and</w:t>
      </w:r>
      <w:r>
        <w:rPr>
          <w:spacing w:val="36"/>
          <w:sz w:val="22"/>
        </w:rPr>
        <w:t> </w:t>
      </w:r>
      <w:r>
        <w:rPr>
          <w:sz w:val="22"/>
        </w:rPr>
        <w:t>recreational</w:t>
      </w:r>
      <w:r>
        <w:rPr>
          <w:spacing w:val="35"/>
          <w:sz w:val="22"/>
        </w:rPr>
        <w:t> </w:t>
      </w:r>
      <w:r>
        <w:rPr>
          <w:sz w:val="22"/>
        </w:rPr>
        <w:t>items</w:t>
      </w:r>
      <w:r>
        <w:rPr>
          <w:spacing w:val="34"/>
          <w:sz w:val="22"/>
        </w:rPr>
        <w:t> </w:t>
      </w:r>
      <w:r>
        <w:rPr>
          <w:sz w:val="22"/>
        </w:rPr>
        <w:t>(granite</w:t>
      </w:r>
      <w:r>
        <w:rPr>
          <w:spacing w:val="36"/>
          <w:sz w:val="22"/>
        </w:rPr>
        <w:t> </w:t>
      </w:r>
      <w:r>
        <w:rPr>
          <w:sz w:val="22"/>
        </w:rPr>
        <w:t>counter</w:t>
      </w:r>
      <w:r>
        <w:rPr>
          <w:spacing w:val="35"/>
          <w:sz w:val="22"/>
        </w:rPr>
        <w:t> </w:t>
      </w:r>
      <w:r>
        <w:rPr>
          <w:sz w:val="22"/>
        </w:rPr>
        <w:t>tops,</w:t>
      </w:r>
      <w:r>
        <w:rPr>
          <w:spacing w:val="37"/>
          <w:sz w:val="22"/>
        </w:rPr>
        <w:t> </w:t>
      </w:r>
      <w:r>
        <w:rPr>
          <w:sz w:val="22"/>
        </w:rPr>
        <w:t>swimming</w:t>
      </w:r>
      <w:r>
        <w:rPr>
          <w:spacing w:val="36"/>
          <w:sz w:val="22"/>
        </w:rPr>
        <w:t> </w:t>
      </w:r>
      <w:r>
        <w:rPr>
          <w:sz w:val="22"/>
        </w:rPr>
        <w:t>pools,</w:t>
      </w:r>
      <w:r>
        <w:rPr>
          <w:spacing w:val="35"/>
          <w:sz w:val="22"/>
        </w:rPr>
        <w:t> </w:t>
      </w:r>
      <w:r>
        <w:rPr>
          <w:sz w:val="22"/>
        </w:rPr>
        <w:t>spas,</w:t>
      </w:r>
      <w:r>
        <w:rPr>
          <w:spacing w:val="37"/>
          <w:sz w:val="22"/>
        </w:rPr>
        <w:t> </w:t>
      </w:r>
      <w:r>
        <w:rPr>
          <w:sz w:val="22"/>
        </w:rPr>
        <w:t>high</w:t>
      </w:r>
      <w:r>
        <w:rPr>
          <w:spacing w:val="36"/>
          <w:sz w:val="22"/>
        </w:rPr>
        <w:t> </w:t>
      </w:r>
      <w:r>
        <w:rPr>
          <w:sz w:val="22"/>
        </w:rPr>
        <w:t>end </w:t>
      </w:r>
      <w:r>
        <w:rPr>
          <w:spacing w:val="-2"/>
          <w:sz w:val="22"/>
        </w:rPr>
        <w:t>fixtures)</w:t>
      </w:r>
    </w:p>
    <w:p>
      <w:pPr>
        <w:pStyle w:val="ListParagraph"/>
        <w:numPr>
          <w:ilvl w:val="0"/>
          <w:numId w:val="12"/>
        </w:numPr>
        <w:tabs>
          <w:tab w:pos="843" w:val="left" w:leader="none"/>
          <w:tab w:pos="844" w:val="left" w:leader="none"/>
        </w:tabs>
        <w:spacing w:line="269" w:lineRule="exact" w:before="2" w:after="0"/>
        <w:ind w:left="843" w:right="0" w:hanging="361"/>
        <w:jc w:val="left"/>
        <w:rPr>
          <w:sz w:val="22"/>
        </w:rPr>
      </w:pPr>
      <w:r>
        <w:rPr>
          <w:sz w:val="22"/>
        </w:rPr>
        <w:t>Tree</w:t>
      </w:r>
      <w:r>
        <w:rPr>
          <w:spacing w:val="-6"/>
          <w:sz w:val="22"/>
        </w:rPr>
        <w:t> </w:t>
      </w:r>
      <w:r>
        <w:rPr>
          <w:spacing w:val="-2"/>
          <w:sz w:val="22"/>
        </w:rPr>
        <w:t>trimming</w:t>
      </w:r>
    </w:p>
    <w:p>
      <w:pPr>
        <w:pStyle w:val="ListParagraph"/>
        <w:numPr>
          <w:ilvl w:val="0"/>
          <w:numId w:val="12"/>
        </w:numPr>
        <w:tabs>
          <w:tab w:pos="843" w:val="left" w:leader="none"/>
          <w:tab w:pos="844" w:val="left" w:leader="none"/>
        </w:tabs>
        <w:spacing w:line="269" w:lineRule="exact" w:before="0" w:after="0"/>
        <w:ind w:left="843" w:right="0" w:hanging="361"/>
        <w:jc w:val="left"/>
        <w:rPr>
          <w:sz w:val="22"/>
        </w:rPr>
      </w:pPr>
      <w:r>
        <w:rPr>
          <w:spacing w:val="-2"/>
          <w:sz w:val="22"/>
        </w:rPr>
        <w:t>Fences</w:t>
      </w:r>
    </w:p>
    <w:p>
      <w:pPr>
        <w:pStyle w:val="ListParagraph"/>
        <w:numPr>
          <w:ilvl w:val="0"/>
          <w:numId w:val="12"/>
        </w:numPr>
        <w:tabs>
          <w:tab w:pos="843" w:val="left" w:leader="none"/>
          <w:tab w:pos="844" w:val="left" w:leader="none"/>
        </w:tabs>
        <w:spacing w:line="268" w:lineRule="exact" w:before="0" w:after="0"/>
        <w:ind w:left="843" w:right="0" w:hanging="361"/>
        <w:jc w:val="left"/>
        <w:rPr>
          <w:sz w:val="22"/>
        </w:rPr>
      </w:pPr>
      <w:r>
        <w:rPr>
          <w:spacing w:val="-2"/>
          <w:sz w:val="22"/>
        </w:rPr>
        <w:t>Landscaping</w:t>
      </w:r>
    </w:p>
    <w:p>
      <w:pPr>
        <w:pStyle w:val="ListParagraph"/>
        <w:numPr>
          <w:ilvl w:val="0"/>
          <w:numId w:val="12"/>
        </w:numPr>
        <w:tabs>
          <w:tab w:pos="843" w:val="left" w:leader="none"/>
          <w:tab w:pos="844" w:val="left" w:leader="none"/>
        </w:tabs>
        <w:spacing w:line="268" w:lineRule="exact" w:before="0" w:after="0"/>
        <w:ind w:left="843" w:right="0" w:hanging="361"/>
        <w:jc w:val="left"/>
        <w:rPr>
          <w:sz w:val="22"/>
        </w:rPr>
      </w:pPr>
      <w:r>
        <w:rPr>
          <w:spacing w:val="-2"/>
          <w:sz w:val="22"/>
        </w:rPr>
        <w:t>Demolition</w:t>
      </w:r>
    </w:p>
    <w:p>
      <w:pPr>
        <w:pStyle w:val="ListParagraph"/>
        <w:numPr>
          <w:ilvl w:val="0"/>
          <w:numId w:val="12"/>
        </w:numPr>
        <w:tabs>
          <w:tab w:pos="843" w:val="left" w:leader="none"/>
          <w:tab w:pos="844" w:val="left" w:leader="none"/>
        </w:tabs>
        <w:spacing w:line="269" w:lineRule="exact" w:before="0" w:after="0"/>
        <w:ind w:left="844" w:right="0" w:hanging="361"/>
        <w:jc w:val="left"/>
        <w:rPr>
          <w:sz w:val="22"/>
        </w:rPr>
      </w:pPr>
      <w:r>
        <w:rPr>
          <w:sz w:val="22"/>
        </w:rPr>
        <w:t>Repair</w:t>
      </w:r>
      <w:r>
        <w:rPr>
          <w:spacing w:val="-2"/>
          <w:sz w:val="22"/>
        </w:rPr>
        <w:t> </w:t>
      </w:r>
      <w:r>
        <w:rPr>
          <w:sz w:val="22"/>
        </w:rPr>
        <w:t>expenses</w:t>
      </w:r>
      <w:r>
        <w:rPr>
          <w:spacing w:val="-6"/>
          <w:sz w:val="22"/>
        </w:rPr>
        <w:t> </w:t>
      </w:r>
      <w:r>
        <w:rPr>
          <w:sz w:val="22"/>
        </w:rPr>
        <w:t>incurred</w:t>
      </w:r>
      <w:r>
        <w:rPr>
          <w:spacing w:val="-4"/>
          <w:sz w:val="22"/>
        </w:rPr>
        <w:t> </w:t>
      </w:r>
      <w:r>
        <w:rPr>
          <w:sz w:val="22"/>
        </w:rPr>
        <w:t>prior</w:t>
      </w:r>
      <w:r>
        <w:rPr>
          <w:spacing w:val="-4"/>
          <w:sz w:val="22"/>
        </w:rPr>
        <w:t> </w:t>
      </w:r>
      <w:r>
        <w:rPr>
          <w:sz w:val="22"/>
        </w:rPr>
        <w:t>to</w:t>
      </w:r>
      <w:r>
        <w:rPr>
          <w:spacing w:val="-6"/>
          <w:sz w:val="22"/>
        </w:rPr>
        <w:t> </w:t>
      </w:r>
      <w:r>
        <w:rPr>
          <w:sz w:val="22"/>
        </w:rPr>
        <w:t>the</w:t>
      </w:r>
      <w:r>
        <w:rPr>
          <w:spacing w:val="-5"/>
          <w:sz w:val="22"/>
        </w:rPr>
        <w:t> </w:t>
      </w:r>
      <w:r>
        <w:rPr>
          <w:sz w:val="22"/>
        </w:rPr>
        <w:t>execution</w:t>
      </w:r>
      <w:r>
        <w:rPr>
          <w:spacing w:val="-4"/>
          <w:sz w:val="22"/>
        </w:rPr>
        <w:t> </w:t>
      </w:r>
      <w:r>
        <w:rPr>
          <w:sz w:val="22"/>
        </w:rPr>
        <w:t>of</w:t>
      </w:r>
      <w:r>
        <w:rPr>
          <w:spacing w:val="-5"/>
          <w:sz w:val="22"/>
        </w:rPr>
        <w:t> </w:t>
      </w:r>
      <w:r>
        <w:rPr>
          <w:sz w:val="22"/>
        </w:rPr>
        <w:t>the</w:t>
      </w:r>
      <w:r>
        <w:rPr>
          <w:spacing w:val="-3"/>
          <w:sz w:val="22"/>
        </w:rPr>
        <w:t> </w:t>
      </w:r>
      <w:r>
        <w:rPr>
          <w:sz w:val="22"/>
        </w:rPr>
        <w:t>contract</w:t>
      </w:r>
      <w:r>
        <w:rPr>
          <w:spacing w:val="-4"/>
          <w:sz w:val="22"/>
        </w:rPr>
        <w:t> </w:t>
      </w:r>
      <w:r>
        <w:rPr>
          <w:sz w:val="22"/>
        </w:rPr>
        <w:t>with</w:t>
      </w:r>
      <w:r>
        <w:rPr>
          <w:spacing w:val="-6"/>
          <w:sz w:val="22"/>
        </w:rPr>
        <w:t> </w:t>
      </w:r>
      <w:r>
        <w:rPr>
          <w:sz w:val="22"/>
        </w:rPr>
        <w:t>the</w:t>
      </w:r>
      <w:r>
        <w:rPr>
          <w:spacing w:val="-3"/>
          <w:sz w:val="22"/>
        </w:rPr>
        <w:t> </w:t>
      </w:r>
      <w:r>
        <w:rPr>
          <w:spacing w:val="-4"/>
          <w:sz w:val="22"/>
        </w:rPr>
        <w:t>City</w:t>
      </w:r>
    </w:p>
    <w:p>
      <w:pPr>
        <w:pStyle w:val="BodyText"/>
        <w:spacing w:before="7"/>
        <w:rPr>
          <w:sz w:val="21"/>
        </w:rPr>
      </w:pPr>
    </w:p>
    <w:p>
      <w:pPr>
        <w:pStyle w:val="Heading5"/>
        <w:ind w:left="123"/>
      </w:pPr>
      <w:r>
        <w:rPr/>
        <w:t>Assistance</w:t>
      </w:r>
      <w:r>
        <w:rPr>
          <w:spacing w:val="-9"/>
        </w:rPr>
        <w:t> </w:t>
      </w:r>
      <w:r>
        <w:rPr>
          <w:spacing w:val="-4"/>
        </w:rPr>
        <w:t>Terms</w:t>
      </w:r>
    </w:p>
    <w:p>
      <w:pPr>
        <w:pStyle w:val="BodyText"/>
        <w:spacing w:before="52"/>
        <w:ind w:left="123" w:right="149"/>
        <w:jc w:val="both"/>
      </w:pPr>
      <w:r>
        <w:rPr/>
        <w:t>The</w:t>
      </w:r>
      <w:r>
        <w:rPr>
          <w:spacing w:val="-9"/>
        </w:rPr>
        <w:t> </w:t>
      </w:r>
      <w:r>
        <w:rPr/>
        <w:t>West</w:t>
      </w:r>
      <w:r>
        <w:rPr>
          <w:spacing w:val="-7"/>
        </w:rPr>
        <w:t> </w:t>
      </w:r>
      <w:r>
        <w:rPr/>
        <w:t>Dallas</w:t>
      </w:r>
      <w:r>
        <w:rPr>
          <w:spacing w:val="-8"/>
        </w:rPr>
        <w:t> </w:t>
      </w:r>
      <w:r>
        <w:rPr/>
        <w:t>TRP</w:t>
      </w:r>
      <w:r>
        <w:rPr>
          <w:spacing w:val="-9"/>
        </w:rPr>
        <w:t> </w:t>
      </w:r>
      <w:r>
        <w:rPr/>
        <w:t>is</w:t>
      </w:r>
      <w:r>
        <w:rPr>
          <w:spacing w:val="-11"/>
        </w:rPr>
        <w:t> </w:t>
      </w:r>
      <w:r>
        <w:rPr/>
        <w:t>a</w:t>
      </w:r>
      <w:r>
        <w:rPr>
          <w:spacing w:val="-9"/>
        </w:rPr>
        <w:t> </w:t>
      </w:r>
      <w:r>
        <w:rPr/>
        <w:t>grant</w:t>
      </w:r>
      <w:r>
        <w:rPr>
          <w:spacing w:val="-10"/>
        </w:rPr>
        <w:t> </w:t>
      </w:r>
      <w:r>
        <w:rPr/>
        <w:t>program</w:t>
      </w:r>
      <w:r>
        <w:rPr>
          <w:spacing w:val="-8"/>
        </w:rPr>
        <w:t> </w:t>
      </w:r>
      <w:r>
        <w:rPr/>
        <w:t>with</w:t>
      </w:r>
      <w:r>
        <w:rPr>
          <w:spacing w:val="-9"/>
        </w:rPr>
        <w:t> </w:t>
      </w:r>
      <w:r>
        <w:rPr/>
        <w:t>assistance</w:t>
      </w:r>
      <w:r>
        <w:rPr>
          <w:spacing w:val="-9"/>
        </w:rPr>
        <w:t> </w:t>
      </w:r>
      <w:r>
        <w:rPr/>
        <w:t>of</w:t>
      </w:r>
      <w:r>
        <w:rPr>
          <w:spacing w:val="-7"/>
        </w:rPr>
        <w:t> </w:t>
      </w:r>
      <w:r>
        <w:rPr/>
        <w:t>an</w:t>
      </w:r>
      <w:r>
        <w:rPr>
          <w:spacing w:val="-11"/>
        </w:rPr>
        <w:t> </w:t>
      </w:r>
      <w:r>
        <w:rPr/>
        <w:t>amount</w:t>
      </w:r>
      <w:r>
        <w:rPr>
          <w:spacing w:val="-7"/>
        </w:rPr>
        <w:t> </w:t>
      </w:r>
      <w:r>
        <w:rPr/>
        <w:t>not</w:t>
      </w:r>
      <w:r>
        <w:rPr>
          <w:spacing w:val="-10"/>
        </w:rPr>
        <w:t> </w:t>
      </w:r>
      <w:r>
        <w:rPr/>
        <w:t>to</w:t>
      </w:r>
      <w:r>
        <w:rPr>
          <w:spacing w:val="-9"/>
        </w:rPr>
        <w:t> </w:t>
      </w:r>
      <w:r>
        <w:rPr/>
        <w:t>exceed</w:t>
      </w:r>
      <w:r>
        <w:rPr>
          <w:spacing w:val="-9"/>
        </w:rPr>
        <w:t> </w:t>
      </w:r>
      <w:r>
        <w:rPr/>
        <w:t>$20,000</w:t>
      </w:r>
      <w:r>
        <w:rPr>
          <w:spacing w:val="-9"/>
        </w:rPr>
        <w:t> </w:t>
      </w:r>
      <w:r>
        <w:rPr/>
        <w:t>per property. Financial assistance will be the exact amount required to cover the cost of eligible repairs</w:t>
      </w:r>
      <w:r>
        <w:rPr>
          <w:spacing w:val="-16"/>
        </w:rPr>
        <w:t> </w:t>
      </w:r>
      <w:r>
        <w:rPr/>
        <w:t>up</w:t>
      </w:r>
      <w:r>
        <w:rPr>
          <w:spacing w:val="-15"/>
        </w:rPr>
        <w:t> </w:t>
      </w:r>
      <w:r>
        <w:rPr/>
        <w:t>to</w:t>
      </w:r>
      <w:r>
        <w:rPr>
          <w:spacing w:val="-15"/>
        </w:rPr>
        <w:t> </w:t>
      </w:r>
      <w:r>
        <w:rPr/>
        <w:t>the</w:t>
      </w:r>
      <w:r>
        <w:rPr>
          <w:spacing w:val="-16"/>
        </w:rPr>
        <w:t> </w:t>
      </w:r>
      <w:r>
        <w:rPr/>
        <w:t>amount</w:t>
      </w:r>
      <w:r>
        <w:rPr>
          <w:spacing w:val="-15"/>
        </w:rPr>
        <w:t> </w:t>
      </w:r>
      <w:r>
        <w:rPr/>
        <w:t>available</w:t>
      </w:r>
      <w:r>
        <w:rPr>
          <w:spacing w:val="-15"/>
        </w:rPr>
        <w:t> </w:t>
      </w:r>
      <w:r>
        <w:rPr/>
        <w:t>per</w:t>
      </w:r>
      <w:r>
        <w:rPr>
          <w:spacing w:val="-15"/>
        </w:rPr>
        <w:t> </w:t>
      </w:r>
      <w:r>
        <w:rPr/>
        <w:t>property</w:t>
      </w:r>
      <w:r>
        <w:rPr>
          <w:spacing w:val="-16"/>
        </w:rPr>
        <w:t> </w:t>
      </w:r>
      <w:r>
        <w:rPr/>
        <w:t>and</w:t>
      </w:r>
      <w:r>
        <w:rPr>
          <w:spacing w:val="-15"/>
        </w:rPr>
        <w:t> </w:t>
      </w:r>
      <w:r>
        <w:rPr/>
        <w:t>will</w:t>
      </w:r>
      <w:r>
        <w:rPr>
          <w:spacing w:val="-15"/>
        </w:rPr>
        <w:t> </w:t>
      </w:r>
      <w:r>
        <w:rPr/>
        <w:t>be</w:t>
      </w:r>
      <w:r>
        <w:rPr>
          <w:spacing w:val="-16"/>
        </w:rPr>
        <w:t> </w:t>
      </w:r>
      <w:r>
        <w:rPr/>
        <w:t>paid</w:t>
      </w:r>
      <w:r>
        <w:rPr>
          <w:spacing w:val="-15"/>
        </w:rPr>
        <w:t> </w:t>
      </w:r>
      <w:r>
        <w:rPr/>
        <w:t>directly</w:t>
      </w:r>
      <w:r>
        <w:rPr>
          <w:spacing w:val="-15"/>
        </w:rPr>
        <w:t> </w:t>
      </w:r>
      <w:r>
        <w:rPr/>
        <w:t>to</w:t>
      </w:r>
      <w:r>
        <w:rPr>
          <w:spacing w:val="-15"/>
        </w:rPr>
        <w:t> </w:t>
      </w:r>
      <w:r>
        <w:rPr/>
        <w:t>the</w:t>
      </w:r>
      <w:r>
        <w:rPr>
          <w:spacing w:val="-16"/>
        </w:rPr>
        <w:t> </w:t>
      </w:r>
      <w:r>
        <w:rPr/>
        <w:t>contractor</w:t>
      </w:r>
      <w:r>
        <w:rPr>
          <w:spacing w:val="-15"/>
        </w:rPr>
        <w:t> </w:t>
      </w:r>
      <w:r>
        <w:rPr/>
        <w:t>to</w:t>
      </w:r>
      <w:r>
        <w:rPr>
          <w:spacing w:val="-15"/>
        </w:rPr>
        <w:t> </w:t>
      </w:r>
      <w:r>
        <w:rPr/>
        <w:t>perform the</w:t>
      </w:r>
      <w:r>
        <w:rPr>
          <w:spacing w:val="-11"/>
        </w:rPr>
        <w:t> </w:t>
      </w:r>
      <w:r>
        <w:rPr/>
        <w:t>repair</w:t>
      </w:r>
      <w:r>
        <w:rPr>
          <w:spacing w:val="-10"/>
        </w:rPr>
        <w:t> </w:t>
      </w:r>
      <w:r>
        <w:rPr/>
        <w:t>work.</w:t>
      </w:r>
      <w:r>
        <w:rPr>
          <w:spacing w:val="-7"/>
        </w:rPr>
        <w:t> </w:t>
      </w:r>
      <w:r>
        <w:rPr/>
        <w:t>Repairs</w:t>
      </w:r>
      <w:r>
        <w:rPr>
          <w:spacing w:val="-11"/>
        </w:rPr>
        <w:t> </w:t>
      </w:r>
      <w:r>
        <w:rPr/>
        <w:t>in</w:t>
      </w:r>
      <w:r>
        <w:rPr>
          <w:spacing w:val="-9"/>
        </w:rPr>
        <w:t> </w:t>
      </w:r>
      <w:r>
        <w:rPr/>
        <w:t>excess</w:t>
      </w:r>
      <w:r>
        <w:rPr>
          <w:spacing w:val="-11"/>
        </w:rPr>
        <w:t> </w:t>
      </w:r>
      <w:r>
        <w:rPr/>
        <w:t>of</w:t>
      </w:r>
      <w:r>
        <w:rPr>
          <w:spacing w:val="-10"/>
        </w:rPr>
        <w:t> </w:t>
      </w:r>
      <w:r>
        <w:rPr/>
        <w:t>the</w:t>
      </w:r>
      <w:r>
        <w:rPr>
          <w:spacing w:val="-11"/>
        </w:rPr>
        <w:t> </w:t>
      </w:r>
      <w:r>
        <w:rPr/>
        <w:t>program</w:t>
      </w:r>
      <w:r>
        <w:rPr>
          <w:spacing w:val="-10"/>
        </w:rPr>
        <w:t> </w:t>
      </w:r>
      <w:r>
        <w:rPr/>
        <w:t>limits</w:t>
      </w:r>
      <w:r>
        <w:rPr>
          <w:spacing w:val="-8"/>
        </w:rPr>
        <w:t> </w:t>
      </w:r>
      <w:r>
        <w:rPr/>
        <w:t>or</w:t>
      </w:r>
      <w:r>
        <w:rPr>
          <w:spacing w:val="-8"/>
        </w:rPr>
        <w:t> </w:t>
      </w:r>
      <w:r>
        <w:rPr/>
        <w:t>outside</w:t>
      </w:r>
      <w:r>
        <w:rPr>
          <w:spacing w:val="-11"/>
        </w:rPr>
        <w:t> </w:t>
      </w:r>
      <w:r>
        <w:rPr/>
        <w:t>the</w:t>
      </w:r>
      <w:r>
        <w:rPr>
          <w:spacing w:val="-11"/>
        </w:rPr>
        <w:t> </w:t>
      </w:r>
      <w:r>
        <w:rPr/>
        <w:t>scope</w:t>
      </w:r>
      <w:r>
        <w:rPr>
          <w:spacing w:val="-9"/>
        </w:rPr>
        <w:t> </w:t>
      </w:r>
      <w:r>
        <w:rPr/>
        <w:t>of</w:t>
      </w:r>
      <w:r>
        <w:rPr>
          <w:spacing w:val="-10"/>
        </w:rPr>
        <w:t> </w:t>
      </w:r>
      <w:r>
        <w:rPr/>
        <w:t>the</w:t>
      </w:r>
      <w:r>
        <w:rPr>
          <w:spacing w:val="-14"/>
        </w:rPr>
        <w:t> </w:t>
      </w:r>
      <w:r>
        <w:rPr/>
        <w:t>repair</w:t>
      </w:r>
      <w:r>
        <w:rPr>
          <w:spacing w:val="-10"/>
        </w:rPr>
        <w:t> </w:t>
      </w:r>
      <w:r>
        <w:rPr/>
        <w:t>contract are</w:t>
      </w:r>
      <w:r>
        <w:rPr>
          <w:spacing w:val="-12"/>
        </w:rPr>
        <w:t> </w:t>
      </w:r>
      <w:r>
        <w:rPr/>
        <w:t>the</w:t>
      </w:r>
      <w:r>
        <w:rPr>
          <w:spacing w:val="-14"/>
        </w:rPr>
        <w:t> </w:t>
      </w:r>
      <w:r>
        <w:rPr/>
        <w:t>responsibility</w:t>
      </w:r>
      <w:r>
        <w:rPr>
          <w:spacing w:val="-12"/>
        </w:rPr>
        <w:t> </w:t>
      </w:r>
      <w:r>
        <w:rPr/>
        <w:t>of</w:t>
      </w:r>
      <w:r>
        <w:rPr>
          <w:spacing w:val="-13"/>
        </w:rPr>
        <w:t> </w:t>
      </w:r>
      <w:r>
        <w:rPr/>
        <w:t>the</w:t>
      </w:r>
      <w:r>
        <w:rPr>
          <w:spacing w:val="-12"/>
        </w:rPr>
        <w:t> </w:t>
      </w:r>
      <w:r>
        <w:rPr/>
        <w:t>homeowner.</w:t>
      </w:r>
      <w:r>
        <w:rPr>
          <w:spacing w:val="-11"/>
        </w:rPr>
        <w:t> </w:t>
      </w:r>
      <w:r>
        <w:rPr/>
        <w:t>Applicants</w:t>
      </w:r>
      <w:r>
        <w:rPr>
          <w:spacing w:val="-12"/>
        </w:rPr>
        <w:t> </w:t>
      </w:r>
      <w:r>
        <w:rPr/>
        <w:t>previously</w:t>
      </w:r>
      <w:r>
        <w:rPr>
          <w:spacing w:val="-12"/>
        </w:rPr>
        <w:t> </w:t>
      </w:r>
      <w:r>
        <w:rPr/>
        <w:t>assisted</w:t>
      </w:r>
      <w:r>
        <w:rPr>
          <w:spacing w:val="-12"/>
        </w:rPr>
        <w:t> </w:t>
      </w:r>
      <w:r>
        <w:rPr/>
        <w:t>through</w:t>
      </w:r>
      <w:r>
        <w:rPr>
          <w:spacing w:val="-12"/>
        </w:rPr>
        <w:t> </w:t>
      </w:r>
      <w:r>
        <w:rPr/>
        <w:t>this</w:t>
      </w:r>
      <w:r>
        <w:rPr>
          <w:spacing w:val="-12"/>
        </w:rPr>
        <w:t> </w:t>
      </w:r>
      <w:r>
        <w:rPr/>
        <w:t>program</w:t>
      </w:r>
      <w:r>
        <w:rPr>
          <w:spacing w:val="-13"/>
        </w:rPr>
        <w:t> </w:t>
      </w:r>
      <w:r>
        <w:rPr/>
        <w:t>may reapply</w:t>
      </w:r>
      <w:r>
        <w:rPr>
          <w:spacing w:val="-2"/>
        </w:rPr>
        <w:t> </w:t>
      </w:r>
      <w:r>
        <w:rPr/>
        <w:t>for</w:t>
      </w:r>
      <w:r>
        <w:rPr>
          <w:spacing w:val="-1"/>
        </w:rPr>
        <w:t> </w:t>
      </w:r>
      <w:r>
        <w:rPr/>
        <w:t>assistance</w:t>
      </w:r>
      <w:r>
        <w:rPr>
          <w:spacing w:val="-3"/>
        </w:rPr>
        <w:t> </w:t>
      </w:r>
      <w:r>
        <w:rPr/>
        <w:t>up</w:t>
      </w:r>
      <w:r>
        <w:rPr>
          <w:spacing w:val="-5"/>
        </w:rPr>
        <w:t> </w:t>
      </w:r>
      <w:r>
        <w:rPr/>
        <w:t>to</w:t>
      </w:r>
      <w:r>
        <w:rPr>
          <w:spacing w:val="-3"/>
        </w:rPr>
        <w:t> </w:t>
      </w:r>
      <w:r>
        <w:rPr/>
        <w:t>an</w:t>
      </w:r>
      <w:r>
        <w:rPr>
          <w:spacing w:val="-5"/>
        </w:rPr>
        <w:t> </w:t>
      </w:r>
      <w:r>
        <w:rPr/>
        <w:t>amount</w:t>
      </w:r>
      <w:r>
        <w:rPr>
          <w:spacing w:val="-1"/>
        </w:rPr>
        <w:t> </w:t>
      </w:r>
      <w:r>
        <w:rPr/>
        <w:t>not</w:t>
      </w:r>
      <w:r>
        <w:rPr>
          <w:spacing w:val="-1"/>
        </w:rPr>
        <w:t> </w:t>
      </w:r>
      <w:r>
        <w:rPr/>
        <w:t>exceeding</w:t>
      </w:r>
      <w:r>
        <w:rPr>
          <w:spacing w:val="-3"/>
        </w:rPr>
        <w:t> </w:t>
      </w:r>
      <w:r>
        <w:rPr/>
        <w:t>$20,000,</w:t>
      </w:r>
      <w:r>
        <w:rPr>
          <w:spacing w:val="-4"/>
        </w:rPr>
        <w:t> </w:t>
      </w:r>
      <w:r>
        <w:rPr/>
        <w:t>when</w:t>
      </w:r>
      <w:r>
        <w:rPr>
          <w:spacing w:val="-3"/>
        </w:rPr>
        <w:t> </w:t>
      </w:r>
      <w:r>
        <w:rPr/>
        <w:t>combined</w:t>
      </w:r>
      <w:r>
        <w:rPr>
          <w:spacing w:val="-3"/>
        </w:rPr>
        <w:t> </w:t>
      </w:r>
      <w:r>
        <w:rPr/>
        <w:t>with</w:t>
      </w:r>
      <w:r>
        <w:rPr>
          <w:spacing w:val="-3"/>
        </w:rPr>
        <w:t> </w:t>
      </w:r>
      <w:r>
        <w:rPr/>
        <w:t>the</w:t>
      </w:r>
      <w:r>
        <w:rPr>
          <w:spacing w:val="-3"/>
        </w:rPr>
        <w:t> </w:t>
      </w:r>
      <w:r>
        <w:rPr/>
        <w:t>amount of prior assistance received.</w:t>
      </w:r>
    </w:p>
    <w:p>
      <w:pPr>
        <w:pStyle w:val="BodyText"/>
        <w:spacing w:before="10"/>
        <w:rPr>
          <w:sz w:val="21"/>
        </w:rPr>
      </w:pPr>
    </w:p>
    <w:p>
      <w:pPr>
        <w:pStyle w:val="BodyText"/>
        <w:ind w:left="124" w:right="152"/>
        <w:jc w:val="both"/>
      </w:pPr>
      <w:r>
        <w:rPr/>
        <w:t>The grant will be enforced by a deed restriction. The deed restriction will have an affordability period</w:t>
      </w:r>
      <w:r>
        <w:rPr>
          <w:spacing w:val="13"/>
        </w:rPr>
        <w:t> </w:t>
      </w:r>
      <w:r>
        <w:rPr/>
        <w:t>of</w:t>
      </w:r>
      <w:r>
        <w:rPr>
          <w:spacing w:val="15"/>
        </w:rPr>
        <w:t> </w:t>
      </w:r>
      <w:r>
        <w:rPr/>
        <w:t>five (5)</w:t>
      </w:r>
      <w:r>
        <w:rPr>
          <w:spacing w:val="14"/>
        </w:rPr>
        <w:t> </w:t>
      </w:r>
      <w:r>
        <w:rPr/>
        <w:t>years from</w:t>
      </w:r>
      <w:r>
        <w:rPr>
          <w:spacing w:val="12"/>
        </w:rPr>
        <w:t> </w:t>
      </w:r>
      <w:r>
        <w:rPr/>
        <w:t>the</w:t>
      </w:r>
      <w:r>
        <w:rPr>
          <w:spacing w:val="13"/>
        </w:rPr>
        <w:t> </w:t>
      </w:r>
      <w:r>
        <w:rPr/>
        <w:t>date</w:t>
      </w:r>
      <w:r>
        <w:rPr>
          <w:spacing w:val="13"/>
        </w:rPr>
        <w:t> </w:t>
      </w:r>
      <w:r>
        <w:rPr/>
        <w:t>of</w:t>
      </w:r>
      <w:r>
        <w:rPr>
          <w:spacing w:val="14"/>
        </w:rPr>
        <w:t> </w:t>
      </w:r>
      <w:r>
        <w:rPr/>
        <w:t>signing</w:t>
      </w:r>
      <w:r>
        <w:rPr>
          <w:spacing w:val="13"/>
        </w:rPr>
        <w:t> </w:t>
      </w:r>
      <w:r>
        <w:rPr/>
        <w:t>the</w:t>
      </w:r>
      <w:r>
        <w:rPr>
          <w:spacing w:val="13"/>
        </w:rPr>
        <w:t> </w:t>
      </w:r>
      <w:r>
        <w:rPr/>
        <w:t>contract</w:t>
      </w:r>
      <w:r>
        <w:rPr>
          <w:spacing w:val="14"/>
        </w:rPr>
        <w:t> </w:t>
      </w:r>
      <w:r>
        <w:rPr/>
        <w:t>between</w:t>
      </w:r>
      <w:r>
        <w:rPr>
          <w:spacing w:val="13"/>
        </w:rPr>
        <w:t> </w:t>
      </w:r>
      <w:r>
        <w:rPr/>
        <w:t>the city</w:t>
      </w:r>
      <w:r>
        <w:rPr>
          <w:spacing w:val="13"/>
        </w:rPr>
        <w:t> </w:t>
      </w:r>
      <w:r>
        <w:rPr/>
        <w:t>and</w:t>
      </w:r>
      <w:r>
        <w:rPr>
          <w:spacing w:val="13"/>
        </w:rPr>
        <w:t> </w:t>
      </w:r>
      <w:r>
        <w:rPr/>
        <w:t>homeowner.</w:t>
      </w:r>
    </w:p>
    <w:p>
      <w:pPr>
        <w:spacing w:after="0"/>
        <w:jc w:val="both"/>
        <w:sectPr>
          <w:pgSz w:w="12240" w:h="15840"/>
          <w:pgMar w:header="0" w:footer="1738" w:top="1360" w:bottom="1920" w:left="1320" w:right="1280"/>
        </w:sectPr>
      </w:pPr>
    </w:p>
    <w:p>
      <w:pPr>
        <w:pStyle w:val="BodyText"/>
        <w:spacing w:before="80"/>
        <w:ind w:left="119"/>
      </w:pPr>
      <w:r>
        <w:rPr/>
        <w:t>Repayment</w:t>
      </w:r>
      <w:r>
        <w:rPr>
          <w:spacing w:val="-13"/>
        </w:rPr>
        <w:t> </w:t>
      </w:r>
      <w:r>
        <w:rPr/>
        <w:t>terms</w:t>
      </w:r>
      <w:r>
        <w:rPr>
          <w:spacing w:val="-14"/>
        </w:rPr>
        <w:t> </w:t>
      </w:r>
      <w:r>
        <w:rPr/>
        <w:t>will</w:t>
      </w:r>
      <w:r>
        <w:rPr>
          <w:spacing w:val="-13"/>
        </w:rPr>
        <w:t> </w:t>
      </w:r>
      <w:r>
        <w:rPr/>
        <w:t>be</w:t>
      </w:r>
      <w:r>
        <w:rPr>
          <w:spacing w:val="-12"/>
        </w:rPr>
        <w:t> </w:t>
      </w:r>
      <w:r>
        <w:rPr/>
        <w:t>prorated</w:t>
      </w:r>
      <w:r>
        <w:rPr>
          <w:spacing w:val="-12"/>
        </w:rPr>
        <w:t> </w:t>
      </w:r>
      <w:r>
        <w:rPr/>
        <w:t>equally</w:t>
      </w:r>
      <w:r>
        <w:rPr>
          <w:spacing w:val="-12"/>
        </w:rPr>
        <w:t> </w:t>
      </w:r>
      <w:r>
        <w:rPr/>
        <w:t>based</w:t>
      </w:r>
      <w:r>
        <w:rPr>
          <w:spacing w:val="-15"/>
        </w:rPr>
        <w:t> </w:t>
      </w:r>
      <w:r>
        <w:rPr/>
        <w:t>upon</w:t>
      </w:r>
      <w:r>
        <w:rPr>
          <w:spacing w:val="-12"/>
        </w:rPr>
        <w:t> </w:t>
      </w:r>
      <w:r>
        <w:rPr/>
        <w:t>the</w:t>
      </w:r>
      <w:r>
        <w:rPr>
          <w:spacing w:val="-12"/>
        </w:rPr>
        <w:t> </w:t>
      </w:r>
      <w:r>
        <w:rPr/>
        <w:t>grant</w:t>
      </w:r>
      <w:r>
        <w:rPr>
          <w:spacing w:val="-13"/>
        </w:rPr>
        <w:t> </w:t>
      </w:r>
      <w:r>
        <w:rPr/>
        <w:t>amount,</w:t>
      </w:r>
      <w:r>
        <w:rPr>
          <w:spacing w:val="-11"/>
        </w:rPr>
        <w:t> </w:t>
      </w:r>
      <w:r>
        <w:rPr/>
        <w:t>except</w:t>
      </w:r>
      <w:r>
        <w:rPr>
          <w:spacing w:val="-11"/>
        </w:rPr>
        <w:t> </w:t>
      </w:r>
      <w:r>
        <w:rPr/>
        <w:t>when</w:t>
      </w:r>
      <w:r>
        <w:rPr>
          <w:spacing w:val="-12"/>
        </w:rPr>
        <w:t> </w:t>
      </w:r>
      <w:r>
        <w:rPr/>
        <w:t>bond</w:t>
      </w:r>
      <w:r>
        <w:rPr>
          <w:spacing w:val="-15"/>
        </w:rPr>
        <w:t> </w:t>
      </w:r>
      <w:r>
        <w:rPr/>
        <w:t>funds are utilized.</w:t>
      </w:r>
    </w:p>
    <w:p>
      <w:pPr>
        <w:pStyle w:val="BodyText"/>
        <w:spacing w:before="10"/>
        <w:rPr>
          <w:sz w:val="21"/>
        </w:rPr>
      </w:pPr>
    </w:p>
    <w:p>
      <w:pPr>
        <w:pStyle w:val="BodyText"/>
        <w:spacing w:before="1"/>
        <w:ind w:left="119"/>
      </w:pPr>
      <w:r>
        <w:rPr/>
        <w:t>There</w:t>
      </w:r>
      <w:r>
        <w:rPr>
          <w:spacing w:val="-7"/>
        </w:rPr>
        <w:t> </w:t>
      </w:r>
      <w:r>
        <w:rPr/>
        <w:t>are</w:t>
      </w:r>
      <w:r>
        <w:rPr>
          <w:spacing w:val="-5"/>
        </w:rPr>
        <w:t> </w:t>
      </w:r>
      <w:r>
        <w:rPr/>
        <w:t>no</w:t>
      </w:r>
      <w:r>
        <w:rPr>
          <w:spacing w:val="-6"/>
        </w:rPr>
        <w:t> </w:t>
      </w:r>
      <w:r>
        <w:rPr/>
        <w:t>grant</w:t>
      </w:r>
      <w:r>
        <w:rPr>
          <w:spacing w:val="-5"/>
        </w:rPr>
        <w:t> </w:t>
      </w:r>
      <w:r>
        <w:rPr/>
        <w:t>repayments</w:t>
      </w:r>
      <w:r>
        <w:rPr>
          <w:spacing w:val="-7"/>
        </w:rPr>
        <w:t> </w:t>
      </w:r>
      <w:r>
        <w:rPr/>
        <w:t>unless</w:t>
      </w:r>
      <w:r>
        <w:rPr>
          <w:spacing w:val="-3"/>
        </w:rPr>
        <w:t> </w:t>
      </w:r>
      <w:r>
        <w:rPr/>
        <w:t>one</w:t>
      </w:r>
      <w:r>
        <w:rPr>
          <w:spacing w:val="-7"/>
        </w:rPr>
        <w:t> </w:t>
      </w:r>
      <w:r>
        <w:rPr/>
        <w:t>of</w:t>
      </w:r>
      <w:r>
        <w:rPr>
          <w:spacing w:val="-5"/>
        </w:rPr>
        <w:t> </w:t>
      </w:r>
      <w:r>
        <w:rPr/>
        <w:t>the</w:t>
      </w:r>
      <w:r>
        <w:rPr>
          <w:spacing w:val="-7"/>
        </w:rPr>
        <w:t> </w:t>
      </w:r>
      <w:r>
        <w:rPr/>
        <w:t>following</w:t>
      </w:r>
      <w:r>
        <w:rPr>
          <w:spacing w:val="-4"/>
        </w:rPr>
        <w:t> </w:t>
      </w:r>
      <w:r>
        <w:rPr/>
        <w:t>occurs</w:t>
      </w:r>
      <w:r>
        <w:rPr>
          <w:spacing w:val="-3"/>
        </w:rPr>
        <w:t> </w:t>
      </w:r>
      <w:r>
        <w:rPr/>
        <w:t>within</w:t>
      </w:r>
      <w:r>
        <w:rPr>
          <w:spacing w:val="-6"/>
        </w:rPr>
        <w:t> </w:t>
      </w:r>
      <w:r>
        <w:rPr/>
        <w:t>the</w:t>
      </w:r>
      <w:r>
        <w:rPr>
          <w:spacing w:val="-5"/>
        </w:rPr>
        <w:t> </w:t>
      </w:r>
      <w:r>
        <w:rPr/>
        <w:t>affordability</w:t>
      </w:r>
      <w:r>
        <w:rPr>
          <w:spacing w:val="-3"/>
        </w:rPr>
        <w:t> </w:t>
      </w:r>
      <w:r>
        <w:rPr>
          <w:spacing w:val="-2"/>
        </w:rPr>
        <w:t>period:</w:t>
      </w:r>
    </w:p>
    <w:p>
      <w:pPr>
        <w:pStyle w:val="ListParagraph"/>
        <w:numPr>
          <w:ilvl w:val="0"/>
          <w:numId w:val="12"/>
        </w:numPr>
        <w:tabs>
          <w:tab w:pos="839" w:val="left" w:leader="none"/>
          <w:tab w:pos="841" w:val="left" w:leader="none"/>
        </w:tabs>
        <w:spacing w:line="269" w:lineRule="exact" w:before="0" w:after="0"/>
        <w:ind w:left="840" w:right="0" w:hanging="362"/>
        <w:jc w:val="left"/>
        <w:rPr>
          <w:sz w:val="22"/>
        </w:rPr>
      </w:pPr>
      <w:r>
        <w:rPr>
          <w:sz w:val="22"/>
        </w:rPr>
        <w:t>The</w:t>
      </w:r>
      <w:r>
        <w:rPr>
          <w:spacing w:val="-9"/>
          <w:sz w:val="22"/>
        </w:rPr>
        <w:t> </w:t>
      </w:r>
      <w:r>
        <w:rPr>
          <w:sz w:val="22"/>
        </w:rPr>
        <w:t>sale,</w:t>
      </w:r>
      <w:r>
        <w:rPr>
          <w:spacing w:val="-6"/>
          <w:sz w:val="22"/>
        </w:rPr>
        <w:t> </w:t>
      </w:r>
      <w:r>
        <w:rPr>
          <w:sz w:val="22"/>
        </w:rPr>
        <w:t>conveyance,</w:t>
      </w:r>
      <w:r>
        <w:rPr>
          <w:spacing w:val="-8"/>
          <w:sz w:val="22"/>
        </w:rPr>
        <w:t> </w:t>
      </w:r>
      <w:r>
        <w:rPr>
          <w:sz w:val="22"/>
        </w:rPr>
        <w:t>transfer,</w:t>
      </w:r>
      <w:r>
        <w:rPr>
          <w:spacing w:val="-6"/>
          <w:sz w:val="22"/>
        </w:rPr>
        <w:t> </w:t>
      </w:r>
      <w:r>
        <w:rPr>
          <w:sz w:val="22"/>
        </w:rPr>
        <w:t>rental,</w:t>
      </w:r>
      <w:r>
        <w:rPr>
          <w:spacing w:val="-6"/>
          <w:sz w:val="22"/>
        </w:rPr>
        <w:t> </w:t>
      </w:r>
      <w:r>
        <w:rPr>
          <w:sz w:val="22"/>
        </w:rPr>
        <w:t>or</w:t>
      </w:r>
      <w:r>
        <w:rPr>
          <w:spacing w:val="-5"/>
          <w:sz w:val="22"/>
        </w:rPr>
        <w:t> </w:t>
      </w:r>
      <w:r>
        <w:rPr>
          <w:sz w:val="22"/>
        </w:rPr>
        <w:t>hypothecation</w:t>
      </w:r>
      <w:r>
        <w:rPr>
          <w:spacing w:val="-7"/>
          <w:sz w:val="22"/>
        </w:rPr>
        <w:t> </w:t>
      </w:r>
      <w:r>
        <w:rPr>
          <w:sz w:val="22"/>
        </w:rPr>
        <w:t>of</w:t>
      </w:r>
      <w:r>
        <w:rPr>
          <w:spacing w:val="-8"/>
          <w:sz w:val="22"/>
        </w:rPr>
        <w:t> </w:t>
      </w:r>
      <w:r>
        <w:rPr>
          <w:sz w:val="22"/>
        </w:rPr>
        <w:t>the</w:t>
      </w:r>
      <w:r>
        <w:rPr>
          <w:spacing w:val="-7"/>
          <w:sz w:val="22"/>
        </w:rPr>
        <w:t> </w:t>
      </w:r>
      <w:r>
        <w:rPr>
          <w:sz w:val="22"/>
        </w:rPr>
        <w:t>security</w:t>
      </w:r>
      <w:r>
        <w:rPr>
          <w:spacing w:val="-5"/>
          <w:sz w:val="22"/>
        </w:rPr>
        <w:t> </w:t>
      </w:r>
      <w:r>
        <w:rPr>
          <w:sz w:val="22"/>
        </w:rPr>
        <w:t>of</w:t>
      </w:r>
      <w:r>
        <w:rPr>
          <w:spacing w:val="-6"/>
          <w:sz w:val="22"/>
        </w:rPr>
        <w:t> </w:t>
      </w:r>
      <w:r>
        <w:rPr>
          <w:sz w:val="22"/>
        </w:rPr>
        <w:t>the</w:t>
      </w:r>
      <w:r>
        <w:rPr>
          <w:spacing w:val="-7"/>
          <w:sz w:val="22"/>
        </w:rPr>
        <w:t> </w:t>
      </w:r>
      <w:r>
        <w:rPr>
          <w:sz w:val="22"/>
        </w:rPr>
        <w:t>property;</w:t>
      </w:r>
      <w:r>
        <w:rPr>
          <w:spacing w:val="-5"/>
          <w:sz w:val="22"/>
        </w:rPr>
        <w:t> or</w:t>
      </w:r>
    </w:p>
    <w:p>
      <w:pPr>
        <w:pStyle w:val="ListParagraph"/>
        <w:numPr>
          <w:ilvl w:val="0"/>
          <w:numId w:val="12"/>
        </w:numPr>
        <w:tabs>
          <w:tab w:pos="840" w:val="left" w:leader="none"/>
          <w:tab w:pos="841" w:val="left" w:leader="none"/>
        </w:tabs>
        <w:spacing w:line="268" w:lineRule="exact" w:before="0" w:after="0"/>
        <w:ind w:left="840" w:right="0" w:hanging="361"/>
        <w:jc w:val="left"/>
        <w:rPr>
          <w:sz w:val="22"/>
        </w:rPr>
      </w:pPr>
      <w:r>
        <w:rPr>
          <w:sz w:val="22"/>
        </w:rPr>
        <w:t>If</w:t>
      </w:r>
      <w:r>
        <w:rPr>
          <w:spacing w:val="-4"/>
          <w:sz w:val="22"/>
        </w:rPr>
        <w:t> </w:t>
      </w:r>
      <w:r>
        <w:rPr>
          <w:sz w:val="22"/>
        </w:rPr>
        <w:t>the</w:t>
      </w:r>
      <w:r>
        <w:rPr>
          <w:spacing w:val="-6"/>
          <w:sz w:val="22"/>
        </w:rPr>
        <w:t> </w:t>
      </w:r>
      <w:r>
        <w:rPr>
          <w:sz w:val="22"/>
        </w:rPr>
        <w:t>home</w:t>
      </w:r>
      <w:r>
        <w:rPr>
          <w:spacing w:val="-6"/>
          <w:sz w:val="22"/>
        </w:rPr>
        <w:t> </w:t>
      </w:r>
      <w:r>
        <w:rPr>
          <w:sz w:val="22"/>
        </w:rPr>
        <w:t>is</w:t>
      </w:r>
      <w:r>
        <w:rPr>
          <w:spacing w:val="-3"/>
          <w:sz w:val="22"/>
        </w:rPr>
        <w:t> </w:t>
      </w:r>
      <w:r>
        <w:rPr>
          <w:sz w:val="22"/>
        </w:rPr>
        <w:t>vacated</w:t>
      </w:r>
      <w:r>
        <w:rPr>
          <w:spacing w:val="-5"/>
          <w:sz w:val="22"/>
        </w:rPr>
        <w:t> </w:t>
      </w:r>
      <w:r>
        <w:rPr>
          <w:sz w:val="22"/>
        </w:rPr>
        <w:t>during</w:t>
      </w:r>
      <w:r>
        <w:rPr>
          <w:spacing w:val="-4"/>
          <w:sz w:val="22"/>
        </w:rPr>
        <w:t> </w:t>
      </w:r>
      <w:r>
        <w:rPr>
          <w:sz w:val="22"/>
        </w:rPr>
        <w:t>the</w:t>
      </w:r>
      <w:r>
        <w:rPr>
          <w:spacing w:val="-6"/>
          <w:sz w:val="22"/>
        </w:rPr>
        <w:t> </w:t>
      </w:r>
      <w:r>
        <w:rPr>
          <w:sz w:val="22"/>
        </w:rPr>
        <w:t>affordability</w:t>
      </w:r>
      <w:r>
        <w:rPr>
          <w:spacing w:val="-6"/>
          <w:sz w:val="22"/>
        </w:rPr>
        <w:t> </w:t>
      </w:r>
      <w:r>
        <w:rPr>
          <w:sz w:val="22"/>
        </w:rPr>
        <w:t>period;</w:t>
      </w:r>
      <w:r>
        <w:rPr>
          <w:spacing w:val="-1"/>
          <w:sz w:val="22"/>
        </w:rPr>
        <w:t> </w:t>
      </w:r>
      <w:r>
        <w:rPr>
          <w:spacing w:val="-5"/>
          <w:sz w:val="22"/>
        </w:rPr>
        <w:t>or</w:t>
      </w:r>
    </w:p>
    <w:p>
      <w:pPr>
        <w:pStyle w:val="ListParagraph"/>
        <w:numPr>
          <w:ilvl w:val="0"/>
          <w:numId w:val="12"/>
        </w:numPr>
        <w:tabs>
          <w:tab w:pos="840" w:val="left" w:leader="none"/>
          <w:tab w:pos="841" w:val="left" w:leader="none"/>
        </w:tabs>
        <w:spacing w:line="268" w:lineRule="exact" w:before="0" w:after="0"/>
        <w:ind w:left="840" w:right="0" w:hanging="361"/>
        <w:jc w:val="left"/>
        <w:rPr>
          <w:sz w:val="22"/>
        </w:rPr>
      </w:pPr>
      <w:r>
        <w:rPr>
          <w:sz w:val="22"/>
        </w:rPr>
        <w:t>Failure</w:t>
      </w:r>
      <w:r>
        <w:rPr>
          <w:spacing w:val="-6"/>
          <w:sz w:val="22"/>
        </w:rPr>
        <w:t> </w:t>
      </w:r>
      <w:r>
        <w:rPr>
          <w:sz w:val="22"/>
        </w:rPr>
        <w:t>to</w:t>
      </w:r>
      <w:r>
        <w:rPr>
          <w:spacing w:val="-4"/>
          <w:sz w:val="22"/>
        </w:rPr>
        <w:t> </w:t>
      </w:r>
      <w:r>
        <w:rPr>
          <w:sz w:val="22"/>
        </w:rPr>
        <w:t>otherwise</w:t>
      </w:r>
      <w:r>
        <w:rPr>
          <w:spacing w:val="-6"/>
          <w:sz w:val="22"/>
        </w:rPr>
        <w:t> </w:t>
      </w:r>
      <w:r>
        <w:rPr>
          <w:sz w:val="22"/>
        </w:rPr>
        <w:t>adhere</w:t>
      </w:r>
      <w:r>
        <w:rPr>
          <w:spacing w:val="-5"/>
          <w:sz w:val="22"/>
        </w:rPr>
        <w:t> </w:t>
      </w:r>
      <w:r>
        <w:rPr>
          <w:sz w:val="22"/>
        </w:rPr>
        <w:t>to</w:t>
      </w:r>
      <w:r>
        <w:rPr>
          <w:spacing w:val="-6"/>
          <w:sz w:val="22"/>
        </w:rPr>
        <w:t> </w:t>
      </w:r>
      <w:r>
        <w:rPr>
          <w:sz w:val="22"/>
        </w:rPr>
        <w:t>the</w:t>
      </w:r>
      <w:r>
        <w:rPr>
          <w:spacing w:val="-4"/>
          <w:sz w:val="22"/>
        </w:rPr>
        <w:t> </w:t>
      </w:r>
      <w:r>
        <w:rPr>
          <w:sz w:val="22"/>
        </w:rPr>
        <w:t>provisions</w:t>
      </w:r>
      <w:r>
        <w:rPr>
          <w:spacing w:val="-3"/>
          <w:sz w:val="22"/>
        </w:rPr>
        <w:t> </w:t>
      </w:r>
      <w:r>
        <w:rPr>
          <w:sz w:val="22"/>
        </w:rPr>
        <w:t>of</w:t>
      </w:r>
      <w:r>
        <w:rPr>
          <w:spacing w:val="-4"/>
          <w:sz w:val="22"/>
        </w:rPr>
        <w:t> </w:t>
      </w:r>
      <w:r>
        <w:rPr>
          <w:sz w:val="22"/>
        </w:rPr>
        <w:t>the</w:t>
      </w:r>
      <w:r>
        <w:rPr>
          <w:spacing w:val="-4"/>
          <w:sz w:val="22"/>
        </w:rPr>
        <w:t> </w:t>
      </w:r>
      <w:r>
        <w:rPr>
          <w:sz w:val="22"/>
        </w:rPr>
        <w:t>loan</w:t>
      </w:r>
      <w:r>
        <w:rPr>
          <w:spacing w:val="-4"/>
          <w:sz w:val="22"/>
        </w:rPr>
        <w:t> </w:t>
      </w:r>
      <w:r>
        <w:rPr>
          <w:sz w:val="22"/>
        </w:rPr>
        <w:t>or</w:t>
      </w:r>
      <w:r>
        <w:rPr>
          <w:spacing w:val="-4"/>
          <w:sz w:val="22"/>
        </w:rPr>
        <w:t> </w:t>
      </w:r>
      <w:r>
        <w:rPr>
          <w:spacing w:val="-2"/>
          <w:sz w:val="22"/>
        </w:rPr>
        <w:t>grant.</w:t>
      </w:r>
    </w:p>
    <w:p>
      <w:pPr>
        <w:pStyle w:val="BodyText"/>
        <w:spacing w:before="10"/>
        <w:rPr>
          <w:sz w:val="21"/>
        </w:rPr>
      </w:pPr>
    </w:p>
    <w:p>
      <w:pPr>
        <w:pStyle w:val="BodyText"/>
        <w:spacing w:before="1"/>
        <w:ind w:left="120" w:right="156"/>
        <w:jc w:val="both"/>
      </w:pPr>
      <w:r>
        <w:rPr/>
        <w:pict>
          <v:shape style="position:absolute;margin-left:90.065002pt;margin-top:-6.163895pt;width:395.3pt;height:419pt;mso-position-horizontal-relative:page;mso-position-vertical-relative:paragraph;z-index:-17720320" id="docshape53" coordorigin="1801,-123" coordsize="7906,8380" path="m4498,7140l4492,7067,4477,6989,4455,6906,4432,6837,4403,6765,4367,6690,4325,6612,4276,6531,4237,6472,4200,6422,4200,7107,4197,7163,4186,7220,4167,7278,4138,7337,4097,7400,4044,7466,3979,7536,3674,7841,2216,6383,2517,6083,2598,6006,2672,5947,2740,5903,2801,5877,2868,5862,2941,5858,3020,5865,3105,5883,3195,5912,3255,5937,3317,5970,3380,6008,3446,6053,3514,6105,3584,6163,3656,6228,3729,6299,3789,6361,3845,6421,3896,6480,3943,6538,3986,6594,4025,6649,4059,6703,4101,6778,4136,6850,4163,6920,4183,6987,4196,7051,4200,7107,4200,6422,4194,6413,4148,6353,4098,6292,4045,6231,3989,6170,3929,6108,3865,6046,3801,5987,3737,5932,3673,5881,3643,5858,3609,5833,3546,5788,3482,5747,3419,5709,3346,5671,3274,5639,3203,5612,3132,5590,3062,5573,2992,5561,2923,5554,2850,5552,2779,5559,2709,5574,2642,5597,2577,5627,2528,5655,2476,5692,2420,5738,2359,5792,2294,5854,1801,6348,3710,8256,4124,7841,4226,7739,4287,7674,4341,7609,4386,7543,4424,7476,4454,7410,4476,7343,4491,7277,4498,7209,4498,7140xm6418,5547l6056,5420,5650,5277,5561,5248,5475,5224,5393,5205,5365,5199,5314,5190,5239,5180,5193,5179,5143,5182,5089,5189,5030,5199,5073,5130,5109,5060,5136,4991,5154,4922,5164,4854,5165,4785,5157,4718,5139,4640,5111,4563,5075,4489,5030,4416,4976,4345,4956,4323,4913,4277,4872,4239,4872,4796,4868,4852,4854,4907,4830,4963,4794,5021,4747,5082,4687,5146,4280,5553,3649,4922,4102,4469,4166,4412,4229,4369,4293,4339,4358,4324,4422,4323,4501,4338,4577,4368,4649,4412,4718,4472,4761,4520,4797,4570,4827,4624,4851,4681,4867,4739,4872,4796,4872,4239,4849,4217,4782,4165,4713,4119,4641,4081,4566,4049,4474,4020,4386,4008,4303,4010,4225,4026,4163,4050,4098,4087,4030,4135,3958,4195,3883,4266,3248,4901,5157,6809,5346,6619,4499,5772,4718,5553,4753,5519,4783,5491,4810,5470,4833,5456,4863,5442,4896,5431,4932,5424,4971,5420,5014,5420,5066,5425,5125,5435,5194,5452,5256,5469,5328,5490,5407,5515,5496,5544,6180,5785,6418,5547xm7780,4185l7415,3990,6555,3536,6555,3843,6070,4328,6030,4257,5989,4185,5748,3754,5708,3683,5668,3611,5629,3546,5590,3481,5550,3417,5509,3354,5467,3292,5424,3230,5380,3170,5436,3205,5498,3243,5564,3283,5635,3325,5792,3415,6555,3843,6555,3536,5862,3170,5286,2863,5082,3067,5277,3417,5316,3487,5701,4185,6207,5104,6441,5525,6642,5324,6565,5190,6298,4722,6221,4588,6481,4328,6820,3990,7173,4185,7565,4401,7780,4185xm8131,3835l7264,2968,7936,2296,7711,2071,7039,2742,6448,2152,7224,1375,6999,1150,6033,2116,7941,4024,8131,3835xm9707,2259l8024,576,8497,102,8272,-123,7138,1011,7363,1236,7834,765,9517,2448,9707,2259xe" filled="true" fillcolor="#c0c0c0" stroked="false">
            <v:path arrowok="t"/>
            <v:fill opacity="32896f" type="solid"/>
            <w10:wrap type="none"/>
          </v:shape>
        </w:pict>
      </w:r>
      <w:r>
        <w:rPr/>
        <w:t>During</w:t>
      </w:r>
      <w:r>
        <w:rPr>
          <w:spacing w:val="-3"/>
        </w:rPr>
        <w:t> </w:t>
      </w:r>
      <w:r>
        <w:rPr/>
        <w:t>the</w:t>
      </w:r>
      <w:r>
        <w:rPr>
          <w:spacing w:val="-5"/>
        </w:rPr>
        <w:t> </w:t>
      </w:r>
      <w:r>
        <w:rPr/>
        <w:t>period</w:t>
      </w:r>
      <w:r>
        <w:rPr>
          <w:spacing w:val="-3"/>
        </w:rPr>
        <w:t> </w:t>
      </w:r>
      <w:r>
        <w:rPr/>
        <w:t>of</w:t>
      </w:r>
      <w:r>
        <w:rPr>
          <w:spacing w:val="-1"/>
        </w:rPr>
        <w:t> </w:t>
      </w:r>
      <w:r>
        <w:rPr/>
        <w:t>affordability,</w:t>
      </w:r>
      <w:r>
        <w:rPr>
          <w:spacing w:val="-4"/>
        </w:rPr>
        <w:t> </w:t>
      </w:r>
      <w:r>
        <w:rPr/>
        <w:t>monitoring</w:t>
      </w:r>
      <w:r>
        <w:rPr>
          <w:spacing w:val="-5"/>
        </w:rPr>
        <w:t> </w:t>
      </w:r>
      <w:r>
        <w:rPr/>
        <w:t>shall</w:t>
      </w:r>
      <w:r>
        <w:rPr>
          <w:spacing w:val="-6"/>
        </w:rPr>
        <w:t> </w:t>
      </w:r>
      <w:r>
        <w:rPr/>
        <w:t>be</w:t>
      </w:r>
      <w:r>
        <w:rPr>
          <w:spacing w:val="-3"/>
        </w:rPr>
        <w:t> </w:t>
      </w:r>
      <w:r>
        <w:rPr/>
        <w:t>performed</w:t>
      </w:r>
      <w:r>
        <w:rPr>
          <w:spacing w:val="-5"/>
        </w:rPr>
        <w:t> </w:t>
      </w:r>
      <w:r>
        <w:rPr/>
        <w:t>on</w:t>
      </w:r>
      <w:r>
        <w:rPr>
          <w:spacing w:val="-5"/>
        </w:rPr>
        <w:t> </w:t>
      </w:r>
      <w:r>
        <w:rPr/>
        <w:t>an</w:t>
      </w:r>
      <w:r>
        <w:rPr>
          <w:spacing w:val="-3"/>
        </w:rPr>
        <w:t> </w:t>
      </w:r>
      <w:r>
        <w:rPr/>
        <w:t>annual</w:t>
      </w:r>
      <w:r>
        <w:rPr>
          <w:spacing w:val="-3"/>
        </w:rPr>
        <w:t> </w:t>
      </w:r>
      <w:r>
        <w:rPr/>
        <w:t>basis.</w:t>
      </w:r>
      <w:r>
        <w:rPr>
          <w:spacing w:val="-3"/>
        </w:rPr>
        <w:t> </w:t>
      </w:r>
      <w:r>
        <w:rPr/>
        <w:t>Homeowner must</w:t>
      </w:r>
      <w:r>
        <w:rPr>
          <w:spacing w:val="-15"/>
        </w:rPr>
        <w:t> </w:t>
      </w:r>
      <w:r>
        <w:rPr/>
        <w:t>certify</w:t>
      </w:r>
      <w:r>
        <w:rPr>
          <w:spacing w:val="-13"/>
        </w:rPr>
        <w:t> </w:t>
      </w:r>
      <w:r>
        <w:rPr/>
        <w:t>annually</w:t>
      </w:r>
      <w:r>
        <w:rPr>
          <w:spacing w:val="-13"/>
        </w:rPr>
        <w:t> </w:t>
      </w:r>
      <w:r>
        <w:rPr/>
        <w:t>that</w:t>
      </w:r>
      <w:r>
        <w:rPr>
          <w:spacing w:val="-15"/>
        </w:rPr>
        <w:t> </w:t>
      </w:r>
      <w:r>
        <w:rPr/>
        <w:t>the</w:t>
      </w:r>
      <w:r>
        <w:rPr>
          <w:spacing w:val="-14"/>
        </w:rPr>
        <w:t> </w:t>
      </w:r>
      <w:r>
        <w:rPr/>
        <w:t>home</w:t>
      </w:r>
      <w:r>
        <w:rPr>
          <w:spacing w:val="-16"/>
        </w:rPr>
        <w:t> </w:t>
      </w:r>
      <w:r>
        <w:rPr/>
        <w:t>is</w:t>
      </w:r>
      <w:r>
        <w:rPr>
          <w:spacing w:val="-12"/>
        </w:rPr>
        <w:t> </w:t>
      </w:r>
      <w:r>
        <w:rPr/>
        <w:t>not</w:t>
      </w:r>
      <w:r>
        <w:rPr>
          <w:spacing w:val="-15"/>
        </w:rPr>
        <w:t> </w:t>
      </w:r>
      <w:r>
        <w:rPr/>
        <w:t>for</w:t>
      </w:r>
      <w:r>
        <w:rPr>
          <w:spacing w:val="-15"/>
        </w:rPr>
        <w:t> </w:t>
      </w:r>
      <w:r>
        <w:rPr/>
        <w:t>sale,</w:t>
      </w:r>
      <w:r>
        <w:rPr>
          <w:spacing w:val="-13"/>
        </w:rPr>
        <w:t> </w:t>
      </w:r>
      <w:r>
        <w:rPr/>
        <w:t>the</w:t>
      </w:r>
      <w:r>
        <w:rPr>
          <w:spacing w:val="-14"/>
        </w:rPr>
        <w:t> </w:t>
      </w:r>
      <w:r>
        <w:rPr/>
        <w:t>property</w:t>
      </w:r>
      <w:r>
        <w:rPr>
          <w:spacing w:val="-13"/>
        </w:rPr>
        <w:t> </w:t>
      </w:r>
      <w:r>
        <w:rPr/>
        <w:t>is</w:t>
      </w:r>
      <w:r>
        <w:rPr>
          <w:spacing w:val="-13"/>
        </w:rPr>
        <w:t> </w:t>
      </w:r>
      <w:r>
        <w:rPr/>
        <w:t>in</w:t>
      </w:r>
      <w:r>
        <w:rPr>
          <w:spacing w:val="-14"/>
        </w:rPr>
        <w:t> </w:t>
      </w:r>
      <w:r>
        <w:rPr/>
        <w:t>compliance</w:t>
      </w:r>
      <w:r>
        <w:rPr>
          <w:spacing w:val="-14"/>
        </w:rPr>
        <w:t> </w:t>
      </w:r>
      <w:r>
        <w:rPr/>
        <w:t>with</w:t>
      </w:r>
      <w:r>
        <w:rPr>
          <w:spacing w:val="-14"/>
        </w:rPr>
        <w:t> </w:t>
      </w:r>
      <w:r>
        <w:rPr/>
        <w:t>state,</w:t>
      </w:r>
      <w:r>
        <w:rPr>
          <w:spacing w:val="-15"/>
        </w:rPr>
        <w:t> </w:t>
      </w:r>
      <w:r>
        <w:rPr/>
        <w:t>federal, and local laws, the repairs are being maintained, the property is the primary residence of the homeowner,</w:t>
      </w:r>
      <w:r>
        <w:rPr>
          <w:spacing w:val="-5"/>
        </w:rPr>
        <w:t> </w:t>
      </w:r>
      <w:r>
        <w:rPr/>
        <w:t>and</w:t>
      </w:r>
      <w:r>
        <w:rPr>
          <w:spacing w:val="-6"/>
        </w:rPr>
        <w:t> </w:t>
      </w:r>
      <w:r>
        <w:rPr/>
        <w:t>any</w:t>
      </w:r>
      <w:r>
        <w:rPr>
          <w:spacing w:val="-8"/>
        </w:rPr>
        <w:t> </w:t>
      </w:r>
      <w:r>
        <w:rPr/>
        <w:t>other</w:t>
      </w:r>
      <w:r>
        <w:rPr>
          <w:spacing w:val="-5"/>
        </w:rPr>
        <w:t> </w:t>
      </w:r>
      <w:r>
        <w:rPr/>
        <w:t>certifications</w:t>
      </w:r>
      <w:r>
        <w:rPr>
          <w:spacing w:val="-8"/>
        </w:rPr>
        <w:t> </w:t>
      </w:r>
      <w:r>
        <w:rPr/>
        <w:t>required</w:t>
      </w:r>
      <w:r>
        <w:rPr>
          <w:spacing w:val="-11"/>
        </w:rPr>
        <w:t> </w:t>
      </w:r>
      <w:r>
        <w:rPr/>
        <w:t>by</w:t>
      </w:r>
      <w:r>
        <w:rPr>
          <w:spacing w:val="-6"/>
        </w:rPr>
        <w:t> </w:t>
      </w:r>
      <w:r>
        <w:rPr/>
        <w:t>the</w:t>
      </w:r>
      <w:r>
        <w:rPr>
          <w:spacing w:val="-6"/>
        </w:rPr>
        <w:t> </w:t>
      </w:r>
      <w:r>
        <w:rPr/>
        <w:t>City</w:t>
      </w:r>
      <w:r>
        <w:rPr>
          <w:spacing w:val="-8"/>
        </w:rPr>
        <w:t> </w:t>
      </w:r>
      <w:r>
        <w:rPr/>
        <w:t>in</w:t>
      </w:r>
      <w:r>
        <w:rPr>
          <w:spacing w:val="-6"/>
        </w:rPr>
        <w:t> </w:t>
      </w:r>
      <w:r>
        <w:rPr/>
        <w:t>the</w:t>
      </w:r>
      <w:r>
        <w:rPr>
          <w:spacing w:val="-9"/>
        </w:rPr>
        <w:t> </w:t>
      </w:r>
      <w:r>
        <w:rPr/>
        <w:t>contract,</w:t>
      </w:r>
      <w:r>
        <w:rPr>
          <w:spacing w:val="-5"/>
        </w:rPr>
        <w:t> </w:t>
      </w:r>
      <w:r>
        <w:rPr/>
        <w:t>until</w:t>
      </w:r>
      <w:r>
        <w:rPr>
          <w:spacing w:val="-7"/>
        </w:rPr>
        <w:t> </w:t>
      </w:r>
      <w:r>
        <w:rPr/>
        <w:t>the</w:t>
      </w:r>
      <w:r>
        <w:rPr>
          <w:spacing w:val="-9"/>
        </w:rPr>
        <w:t> </w:t>
      </w:r>
      <w:r>
        <w:rPr/>
        <w:t>five</w:t>
      </w:r>
      <w:r>
        <w:rPr>
          <w:spacing w:val="-6"/>
        </w:rPr>
        <w:t> </w:t>
      </w:r>
      <w:r>
        <w:rPr/>
        <w:t>(5)</w:t>
      </w:r>
      <w:r>
        <w:rPr>
          <w:spacing w:val="-5"/>
        </w:rPr>
        <w:t> </w:t>
      </w:r>
      <w:r>
        <w:rPr/>
        <w:t>year affordability period has lapsed.</w:t>
      </w:r>
    </w:p>
    <w:p>
      <w:pPr>
        <w:pStyle w:val="BodyText"/>
        <w:spacing w:before="9"/>
        <w:rPr>
          <w:sz w:val="21"/>
        </w:rPr>
      </w:pPr>
    </w:p>
    <w:p>
      <w:pPr>
        <w:pStyle w:val="Heading5"/>
        <w:spacing w:before="1"/>
        <w:jc w:val="left"/>
      </w:pPr>
      <w:r>
        <w:rPr>
          <w:spacing w:val="-2"/>
        </w:rPr>
        <w:t>Goals</w:t>
      </w:r>
    </w:p>
    <w:p>
      <w:pPr>
        <w:pStyle w:val="BodyText"/>
        <w:spacing w:before="51"/>
        <w:ind w:left="120" w:right="155" w:hanging="1"/>
        <w:jc w:val="both"/>
      </w:pPr>
      <w:r>
        <w:rPr/>
        <w:t>The</w:t>
      </w:r>
      <w:r>
        <w:rPr>
          <w:spacing w:val="-2"/>
        </w:rPr>
        <w:t> </w:t>
      </w:r>
      <w:r>
        <w:rPr/>
        <w:t>West Dallas</w:t>
      </w:r>
      <w:r>
        <w:rPr>
          <w:spacing w:val="-1"/>
        </w:rPr>
        <w:t> </w:t>
      </w:r>
      <w:r>
        <w:rPr/>
        <w:t>TRP aims</w:t>
      </w:r>
      <w:r>
        <w:rPr>
          <w:spacing w:val="-1"/>
        </w:rPr>
        <w:t> </w:t>
      </w:r>
      <w:r>
        <w:rPr/>
        <w:t>to</w:t>
      </w:r>
      <w:r>
        <w:rPr>
          <w:spacing w:val="-4"/>
        </w:rPr>
        <w:t> </w:t>
      </w:r>
      <w:r>
        <w:rPr/>
        <w:t>serve</w:t>
      </w:r>
      <w:r>
        <w:rPr>
          <w:spacing w:val="-2"/>
        </w:rPr>
        <w:t> </w:t>
      </w:r>
      <w:r>
        <w:rPr/>
        <w:t>at least 100</w:t>
      </w:r>
      <w:r>
        <w:rPr>
          <w:spacing w:val="-4"/>
        </w:rPr>
        <w:t> </w:t>
      </w:r>
      <w:r>
        <w:rPr/>
        <w:t>homeowners. The</w:t>
      </w:r>
      <w:r>
        <w:rPr>
          <w:spacing w:val="-2"/>
        </w:rPr>
        <w:t> </w:t>
      </w:r>
      <w:r>
        <w:rPr/>
        <w:t>City’s</w:t>
      </w:r>
      <w:r>
        <w:rPr>
          <w:spacing w:val="-3"/>
        </w:rPr>
        <w:t> </w:t>
      </w:r>
      <w:r>
        <w:rPr/>
        <w:t>Request for Proposals for a contractor to provide the repairs in the West Dallas TRP will include local subcontractor </w:t>
      </w:r>
      <w:r>
        <w:rPr>
          <w:spacing w:val="-2"/>
        </w:rPr>
        <w:t>hiring.</w:t>
      </w:r>
    </w:p>
    <w:p>
      <w:pPr>
        <w:spacing w:after="0"/>
        <w:jc w:val="both"/>
        <w:sectPr>
          <w:pgSz w:w="12240" w:h="15840"/>
          <w:pgMar w:header="0" w:footer="1738" w:top="1360" w:bottom="1920" w:left="1320" w:right="1280"/>
        </w:sectPr>
      </w:pPr>
    </w:p>
    <w:p>
      <w:pPr>
        <w:pStyle w:val="Heading3"/>
        <w:spacing w:line="259" w:lineRule="auto"/>
        <w:ind w:right="624" w:hanging="1"/>
        <w:jc w:val="both"/>
      </w:pPr>
      <w:bookmarkStart w:name="Targeted Rehabilitation Program - Tenth " w:id="36"/>
      <w:bookmarkEnd w:id="36"/>
      <w:r>
        <w:rPr/>
      </w:r>
      <w:bookmarkStart w:name="_bookmark10" w:id="37"/>
      <w:bookmarkEnd w:id="37"/>
      <w:r>
        <w:rPr/>
      </w:r>
      <w:r>
        <w:rPr>
          <w:color w:val="001F5F"/>
        </w:rPr>
        <w:t>Targeted</w:t>
      </w:r>
      <w:r>
        <w:rPr>
          <w:color w:val="001F5F"/>
          <w:spacing w:val="-7"/>
        </w:rPr>
        <w:t> </w:t>
      </w:r>
      <w:r>
        <w:rPr>
          <w:color w:val="001F5F"/>
        </w:rPr>
        <w:t>Rehabilitation</w:t>
      </w:r>
      <w:r>
        <w:rPr>
          <w:color w:val="001F5F"/>
          <w:spacing w:val="-7"/>
        </w:rPr>
        <w:t> </w:t>
      </w:r>
      <w:r>
        <w:rPr>
          <w:color w:val="001F5F"/>
        </w:rPr>
        <w:t>Program</w:t>
      </w:r>
      <w:r>
        <w:rPr>
          <w:color w:val="001F5F"/>
          <w:spacing w:val="-1"/>
        </w:rPr>
        <w:t> </w:t>
      </w:r>
      <w:r>
        <w:rPr>
          <w:color w:val="001F5F"/>
        </w:rPr>
        <w:t>-</w:t>
      </w:r>
      <w:r>
        <w:rPr>
          <w:color w:val="001F5F"/>
          <w:spacing w:val="-5"/>
        </w:rPr>
        <w:t> </w:t>
      </w:r>
      <w:r>
        <w:rPr>
          <w:color w:val="001F5F"/>
        </w:rPr>
        <w:t>Tenth</w:t>
      </w:r>
      <w:r>
        <w:rPr>
          <w:color w:val="001F5F"/>
          <w:spacing w:val="-7"/>
        </w:rPr>
        <w:t> </w:t>
      </w:r>
      <w:r>
        <w:rPr>
          <w:color w:val="001F5F"/>
        </w:rPr>
        <w:t>Street</w:t>
      </w:r>
      <w:r>
        <w:rPr>
          <w:color w:val="001F5F"/>
          <w:spacing w:val="-7"/>
        </w:rPr>
        <w:t> </w:t>
      </w:r>
      <w:r>
        <w:rPr>
          <w:color w:val="001F5F"/>
        </w:rPr>
        <w:t>Historic</w:t>
      </w:r>
      <w:r>
        <w:rPr>
          <w:color w:val="001F5F"/>
          <w:spacing w:val="-5"/>
        </w:rPr>
        <w:t> </w:t>
      </w:r>
      <w:r>
        <w:rPr>
          <w:color w:val="001F5F"/>
        </w:rPr>
        <w:t>District Sub-Program Module </w:t>
      </w:r>
      <w:r>
        <w:rPr>
          <w:color w:val="FF0000"/>
        </w:rPr>
        <w:t>Pillars 1, 3, 6</w:t>
      </w:r>
    </w:p>
    <w:p>
      <w:pPr>
        <w:pStyle w:val="Heading5"/>
        <w:spacing w:before="302"/>
      </w:pPr>
      <w:r>
        <w:rPr/>
        <w:t>Need</w:t>
      </w:r>
      <w:r>
        <w:rPr>
          <w:spacing w:val="-4"/>
        </w:rPr>
        <w:t> </w:t>
      </w:r>
      <w:r>
        <w:rPr/>
        <w:t>or</w:t>
      </w:r>
      <w:r>
        <w:rPr>
          <w:spacing w:val="-5"/>
        </w:rPr>
        <w:t> </w:t>
      </w:r>
      <w:r>
        <w:rPr/>
        <w:t>targeted</w:t>
      </w:r>
      <w:r>
        <w:rPr>
          <w:spacing w:val="-5"/>
        </w:rPr>
        <w:t> </w:t>
      </w:r>
      <w:r>
        <w:rPr>
          <w:spacing w:val="-2"/>
        </w:rPr>
        <w:t>Issue</w:t>
      </w:r>
    </w:p>
    <w:p>
      <w:pPr>
        <w:pStyle w:val="BodyText"/>
        <w:spacing w:before="52"/>
        <w:ind w:left="120" w:right="154"/>
        <w:jc w:val="both"/>
      </w:pPr>
      <w:r>
        <w:rPr/>
        <w:pict>
          <v:shape style="position:absolute;margin-left:90.065002pt;margin-top:29.728817pt;width:395.3pt;height:419pt;mso-position-horizontal-relative:page;mso-position-vertical-relative:paragraph;z-index:-17719808" id="docshape54" coordorigin="1801,595" coordsize="7906,8380" path="m4498,7858l4492,7785,4477,7707,4455,7624,4432,7555,4403,7483,4367,7408,4325,7330,4276,7249,4237,7190,4200,7139,4200,7825,4197,7881,4186,7938,4167,7996,4138,8055,4097,8118,4044,8184,3979,8253,3674,8559,2216,7101,2517,6800,2598,6724,2672,6664,2740,6621,2801,6594,2868,6580,2941,6576,3020,6583,3105,6600,3195,6629,3255,6655,3317,6687,3380,6726,3446,6771,3514,6823,3584,6881,3656,6946,3729,7017,3789,7078,3845,7139,3896,7198,3943,7255,3986,7312,4025,7367,4059,7421,4101,7496,4136,7568,4163,7638,4183,7705,4196,7769,4200,7825,4200,7139,4194,7130,4148,7070,4098,7010,4045,6949,3989,6887,3929,6826,3865,6764,3801,6705,3737,6650,3673,6599,3643,6576,3609,6551,3546,6506,3482,6465,3419,6427,3346,6389,3274,6357,3203,6330,3132,6308,3062,6291,2992,6279,2923,6271,2850,6270,2779,6277,2709,6292,2642,6314,2577,6345,2528,6373,2476,6410,2420,6456,2359,6510,2294,6572,1801,7065,3710,8974,4124,8559,4226,8457,4287,8392,4341,8327,4386,8261,4424,8194,4454,8128,4476,8061,4491,7995,4498,7927,4498,7858xm6418,6265l6056,6138,5650,5995,5561,5966,5475,5942,5393,5922,5365,5917,5314,5908,5239,5898,5193,5896,5143,5899,5089,5906,5030,5917,5073,5848,5109,5778,5136,5709,5154,5640,5164,5571,5165,5503,5157,5435,5139,5358,5111,5281,5075,5207,5030,5134,4976,5063,4956,5041,4913,4995,4872,4957,4872,5514,4868,5570,4854,5624,4830,5681,4794,5739,4747,5800,4687,5864,4280,6271,3649,5640,4102,5187,4166,5130,4229,5086,4293,5057,4358,5042,4422,5041,4501,5056,4577,5086,4649,5130,4718,5190,4761,5237,4797,5288,4827,5342,4851,5398,4867,5457,4872,5514,4872,4957,4849,4935,4782,4883,4713,4837,4641,4799,4566,4767,4474,4738,4386,4725,4303,4727,4225,4743,4163,4768,4098,4805,4030,4853,3958,4913,3883,4984,3248,5618,5157,7527,5346,7337,4499,6490,4718,6271,4753,6236,4783,6209,4810,6188,4833,6174,4863,6160,4896,6149,4932,6142,4971,6138,5014,6138,5066,6143,5125,6153,5194,6169,5256,6187,5328,6208,5407,6233,5496,6262,6180,6503,6418,6265xm7780,4903l7415,4708,6555,4254,6555,4561,6070,5046,6030,4974,5989,4903,5748,4472,5708,4400,5668,4329,5629,4263,5590,4199,5550,4135,5509,4072,5467,4009,5424,3948,5380,3887,5436,3923,5498,3961,5564,4001,5635,4043,5792,4133,6555,4561,6555,4254,5862,3887,5286,3581,5082,3785,5277,4135,5316,4205,5701,4903,6207,5822,6441,6243,6642,6041,6565,5908,6298,5440,6221,5306,6481,5046,6820,4708,7173,4903,7565,5119,7780,4903xm8131,4552l7264,3685,7936,3014,7711,2788,7039,3460,6448,2869,7224,2093,6999,1868,6033,2834,7941,4742,8131,4552xm9707,2976l8024,1293,8497,820,8272,595,7138,1729,7363,1954,7834,1483,9517,3166,9707,2976xe" filled="true" fillcolor="#c0c0c0" stroked="false">
            <v:path arrowok="t"/>
            <v:fill opacity="32896f" type="solid"/>
            <w10:wrap type="none"/>
          </v:shape>
        </w:pict>
      </w:r>
      <w:r>
        <w:rPr/>
        <w:t>Historic properties can be costly to maintain. Many residents in the Tenth Street Historic District TRP</w:t>
      </w:r>
      <w:r>
        <w:rPr>
          <w:spacing w:val="-5"/>
        </w:rPr>
        <w:t> </w:t>
      </w:r>
      <w:r>
        <w:rPr/>
        <w:t>(“Tenth</w:t>
      </w:r>
      <w:r>
        <w:rPr>
          <w:spacing w:val="-5"/>
        </w:rPr>
        <w:t> </w:t>
      </w:r>
      <w:r>
        <w:rPr/>
        <w:t>Street</w:t>
      </w:r>
      <w:r>
        <w:rPr>
          <w:spacing w:val="-3"/>
        </w:rPr>
        <w:t> </w:t>
      </w:r>
      <w:r>
        <w:rPr/>
        <w:t>TRP”)</w:t>
      </w:r>
      <w:r>
        <w:rPr>
          <w:spacing w:val="-4"/>
        </w:rPr>
        <w:t> </w:t>
      </w:r>
      <w:r>
        <w:rPr/>
        <w:t>face</w:t>
      </w:r>
      <w:r>
        <w:rPr>
          <w:spacing w:val="-5"/>
        </w:rPr>
        <w:t> </w:t>
      </w:r>
      <w:r>
        <w:rPr/>
        <w:t>pressure</w:t>
      </w:r>
      <w:r>
        <w:rPr>
          <w:spacing w:val="-7"/>
        </w:rPr>
        <w:t> </w:t>
      </w:r>
      <w:r>
        <w:rPr/>
        <w:t>on</w:t>
      </w:r>
      <w:r>
        <w:rPr>
          <w:spacing w:val="-5"/>
        </w:rPr>
        <w:t> </w:t>
      </w:r>
      <w:r>
        <w:rPr/>
        <w:t>how</w:t>
      </w:r>
      <w:r>
        <w:rPr>
          <w:spacing w:val="-8"/>
        </w:rPr>
        <w:t> </w:t>
      </w:r>
      <w:r>
        <w:rPr/>
        <w:t>to</w:t>
      </w:r>
      <w:r>
        <w:rPr>
          <w:spacing w:val="-5"/>
        </w:rPr>
        <w:t> </w:t>
      </w:r>
      <w:r>
        <w:rPr/>
        <w:t>complete</w:t>
      </w:r>
      <w:r>
        <w:rPr>
          <w:spacing w:val="-7"/>
        </w:rPr>
        <w:t> </w:t>
      </w:r>
      <w:r>
        <w:rPr/>
        <w:t>needed</w:t>
      </w:r>
      <w:r>
        <w:rPr>
          <w:spacing w:val="-7"/>
        </w:rPr>
        <w:t> </w:t>
      </w:r>
      <w:r>
        <w:rPr/>
        <w:t>repairs</w:t>
      </w:r>
      <w:r>
        <w:rPr>
          <w:spacing w:val="-5"/>
        </w:rPr>
        <w:t> </w:t>
      </w:r>
      <w:r>
        <w:rPr/>
        <w:t>without</w:t>
      </w:r>
      <w:r>
        <w:rPr>
          <w:spacing w:val="-2"/>
        </w:rPr>
        <w:t> </w:t>
      </w:r>
      <w:r>
        <w:rPr/>
        <w:t>violating</w:t>
      </w:r>
      <w:r>
        <w:rPr>
          <w:spacing w:val="-7"/>
        </w:rPr>
        <w:t> </w:t>
      </w:r>
      <w:r>
        <w:rPr/>
        <w:t>the requirements as set forth in the Historic District Ordinance (Ordinance #22852). This TRP is directed</w:t>
      </w:r>
      <w:r>
        <w:rPr>
          <w:spacing w:val="-9"/>
        </w:rPr>
        <w:t> </w:t>
      </w:r>
      <w:r>
        <w:rPr/>
        <w:t>to</w:t>
      </w:r>
      <w:r>
        <w:rPr>
          <w:spacing w:val="-9"/>
        </w:rPr>
        <w:t> </w:t>
      </w:r>
      <w:r>
        <w:rPr/>
        <w:t>aid</w:t>
      </w:r>
      <w:r>
        <w:rPr>
          <w:spacing w:val="-9"/>
        </w:rPr>
        <w:t> </w:t>
      </w:r>
      <w:r>
        <w:rPr/>
        <w:t>homeowners</w:t>
      </w:r>
      <w:r>
        <w:rPr>
          <w:spacing w:val="-8"/>
        </w:rPr>
        <w:t> </w:t>
      </w:r>
      <w:r>
        <w:rPr/>
        <w:t>who</w:t>
      </w:r>
      <w:r>
        <w:rPr>
          <w:spacing w:val="-9"/>
        </w:rPr>
        <w:t> </w:t>
      </w:r>
      <w:r>
        <w:rPr/>
        <w:t>live</w:t>
      </w:r>
      <w:r>
        <w:rPr>
          <w:spacing w:val="-9"/>
        </w:rPr>
        <w:t> </w:t>
      </w:r>
      <w:r>
        <w:rPr/>
        <w:t>in</w:t>
      </w:r>
      <w:r>
        <w:rPr>
          <w:spacing w:val="-9"/>
        </w:rPr>
        <w:t> </w:t>
      </w:r>
      <w:r>
        <w:rPr/>
        <w:t>their</w:t>
      </w:r>
      <w:r>
        <w:rPr>
          <w:spacing w:val="-8"/>
        </w:rPr>
        <w:t> </w:t>
      </w:r>
      <w:r>
        <w:rPr/>
        <w:t>homes</w:t>
      </w:r>
      <w:r>
        <w:rPr>
          <w:spacing w:val="-8"/>
        </w:rPr>
        <w:t> </w:t>
      </w:r>
      <w:r>
        <w:rPr/>
        <w:t>in</w:t>
      </w:r>
      <w:r>
        <w:rPr>
          <w:spacing w:val="-9"/>
        </w:rPr>
        <w:t> </w:t>
      </w:r>
      <w:r>
        <w:rPr/>
        <w:t>Tenth</w:t>
      </w:r>
      <w:r>
        <w:rPr>
          <w:spacing w:val="-9"/>
        </w:rPr>
        <w:t> </w:t>
      </w:r>
      <w:r>
        <w:rPr/>
        <w:t>Street</w:t>
      </w:r>
      <w:r>
        <w:rPr>
          <w:spacing w:val="-7"/>
        </w:rPr>
        <w:t> </w:t>
      </w:r>
      <w:r>
        <w:rPr/>
        <w:t>who</w:t>
      </w:r>
      <w:r>
        <w:rPr>
          <w:spacing w:val="-9"/>
        </w:rPr>
        <w:t> </w:t>
      </w:r>
      <w:r>
        <w:rPr/>
        <w:t>have</w:t>
      </w:r>
      <w:r>
        <w:rPr>
          <w:spacing w:val="-9"/>
        </w:rPr>
        <w:t> </w:t>
      </w:r>
      <w:r>
        <w:rPr/>
        <w:t>home</w:t>
      </w:r>
      <w:r>
        <w:rPr>
          <w:spacing w:val="-9"/>
        </w:rPr>
        <w:t> </w:t>
      </w:r>
      <w:r>
        <w:rPr/>
        <w:t>improvement needs but are financially unable to address them. The funding will have a priority on structural elements and then general routine maintenance items. All work must comply and receive a Certificate of Appropriateness and/or Landmark Commission approval before work can be authorized, and must otherwise comply with all applicable state, federal and local laws.</w:t>
      </w:r>
    </w:p>
    <w:p>
      <w:pPr>
        <w:pStyle w:val="BodyText"/>
      </w:pPr>
    </w:p>
    <w:p>
      <w:pPr>
        <w:pStyle w:val="Heading5"/>
        <w:jc w:val="left"/>
      </w:pPr>
      <w:r>
        <w:rPr>
          <w:spacing w:val="-2"/>
        </w:rPr>
        <w:t>Outreach</w:t>
      </w:r>
    </w:p>
    <w:p>
      <w:pPr>
        <w:pStyle w:val="BodyText"/>
        <w:spacing w:before="49"/>
        <w:ind w:left="120" w:right="154"/>
        <w:jc w:val="both"/>
      </w:pPr>
      <w:r>
        <w:rPr/>
        <w:t>The Tenth Street TRP design was informed by resident feedback. Resident-only focus groups were held to gather information on targeted beneficiaries and needed improvements. The TRP was then developed by staff and details of the program solidified.</w:t>
      </w:r>
    </w:p>
    <w:p>
      <w:pPr>
        <w:pStyle w:val="BodyText"/>
        <w:spacing w:before="1"/>
      </w:pPr>
    </w:p>
    <w:p>
      <w:pPr>
        <w:pStyle w:val="BodyText"/>
        <w:ind w:left="120" w:right="155"/>
        <w:jc w:val="both"/>
      </w:pPr>
      <w:r>
        <w:rPr/>
        <w:t>The Housing Policy Task Force (HPTF) reviewed the TRP on February 21, 2020 and February 28, 2020 and made recommendations and comments on the overall policy. That feedback was also included in the general policy.</w:t>
      </w:r>
    </w:p>
    <w:p>
      <w:pPr>
        <w:pStyle w:val="BodyText"/>
        <w:spacing w:before="10"/>
        <w:rPr>
          <w:sz w:val="21"/>
        </w:rPr>
      </w:pPr>
    </w:p>
    <w:p>
      <w:pPr>
        <w:pStyle w:val="Heading5"/>
        <w:jc w:val="left"/>
      </w:pPr>
      <w:r>
        <w:rPr/>
        <w:t>Funding</w:t>
      </w:r>
      <w:r>
        <w:rPr>
          <w:spacing w:val="-3"/>
        </w:rPr>
        <w:t> </w:t>
      </w:r>
      <w:r>
        <w:rPr>
          <w:spacing w:val="-2"/>
        </w:rPr>
        <w:t>Source</w:t>
      </w:r>
    </w:p>
    <w:p>
      <w:pPr>
        <w:pStyle w:val="BodyText"/>
        <w:spacing w:line="252" w:lineRule="exact" w:before="52"/>
        <w:ind w:left="120"/>
      </w:pPr>
      <w:r>
        <w:rPr/>
        <w:t>Equity</w:t>
      </w:r>
      <w:r>
        <w:rPr>
          <w:spacing w:val="-8"/>
        </w:rPr>
        <w:t> </w:t>
      </w:r>
      <w:r>
        <w:rPr/>
        <w:t>Revitalization</w:t>
      </w:r>
      <w:r>
        <w:rPr>
          <w:spacing w:val="-9"/>
        </w:rPr>
        <w:t> </w:t>
      </w:r>
      <w:r>
        <w:rPr/>
        <w:t>Capital</w:t>
      </w:r>
      <w:r>
        <w:rPr>
          <w:spacing w:val="-8"/>
        </w:rPr>
        <w:t> </w:t>
      </w:r>
      <w:r>
        <w:rPr>
          <w:spacing w:val="-4"/>
        </w:rPr>
        <w:t>Fund</w:t>
      </w:r>
    </w:p>
    <w:p>
      <w:pPr>
        <w:pStyle w:val="BodyText"/>
        <w:ind w:left="120" w:hanging="1"/>
      </w:pPr>
      <w:r>
        <w:rPr/>
        <w:t>The</w:t>
      </w:r>
      <w:r>
        <w:rPr>
          <w:spacing w:val="-14"/>
        </w:rPr>
        <w:t> </w:t>
      </w:r>
      <w:r>
        <w:rPr/>
        <w:t>total</w:t>
      </w:r>
      <w:r>
        <w:rPr>
          <w:spacing w:val="-14"/>
        </w:rPr>
        <w:t> </w:t>
      </w:r>
      <w:r>
        <w:rPr/>
        <w:t>amount</w:t>
      </w:r>
      <w:r>
        <w:rPr>
          <w:spacing w:val="-15"/>
        </w:rPr>
        <w:t> </w:t>
      </w:r>
      <w:r>
        <w:rPr/>
        <w:t>available</w:t>
      </w:r>
      <w:r>
        <w:rPr>
          <w:spacing w:val="-14"/>
        </w:rPr>
        <w:t> </w:t>
      </w:r>
      <w:r>
        <w:rPr/>
        <w:t>is</w:t>
      </w:r>
      <w:r>
        <w:rPr>
          <w:spacing w:val="-13"/>
        </w:rPr>
        <w:t> </w:t>
      </w:r>
      <w:r>
        <w:rPr/>
        <w:t>$750,000</w:t>
      </w:r>
      <w:r>
        <w:rPr>
          <w:spacing w:val="-12"/>
        </w:rPr>
        <w:t> </w:t>
      </w:r>
      <w:r>
        <w:rPr/>
        <w:t>and</w:t>
      </w:r>
      <w:r>
        <w:rPr>
          <w:spacing w:val="-13"/>
        </w:rPr>
        <w:t> </w:t>
      </w:r>
      <w:r>
        <w:rPr/>
        <w:t>each</w:t>
      </w:r>
      <w:r>
        <w:rPr>
          <w:spacing w:val="-14"/>
        </w:rPr>
        <w:t> </w:t>
      </w:r>
      <w:r>
        <w:rPr/>
        <w:t>grant</w:t>
      </w:r>
      <w:r>
        <w:rPr>
          <w:spacing w:val="-12"/>
        </w:rPr>
        <w:t> </w:t>
      </w:r>
      <w:r>
        <w:rPr/>
        <w:t>will</w:t>
      </w:r>
      <w:r>
        <w:rPr>
          <w:spacing w:val="-14"/>
        </w:rPr>
        <w:t> </w:t>
      </w:r>
      <w:r>
        <w:rPr/>
        <w:t>be</w:t>
      </w:r>
      <w:r>
        <w:rPr>
          <w:spacing w:val="-14"/>
        </w:rPr>
        <w:t> </w:t>
      </w:r>
      <w:r>
        <w:rPr/>
        <w:t>in</w:t>
      </w:r>
      <w:r>
        <w:rPr>
          <w:spacing w:val="-14"/>
        </w:rPr>
        <w:t> </w:t>
      </w:r>
      <w:r>
        <w:rPr/>
        <w:t>an</w:t>
      </w:r>
      <w:r>
        <w:rPr>
          <w:spacing w:val="-14"/>
        </w:rPr>
        <w:t> </w:t>
      </w:r>
      <w:r>
        <w:rPr/>
        <w:t>amount</w:t>
      </w:r>
      <w:r>
        <w:rPr>
          <w:spacing w:val="-15"/>
        </w:rPr>
        <w:t> </w:t>
      </w:r>
      <w:r>
        <w:rPr/>
        <w:t>not</w:t>
      </w:r>
      <w:r>
        <w:rPr>
          <w:spacing w:val="-12"/>
        </w:rPr>
        <w:t> </w:t>
      </w:r>
      <w:r>
        <w:rPr/>
        <w:t>to</w:t>
      </w:r>
      <w:r>
        <w:rPr>
          <w:spacing w:val="-16"/>
        </w:rPr>
        <w:t> </w:t>
      </w:r>
      <w:r>
        <w:rPr/>
        <w:t>exceed</w:t>
      </w:r>
      <w:r>
        <w:rPr>
          <w:spacing w:val="-13"/>
        </w:rPr>
        <w:t> </w:t>
      </w:r>
      <w:r>
        <w:rPr/>
        <w:t>$50,000 per property. It will be awarded based upon applicants meeting all criteria as listed herein.</w:t>
      </w:r>
    </w:p>
    <w:p>
      <w:pPr>
        <w:pStyle w:val="BodyText"/>
        <w:spacing w:before="10"/>
        <w:rPr>
          <w:sz w:val="21"/>
        </w:rPr>
      </w:pPr>
    </w:p>
    <w:p>
      <w:pPr>
        <w:pStyle w:val="Heading5"/>
        <w:spacing w:line="288" w:lineRule="auto"/>
        <w:ind w:right="7011"/>
      </w:pPr>
      <w:r>
        <w:rPr/>
        <w:t>Eligibility</w:t>
      </w:r>
      <w:r>
        <w:rPr>
          <w:spacing w:val="-16"/>
        </w:rPr>
        <w:t> </w:t>
      </w:r>
      <w:r>
        <w:rPr/>
        <w:t>Requirements Applicant Eligibility</w:t>
      </w:r>
    </w:p>
    <w:p>
      <w:pPr>
        <w:pStyle w:val="BodyText"/>
        <w:ind w:left="120" w:right="153"/>
        <w:jc w:val="both"/>
      </w:pPr>
      <w:r>
        <w:rPr/>
        <w:t>Applicants (sometimes referred to as homeowner) must meet all of the applicant criteria in the Targeted Rehabilitation Program and must also own and live in the home to be repaired. If Applicant, intends to rehabilitate the property to be their primary residence, they may also be eligible</w:t>
      </w:r>
      <w:r>
        <w:rPr>
          <w:spacing w:val="-15"/>
        </w:rPr>
        <w:t> </w:t>
      </w:r>
      <w:r>
        <w:rPr/>
        <w:t>to</w:t>
      </w:r>
      <w:r>
        <w:rPr>
          <w:spacing w:val="-14"/>
        </w:rPr>
        <w:t> </w:t>
      </w:r>
      <w:r>
        <w:rPr/>
        <w:t>apply,</w:t>
      </w:r>
      <w:r>
        <w:rPr>
          <w:spacing w:val="-12"/>
        </w:rPr>
        <w:t> </w:t>
      </w:r>
      <w:r>
        <w:rPr/>
        <w:t>given</w:t>
      </w:r>
      <w:r>
        <w:rPr>
          <w:spacing w:val="-14"/>
        </w:rPr>
        <w:t> </w:t>
      </w:r>
      <w:r>
        <w:rPr/>
        <w:t>they</w:t>
      </w:r>
      <w:r>
        <w:rPr>
          <w:spacing w:val="-13"/>
        </w:rPr>
        <w:t> </w:t>
      </w:r>
      <w:r>
        <w:rPr/>
        <w:t>occupy</w:t>
      </w:r>
      <w:r>
        <w:rPr>
          <w:spacing w:val="-16"/>
        </w:rPr>
        <w:t> </w:t>
      </w:r>
      <w:r>
        <w:rPr/>
        <w:t>the</w:t>
      </w:r>
      <w:r>
        <w:rPr>
          <w:spacing w:val="-14"/>
        </w:rPr>
        <w:t> </w:t>
      </w:r>
      <w:r>
        <w:rPr/>
        <w:t>dwelling</w:t>
      </w:r>
      <w:r>
        <w:rPr>
          <w:spacing w:val="-14"/>
        </w:rPr>
        <w:t> </w:t>
      </w:r>
      <w:r>
        <w:rPr/>
        <w:t>within</w:t>
      </w:r>
      <w:r>
        <w:rPr>
          <w:spacing w:val="-14"/>
        </w:rPr>
        <w:t> </w:t>
      </w:r>
      <w:r>
        <w:rPr/>
        <w:t>6</w:t>
      </w:r>
      <w:r>
        <w:rPr>
          <w:spacing w:val="-14"/>
        </w:rPr>
        <w:t> </w:t>
      </w:r>
      <w:r>
        <w:rPr/>
        <w:t>months</w:t>
      </w:r>
      <w:r>
        <w:rPr>
          <w:spacing w:val="-13"/>
        </w:rPr>
        <w:t> </w:t>
      </w:r>
      <w:r>
        <w:rPr/>
        <w:t>of</w:t>
      </w:r>
      <w:r>
        <w:rPr>
          <w:spacing w:val="-12"/>
        </w:rPr>
        <w:t> </w:t>
      </w:r>
      <w:r>
        <w:rPr/>
        <w:t>grant</w:t>
      </w:r>
      <w:r>
        <w:rPr>
          <w:spacing w:val="-12"/>
        </w:rPr>
        <w:t> </w:t>
      </w:r>
      <w:r>
        <w:rPr/>
        <w:t>award.</w:t>
      </w:r>
      <w:r>
        <w:rPr>
          <w:spacing w:val="36"/>
        </w:rPr>
        <w:t> </w:t>
      </w:r>
      <w:r>
        <w:rPr/>
        <w:t>Applicant</w:t>
      </w:r>
      <w:r>
        <w:rPr>
          <w:spacing w:val="-12"/>
        </w:rPr>
        <w:t> </w:t>
      </w:r>
      <w:r>
        <w:rPr/>
        <w:t>income must be at or below 120% AMI. Applicant(s) must provide a deed showing the conveyance of ownership, or similar documentation acceptable to the City in its sole discretion, that proves ownership in fee simple. All owners of the property must sign all grant documents.</w:t>
      </w:r>
    </w:p>
    <w:p>
      <w:pPr>
        <w:pStyle w:val="BodyText"/>
        <w:spacing w:before="1"/>
      </w:pPr>
    </w:p>
    <w:p>
      <w:pPr>
        <w:pStyle w:val="Heading5"/>
        <w:jc w:val="left"/>
      </w:pPr>
      <w:r>
        <w:rPr/>
        <w:t>Property</w:t>
      </w:r>
      <w:r>
        <w:rPr>
          <w:spacing w:val="-6"/>
        </w:rPr>
        <w:t> </w:t>
      </w:r>
      <w:r>
        <w:rPr>
          <w:spacing w:val="-2"/>
        </w:rPr>
        <w:t>Eligibility</w:t>
      </w:r>
    </w:p>
    <w:p>
      <w:pPr>
        <w:pStyle w:val="BodyText"/>
        <w:spacing w:before="50"/>
        <w:ind w:left="120"/>
      </w:pPr>
      <w:r>
        <w:rPr/>
        <w:t>Properties</w:t>
      </w:r>
      <w:r>
        <w:rPr>
          <w:spacing w:val="-4"/>
        </w:rPr>
        <w:t> </w:t>
      </w:r>
      <w:r>
        <w:rPr/>
        <w:t>must</w:t>
      </w:r>
      <w:r>
        <w:rPr>
          <w:spacing w:val="-2"/>
        </w:rPr>
        <w:t> </w:t>
      </w:r>
      <w:r>
        <w:rPr/>
        <w:t>meet</w:t>
      </w:r>
      <w:r>
        <w:rPr>
          <w:spacing w:val="-3"/>
        </w:rPr>
        <w:t> </w:t>
      </w:r>
      <w:r>
        <w:rPr/>
        <w:t>the</w:t>
      </w:r>
      <w:r>
        <w:rPr>
          <w:spacing w:val="-2"/>
        </w:rPr>
        <w:t> </w:t>
      </w:r>
      <w:r>
        <w:rPr/>
        <w:t>eligibility</w:t>
      </w:r>
      <w:r>
        <w:rPr>
          <w:spacing w:val="-1"/>
        </w:rPr>
        <w:t> </w:t>
      </w:r>
      <w:r>
        <w:rPr/>
        <w:t>criteria</w:t>
      </w:r>
      <w:r>
        <w:rPr>
          <w:spacing w:val="-2"/>
        </w:rPr>
        <w:t> </w:t>
      </w:r>
      <w:r>
        <w:rPr/>
        <w:t>in</w:t>
      </w:r>
      <w:r>
        <w:rPr>
          <w:spacing w:val="-4"/>
        </w:rPr>
        <w:t> </w:t>
      </w:r>
      <w:r>
        <w:rPr/>
        <w:t>the</w:t>
      </w:r>
      <w:r>
        <w:rPr>
          <w:spacing w:val="-4"/>
        </w:rPr>
        <w:t> </w:t>
      </w:r>
      <w:r>
        <w:rPr/>
        <w:t>Targeted</w:t>
      </w:r>
      <w:r>
        <w:rPr>
          <w:spacing w:val="-4"/>
        </w:rPr>
        <w:t> </w:t>
      </w:r>
      <w:r>
        <w:rPr/>
        <w:t>Rehabilitation</w:t>
      </w:r>
      <w:r>
        <w:rPr>
          <w:spacing w:val="-4"/>
        </w:rPr>
        <w:t> </w:t>
      </w:r>
      <w:r>
        <w:rPr/>
        <w:t>Program</w:t>
      </w:r>
      <w:r>
        <w:rPr>
          <w:spacing w:val="-3"/>
        </w:rPr>
        <w:t> </w:t>
      </w:r>
      <w:r>
        <w:rPr/>
        <w:t>and</w:t>
      </w:r>
      <w:r>
        <w:rPr>
          <w:spacing w:val="-4"/>
        </w:rPr>
        <w:t> </w:t>
      </w:r>
      <w:r>
        <w:rPr/>
        <w:t>must also </w:t>
      </w:r>
      <w:r>
        <w:rPr>
          <w:spacing w:val="-4"/>
        </w:rPr>
        <w:t>be:</w:t>
      </w:r>
    </w:p>
    <w:p>
      <w:pPr>
        <w:pStyle w:val="ListParagraph"/>
        <w:numPr>
          <w:ilvl w:val="0"/>
          <w:numId w:val="12"/>
        </w:numPr>
        <w:tabs>
          <w:tab w:pos="840" w:val="left" w:leader="none"/>
          <w:tab w:pos="841" w:val="left" w:leader="none"/>
        </w:tabs>
        <w:spacing w:line="268" w:lineRule="exact" w:before="2" w:after="0"/>
        <w:ind w:left="840" w:right="0" w:hanging="361"/>
        <w:jc w:val="left"/>
        <w:rPr>
          <w:sz w:val="22"/>
        </w:rPr>
      </w:pPr>
      <w:r>
        <w:rPr>
          <w:sz w:val="22"/>
        </w:rPr>
        <w:t>Single-family</w:t>
      </w:r>
      <w:r>
        <w:rPr>
          <w:spacing w:val="-8"/>
          <w:sz w:val="22"/>
        </w:rPr>
        <w:t> </w:t>
      </w:r>
      <w:r>
        <w:rPr>
          <w:sz w:val="22"/>
        </w:rPr>
        <w:t>or</w:t>
      </w:r>
      <w:r>
        <w:rPr>
          <w:spacing w:val="-7"/>
          <w:sz w:val="22"/>
        </w:rPr>
        <w:t> </w:t>
      </w:r>
      <w:r>
        <w:rPr>
          <w:spacing w:val="-2"/>
          <w:sz w:val="22"/>
        </w:rPr>
        <w:t>duplex</w:t>
      </w:r>
    </w:p>
    <w:p>
      <w:pPr>
        <w:pStyle w:val="ListParagraph"/>
        <w:numPr>
          <w:ilvl w:val="0"/>
          <w:numId w:val="12"/>
        </w:numPr>
        <w:tabs>
          <w:tab w:pos="840" w:val="left" w:leader="none"/>
          <w:tab w:pos="841" w:val="left" w:leader="none"/>
        </w:tabs>
        <w:spacing w:line="268" w:lineRule="exact" w:before="0" w:after="0"/>
        <w:ind w:left="840" w:right="0" w:hanging="361"/>
        <w:jc w:val="left"/>
        <w:rPr>
          <w:sz w:val="22"/>
        </w:rPr>
      </w:pPr>
      <w:r>
        <w:rPr>
          <w:sz w:val="22"/>
        </w:rPr>
        <w:t>Homeowner</w:t>
      </w:r>
      <w:r>
        <w:rPr>
          <w:spacing w:val="-7"/>
          <w:sz w:val="22"/>
        </w:rPr>
        <w:t> </w:t>
      </w:r>
      <w:r>
        <w:rPr>
          <w:spacing w:val="-2"/>
          <w:sz w:val="22"/>
        </w:rPr>
        <w:t>occupied</w:t>
      </w:r>
    </w:p>
    <w:p>
      <w:pPr>
        <w:pStyle w:val="ListParagraph"/>
        <w:numPr>
          <w:ilvl w:val="0"/>
          <w:numId w:val="12"/>
        </w:numPr>
        <w:tabs>
          <w:tab w:pos="840" w:val="left" w:leader="none"/>
          <w:tab w:pos="841" w:val="left" w:leader="none"/>
        </w:tabs>
        <w:spacing w:line="237" w:lineRule="auto" w:before="2" w:after="0"/>
        <w:ind w:left="840" w:right="157" w:hanging="361"/>
        <w:jc w:val="left"/>
        <w:rPr>
          <w:sz w:val="22"/>
        </w:rPr>
      </w:pPr>
      <w:r>
        <w:rPr>
          <w:sz w:val="22"/>
        </w:rPr>
        <w:t>Contributing</w:t>
      </w:r>
      <w:r>
        <w:rPr>
          <w:spacing w:val="40"/>
          <w:sz w:val="22"/>
        </w:rPr>
        <w:t> </w:t>
      </w:r>
      <w:r>
        <w:rPr>
          <w:sz w:val="22"/>
        </w:rPr>
        <w:t>or</w:t>
      </w:r>
      <w:r>
        <w:rPr>
          <w:spacing w:val="40"/>
          <w:sz w:val="22"/>
        </w:rPr>
        <w:t> </w:t>
      </w:r>
      <w:r>
        <w:rPr>
          <w:sz w:val="22"/>
        </w:rPr>
        <w:t>non-contributing</w:t>
      </w:r>
      <w:r>
        <w:rPr>
          <w:spacing w:val="40"/>
          <w:sz w:val="22"/>
        </w:rPr>
        <w:t> </w:t>
      </w:r>
      <w:r>
        <w:rPr>
          <w:sz w:val="22"/>
        </w:rPr>
        <w:t>structure</w:t>
      </w:r>
      <w:r>
        <w:rPr>
          <w:spacing w:val="40"/>
          <w:sz w:val="22"/>
        </w:rPr>
        <w:t> </w:t>
      </w:r>
      <w:r>
        <w:rPr>
          <w:sz w:val="22"/>
        </w:rPr>
        <w:t>provided</w:t>
      </w:r>
      <w:r>
        <w:rPr>
          <w:spacing w:val="40"/>
          <w:sz w:val="22"/>
        </w:rPr>
        <w:t> </w:t>
      </w:r>
      <w:r>
        <w:rPr>
          <w:sz w:val="22"/>
        </w:rPr>
        <w:t>homeowner</w:t>
      </w:r>
      <w:r>
        <w:rPr>
          <w:spacing w:val="40"/>
          <w:sz w:val="22"/>
        </w:rPr>
        <w:t> </w:t>
      </w:r>
      <w:r>
        <w:rPr>
          <w:sz w:val="22"/>
        </w:rPr>
        <w:t>agrees</w:t>
      </w:r>
      <w:r>
        <w:rPr>
          <w:spacing w:val="40"/>
          <w:sz w:val="22"/>
        </w:rPr>
        <w:t> </w:t>
      </w:r>
      <w:r>
        <w:rPr>
          <w:sz w:val="22"/>
        </w:rPr>
        <w:t>to</w:t>
      </w:r>
      <w:r>
        <w:rPr>
          <w:spacing w:val="40"/>
          <w:sz w:val="22"/>
        </w:rPr>
        <w:t> </w:t>
      </w:r>
      <w:r>
        <w:rPr>
          <w:sz w:val="22"/>
        </w:rPr>
        <w:t>work</w:t>
      </w:r>
      <w:r>
        <w:rPr>
          <w:spacing w:val="40"/>
          <w:sz w:val="22"/>
        </w:rPr>
        <w:t> </w:t>
      </w:r>
      <w:r>
        <w:rPr>
          <w:sz w:val="22"/>
        </w:rPr>
        <w:t>with Landmark Commission to rehab home so that it becomes a contributing structure; and</w:t>
      </w:r>
    </w:p>
    <w:p>
      <w:pPr>
        <w:pStyle w:val="ListParagraph"/>
        <w:numPr>
          <w:ilvl w:val="0"/>
          <w:numId w:val="12"/>
        </w:numPr>
        <w:tabs>
          <w:tab w:pos="840" w:val="left" w:leader="none"/>
          <w:tab w:pos="841" w:val="left" w:leader="none"/>
        </w:tabs>
        <w:spacing w:line="240" w:lineRule="auto" w:before="1" w:after="0"/>
        <w:ind w:left="840" w:right="0" w:hanging="361"/>
        <w:jc w:val="left"/>
        <w:rPr>
          <w:sz w:val="22"/>
        </w:rPr>
      </w:pPr>
      <w:r>
        <w:rPr>
          <w:sz w:val="22"/>
        </w:rPr>
        <w:t>Be</w:t>
      </w:r>
      <w:r>
        <w:rPr>
          <w:spacing w:val="-7"/>
          <w:sz w:val="22"/>
        </w:rPr>
        <w:t> </w:t>
      </w:r>
      <w:r>
        <w:rPr>
          <w:sz w:val="22"/>
        </w:rPr>
        <w:t>located</w:t>
      </w:r>
      <w:r>
        <w:rPr>
          <w:spacing w:val="-5"/>
          <w:sz w:val="22"/>
        </w:rPr>
        <w:t> </w:t>
      </w:r>
      <w:r>
        <w:rPr>
          <w:sz w:val="22"/>
        </w:rPr>
        <w:t>within</w:t>
      </w:r>
      <w:r>
        <w:rPr>
          <w:spacing w:val="-6"/>
          <w:sz w:val="22"/>
        </w:rPr>
        <w:t> </w:t>
      </w:r>
      <w:r>
        <w:rPr>
          <w:sz w:val="22"/>
        </w:rPr>
        <w:t>the</w:t>
      </w:r>
      <w:r>
        <w:rPr>
          <w:spacing w:val="-7"/>
          <w:sz w:val="22"/>
        </w:rPr>
        <w:t> </w:t>
      </w:r>
      <w:r>
        <w:rPr>
          <w:sz w:val="22"/>
        </w:rPr>
        <w:t>established</w:t>
      </w:r>
      <w:r>
        <w:rPr>
          <w:spacing w:val="-4"/>
          <w:sz w:val="22"/>
        </w:rPr>
        <w:t> </w:t>
      </w:r>
      <w:r>
        <w:rPr>
          <w:sz w:val="22"/>
        </w:rPr>
        <w:t>Tenth</w:t>
      </w:r>
      <w:r>
        <w:rPr>
          <w:spacing w:val="-5"/>
          <w:sz w:val="22"/>
        </w:rPr>
        <w:t> </w:t>
      </w:r>
      <w:r>
        <w:rPr>
          <w:sz w:val="22"/>
        </w:rPr>
        <w:t>Street</w:t>
      </w:r>
      <w:r>
        <w:rPr>
          <w:spacing w:val="-3"/>
          <w:sz w:val="22"/>
        </w:rPr>
        <w:t> </w:t>
      </w:r>
      <w:r>
        <w:rPr>
          <w:sz w:val="22"/>
        </w:rPr>
        <w:t>Historic</w:t>
      </w:r>
      <w:r>
        <w:rPr>
          <w:spacing w:val="-6"/>
          <w:sz w:val="22"/>
        </w:rPr>
        <w:t> </w:t>
      </w:r>
      <w:r>
        <w:rPr>
          <w:sz w:val="22"/>
        </w:rPr>
        <w:t>District</w:t>
      </w:r>
      <w:r>
        <w:rPr>
          <w:spacing w:val="-6"/>
          <w:sz w:val="22"/>
        </w:rPr>
        <w:t> </w:t>
      </w:r>
      <w:r>
        <w:rPr>
          <w:sz w:val="22"/>
        </w:rPr>
        <w:t>as</w:t>
      </w:r>
      <w:r>
        <w:rPr>
          <w:spacing w:val="-6"/>
          <w:sz w:val="22"/>
        </w:rPr>
        <w:t> </w:t>
      </w:r>
      <w:r>
        <w:rPr>
          <w:sz w:val="22"/>
        </w:rPr>
        <w:t>defined</w:t>
      </w:r>
      <w:r>
        <w:rPr>
          <w:spacing w:val="-7"/>
          <w:sz w:val="22"/>
        </w:rPr>
        <w:t> </w:t>
      </w:r>
      <w:r>
        <w:rPr>
          <w:sz w:val="22"/>
        </w:rPr>
        <w:t>by</w:t>
      </w:r>
      <w:r>
        <w:rPr>
          <w:spacing w:val="-3"/>
          <w:sz w:val="22"/>
        </w:rPr>
        <w:t> </w:t>
      </w:r>
      <w:r>
        <w:rPr>
          <w:spacing w:val="-2"/>
          <w:sz w:val="22"/>
        </w:rPr>
        <w:t>Ordinance</w:t>
      </w:r>
    </w:p>
    <w:p>
      <w:pPr>
        <w:spacing w:after="0" w:line="240" w:lineRule="auto"/>
        <w:jc w:val="left"/>
        <w:rPr>
          <w:sz w:val="22"/>
        </w:rPr>
        <w:sectPr>
          <w:pgSz w:w="12240" w:h="15840"/>
          <w:pgMar w:header="0" w:footer="1738" w:top="1380" w:bottom="1920" w:left="1320" w:right="1280"/>
        </w:sectPr>
      </w:pPr>
    </w:p>
    <w:p>
      <w:pPr>
        <w:pStyle w:val="BodyText"/>
        <w:spacing w:before="80"/>
        <w:ind w:left="840"/>
      </w:pPr>
      <w:r>
        <w:rPr>
          <w:spacing w:val="-2"/>
        </w:rPr>
        <w:t>#22852.</w:t>
      </w:r>
    </w:p>
    <w:p>
      <w:pPr>
        <w:pStyle w:val="BodyText"/>
      </w:pPr>
    </w:p>
    <w:p>
      <w:pPr>
        <w:pStyle w:val="Heading5"/>
        <w:ind w:left="119"/>
      </w:pPr>
      <w:r>
        <w:rPr/>
        <w:t>Eligible</w:t>
      </w:r>
      <w:r>
        <w:rPr>
          <w:spacing w:val="-5"/>
        </w:rPr>
        <w:t> </w:t>
      </w:r>
      <w:r>
        <w:rPr>
          <w:spacing w:val="-2"/>
        </w:rPr>
        <w:t>Repairs</w:t>
      </w:r>
    </w:p>
    <w:p>
      <w:pPr>
        <w:pStyle w:val="BodyText"/>
        <w:spacing w:before="50"/>
        <w:ind w:left="119" w:right="153"/>
        <w:jc w:val="both"/>
      </w:pPr>
      <w:r>
        <w:rPr/>
        <w:pict>
          <v:shape style="position:absolute;margin-left:90.065002pt;margin-top:59.269321pt;width:395.3pt;height:419pt;mso-position-horizontal-relative:page;mso-position-vertical-relative:paragraph;z-index:-17719296" id="docshape55" coordorigin="1801,1185" coordsize="7906,8380" path="m4498,8449l4492,8376,4477,8298,4455,8215,4432,8146,4403,8074,4367,7999,4325,7921,4276,7840,4237,7781,4200,7730,4200,8416,4197,8472,4186,8529,4167,8586,4138,8646,4097,8709,4044,8775,3979,8844,3674,9150,2216,7692,2517,7391,2598,7315,2672,7255,2740,7212,2801,7185,2868,7171,2941,7167,3020,7173,3105,7191,3195,7220,3255,7246,3317,7278,3380,7317,3446,7362,3514,7414,3584,7472,3656,7536,3729,7608,3789,7669,3845,7729,3896,7788,3943,7846,3986,7903,4025,7958,4059,8012,4101,8087,4136,8159,4163,8228,4183,8295,4196,8360,4200,8416,4200,7730,4194,7721,4148,7661,4098,7601,4045,7540,3989,7478,3929,7416,3865,7354,3801,7296,3737,7241,3673,7189,3643,7167,3609,7141,3546,7097,3482,7056,3419,7018,3346,6980,3274,6948,3203,6921,3132,6898,3062,6881,2992,6869,2923,6862,2850,6861,2779,6867,2709,6882,2642,6905,2577,6936,2528,6964,2476,7001,2420,7046,2359,7101,2294,7163,1801,7656,3710,9565,4124,9150,4226,9048,4287,8983,4341,8918,4386,8852,4424,8785,4454,8719,4476,8652,4491,8585,4498,8518,4498,8449xm6418,6856l6056,6728,5650,6585,5561,6556,5475,6532,5393,6513,5365,6508,5314,6499,5239,6489,5193,6487,5143,6490,5089,6497,5030,6508,5073,6438,5109,6369,5136,6300,5154,6231,5164,6162,5165,6094,5157,6026,5139,5948,5111,5872,5075,5798,5030,5725,4976,5654,4956,5631,4913,5585,4872,5547,4872,6105,4868,6160,4854,6215,4830,6271,4794,6330,4747,6391,4687,6455,4280,6862,3649,6231,4102,5778,4166,5721,4229,5677,4293,5648,4358,5633,4422,5631,4501,5647,4577,5676,4649,5721,4718,5781,4761,5828,4797,5879,4827,5933,4851,5989,4867,6048,4872,6105,4872,5547,4849,5526,4782,5473,4713,5428,4641,5389,4566,5357,4474,5329,4386,5316,4303,5318,4225,5334,4163,5359,4098,5396,4030,5444,3958,5503,3883,5574,3248,6209,5157,8117,5346,7928,4499,7081,4718,6862,4753,6827,4783,6800,4810,6779,4833,6764,4863,6751,4896,6740,4932,6732,4971,6728,5014,6728,5066,6733,5125,6744,5194,6760,5256,6778,5328,6799,5407,6823,5496,6853,6180,7094,6418,6856xm7780,5494l7415,5299,6555,4844,6555,5151,6070,5637,6030,5565,5989,5494,5748,5063,5708,4991,5668,4920,5629,4854,5590,4790,5550,4726,5509,4663,5467,4600,5424,4539,5380,4478,5436,4514,5498,4552,5564,4592,5635,4634,5792,4724,6555,5151,6555,4844,5862,4478,5286,4171,5082,4375,5277,4726,5316,4796,5701,5494,6207,6413,6441,6833,6642,6632,6565,6499,6298,6031,6221,5897,6481,5637,6820,5299,7173,5494,7565,5709,7780,5494xm8131,5143l7264,4276,7936,3604,7711,3379,7039,4051,6448,3460,7224,2684,6999,2459,6033,3424,7941,5333,8131,5143xm9707,3567l8024,1884,8497,1411,8272,1185,7138,2320,7363,2545,7834,2074,9517,3757,9707,3567xe" filled="true" fillcolor="#c0c0c0" stroked="false">
            <v:path arrowok="t"/>
            <v:fill opacity="32896f" type="solid"/>
            <w10:wrap type="none"/>
          </v:shape>
        </w:pict>
      </w:r>
      <w:r>
        <w:rPr/>
        <w:t>Applicants seeking service will be prioritized based upon having a contributing structure with structural needs, major electrical or plumbing issues, or code violations. All applicants will be served in the order in which they complete their applications. If funds are available after all Applicants with contributing structures have been served, Applicants with general routine maintenance</w:t>
      </w:r>
      <w:r>
        <w:rPr>
          <w:spacing w:val="-2"/>
        </w:rPr>
        <w:t> </w:t>
      </w:r>
      <w:r>
        <w:rPr/>
        <w:t>will</w:t>
      </w:r>
      <w:r>
        <w:rPr>
          <w:spacing w:val="-2"/>
        </w:rPr>
        <w:t> </w:t>
      </w:r>
      <w:r>
        <w:rPr/>
        <w:t>be</w:t>
      </w:r>
      <w:r>
        <w:rPr>
          <w:spacing w:val="-2"/>
        </w:rPr>
        <w:t> </w:t>
      </w:r>
      <w:r>
        <w:rPr/>
        <w:t>vetted</w:t>
      </w:r>
      <w:r>
        <w:rPr>
          <w:spacing w:val="-2"/>
        </w:rPr>
        <w:t> </w:t>
      </w:r>
      <w:r>
        <w:rPr/>
        <w:t>in</w:t>
      </w:r>
      <w:r>
        <w:rPr>
          <w:spacing w:val="-2"/>
        </w:rPr>
        <w:t> </w:t>
      </w:r>
      <w:r>
        <w:rPr/>
        <w:t>the</w:t>
      </w:r>
      <w:r>
        <w:rPr>
          <w:spacing w:val="-4"/>
        </w:rPr>
        <w:t> </w:t>
      </w:r>
      <w:r>
        <w:rPr/>
        <w:t>order</w:t>
      </w:r>
      <w:r>
        <w:rPr>
          <w:spacing w:val="-3"/>
        </w:rPr>
        <w:t> </w:t>
      </w:r>
      <w:r>
        <w:rPr/>
        <w:t>in</w:t>
      </w:r>
      <w:r>
        <w:rPr>
          <w:spacing w:val="-2"/>
        </w:rPr>
        <w:t> </w:t>
      </w:r>
      <w:r>
        <w:rPr/>
        <w:t>which</w:t>
      </w:r>
      <w:r>
        <w:rPr>
          <w:spacing w:val="-4"/>
        </w:rPr>
        <w:t> </w:t>
      </w:r>
      <w:r>
        <w:rPr/>
        <w:t>they</w:t>
      </w:r>
      <w:r>
        <w:rPr>
          <w:spacing w:val="-1"/>
        </w:rPr>
        <w:t> </w:t>
      </w:r>
      <w:r>
        <w:rPr/>
        <w:t>apply. Applicants</w:t>
      </w:r>
      <w:r>
        <w:rPr>
          <w:spacing w:val="-4"/>
        </w:rPr>
        <w:t> </w:t>
      </w:r>
      <w:r>
        <w:rPr/>
        <w:t>that start but do</w:t>
      </w:r>
      <w:r>
        <w:rPr>
          <w:spacing w:val="-4"/>
        </w:rPr>
        <w:t> </w:t>
      </w:r>
      <w:r>
        <w:rPr/>
        <w:t>not</w:t>
      </w:r>
      <w:r>
        <w:rPr>
          <w:spacing w:val="-2"/>
        </w:rPr>
        <w:t> </w:t>
      </w:r>
      <w:r>
        <w:rPr/>
        <w:t>finish an application will not be considered for assistance.</w:t>
      </w:r>
    </w:p>
    <w:p>
      <w:pPr>
        <w:pStyle w:val="BodyText"/>
        <w:spacing w:before="11"/>
        <w:rPr>
          <w:sz w:val="21"/>
        </w:rPr>
      </w:pPr>
    </w:p>
    <w:p>
      <w:pPr>
        <w:pStyle w:val="BodyText"/>
        <w:ind w:left="119" w:right="156"/>
        <w:jc w:val="both"/>
      </w:pPr>
      <w:r>
        <w:rPr/>
        <w:t>Eligible improvements under this Tenth Street TRP are intended for the primary structure prioritizing exterior elements of the house that include the following but may not be limited to:</w:t>
      </w:r>
    </w:p>
    <w:p>
      <w:pPr>
        <w:pStyle w:val="BodyText"/>
        <w:spacing w:before="1"/>
      </w:pPr>
    </w:p>
    <w:p>
      <w:pPr>
        <w:pStyle w:val="ListParagraph"/>
        <w:numPr>
          <w:ilvl w:val="0"/>
          <w:numId w:val="12"/>
        </w:numPr>
        <w:tabs>
          <w:tab w:pos="839" w:val="left" w:leader="none"/>
          <w:tab w:pos="840" w:val="left" w:leader="none"/>
        </w:tabs>
        <w:spacing w:line="268" w:lineRule="exact" w:before="0" w:after="0"/>
        <w:ind w:left="839" w:right="0" w:hanging="361"/>
        <w:jc w:val="left"/>
        <w:rPr>
          <w:sz w:val="22"/>
        </w:rPr>
      </w:pPr>
      <w:r>
        <w:rPr>
          <w:spacing w:val="-2"/>
          <w:sz w:val="22"/>
        </w:rPr>
        <w:t>Structural</w:t>
      </w:r>
    </w:p>
    <w:p>
      <w:pPr>
        <w:pStyle w:val="ListParagraph"/>
        <w:numPr>
          <w:ilvl w:val="1"/>
          <w:numId w:val="12"/>
        </w:numPr>
        <w:tabs>
          <w:tab w:pos="1560" w:val="left" w:leader="none"/>
        </w:tabs>
        <w:spacing w:line="220" w:lineRule="auto" w:before="14" w:after="0"/>
        <w:ind w:left="1559" w:right="159" w:hanging="361"/>
        <w:jc w:val="left"/>
        <w:rPr>
          <w:sz w:val="22"/>
        </w:rPr>
      </w:pPr>
      <w:r>
        <w:rPr>
          <w:sz w:val="22"/>
        </w:rPr>
        <w:t>Correction</w:t>
      </w:r>
      <w:r>
        <w:rPr>
          <w:spacing w:val="75"/>
          <w:sz w:val="22"/>
        </w:rPr>
        <w:t> </w:t>
      </w:r>
      <w:r>
        <w:rPr>
          <w:sz w:val="22"/>
        </w:rPr>
        <w:t>of</w:t>
      </w:r>
      <w:r>
        <w:rPr>
          <w:spacing w:val="77"/>
          <w:sz w:val="22"/>
        </w:rPr>
        <w:t> </w:t>
      </w:r>
      <w:r>
        <w:rPr>
          <w:sz w:val="22"/>
        </w:rPr>
        <w:t>exterior</w:t>
      </w:r>
      <w:r>
        <w:rPr>
          <w:spacing w:val="40"/>
          <w:sz w:val="22"/>
        </w:rPr>
        <w:t> </w:t>
      </w:r>
      <w:r>
        <w:rPr>
          <w:sz w:val="22"/>
        </w:rPr>
        <w:t>code</w:t>
      </w:r>
      <w:r>
        <w:rPr>
          <w:spacing w:val="75"/>
          <w:sz w:val="22"/>
        </w:rPr>
        <w:t> </w:t>
      </w:r>
      <w:r>
        <w:rPr>
          <w:sz w:val="22"/>
        </w:rPr>
        <w:t>violations</w:t>
      </w:r>
      <w:r>
        <w:rPr>
          <w:spacing w:val="76"/>
          <w:sz w:val="22"/>
        </w:rPr>
        <w:t> </w:t>
      </w:r>
      <w:r>
        <w:rPr>
          <w:sz w:val="22"/>
        </w:rPr>
        <w:t>and</w:t>
      </w:r>
      <w:r>
        <w:rPr>
          <w:spacing w:val="75"/>
          <w:sz w:val="22"/>
        </w:rPr>
        <w:t> </w:t>
      </w:r>
      <w:r>
        <w:rPr>
          <w:sz w:val="22"/>
        </w:rPr>
        <w:t>elimination</w:t>
      </w:r>
      <w:r>
        <w:rPr>
          <w:spacing w:val="75"/>
          <w:sz w:val="22"/>
        </w:rPr>
        <w:t> </w:t>
      </w:r>
      <w:r>
        <w:rPr>
          <w:sz w:val="22"/>
        </w:rPr>
        <w:t>of</w:t>
      </w:r>
      <w:r>
        <w:rPr>
          <w:spacing w:val="40"/>
          <w:sz w:val="22"/>
        </w:rPr>
        <w:t> </w:t>
      </w:r>
      <w:r>
        <w:rPr>
          <w:sz w:val="22"/>
        </w:rPr>
        <w:t>specific</w:t>
      </w:r>
      <w:r>
        <w:rPr>
          <w:spacing w:val="76"/>
          <w:sz w:val="22"/>
        </w:rPr>
        <w:t> </w:t>
      </w:r>
      <w:r>
        <w:rPr>
          <w:sz w:val="22"/>
        </w:rPr>
        <w:t>conditions detrimental to public health &amp; safety identified by the City</w:t>
      </w:r>
    </w:p>
    <w:p>
      <w:pPr>
        <w:pStyle w:val="ListParagraph"/>
        <w:numPr>
          <w:ilvl w:val="1"/>
          <w:numId w:val="12"/>
        </w:numPr>
        <w:tabs>
          <w:tab w:pos="1561" w:val="left" w:leader="none"/>
        </w:tabs>
        <w:spacing w:line="262" w:lineRule="exact" w:before="6" w:after="0"/>
        <w:ind w:left="1560" w:right="0" w:hanging="362"/>
        <w:jc w:val="left"/>
        <w:rPr>
          <w:sz w:val="22"/>
        </w:rPr>
      </w:pPr>
      <w:r>
        <w:rPr>
          <w:sz w:val="22"/>
        </w:rPr>
        <w:t>Foundation</w:t>
      </w:r>
      <w:r>
        <w:rPr>
          <w:spacing w:val="-5"/>
          <w:sz w:val="22"/>
        </w:rPr>
        <w:t> </w:t>
      </w:r>
      <w:r>
        <w:rPr>
          <w:sz w:val="22"/>
        </w:rPr>
        <w:t>repair</w:t>
      </w:r>
      <w:r>
        <w:rPr>
          <w:spacing w:val="-5"/>
          <w:sz w:val="22"/>
        </w:rPr>
        <w:t> </w:t>
      </w:r>
      <w:r>
        <w:rPr>
          <w:sz w:val="22"/>
        </w:rPr>
        <w:t>/</w:t>
      </w:r>
      <w:r>
        <w:rPr>
          <w:spacing w:val="-4"/>
          <w:sz w:val="22"/>
        </w:rPr>
        <w:t> </w:t>
      </w:r>
      <w:r>
        <w:rPr>
          <w:spacing w:val="-2"/>
          <w:sz w:val="22"/>
        </w:rPr>
        <w:t>leveling</w:t>
      </w:r>
    </w:p>
    <w:p>
      <w:pPr>
        <w:pStyle w:val="ListParagraph"/>
        <w:numPr>
          <w:ilvl w:val="1"/>
          <w:numId w:val="12"/>
        </w:numPr>
        <w:tabs>
          <w:tab w:pos="1561" w:val="left" w:leader="none"/>
        </w:tabs>
        <w:spacing w:line="253" w:lineRule="exact" w:before="0" w:after="0"/>
        <w:ind w:left="1560" w:right="0" w:hanging="361"/>
        <w:jc w:val="left"/>
        <w:rPr>
          <w:sz w:val="22"/>
        </w:rPr>
      </w:pPr>
      <w:r>
        <w:rPr>
          <w:sz w:val="22"/>
        </w:rPr>
        <w:t>Roofing</w:t>
      </w:r>
      <w:r>
        <w:rPr>
          <w:spacing w:val="-5"/>
          <w:sz w:val="22"/>
        </w:rPr>
        <w:t> </w:t>
      </w:r>
      <w:r>
        <w:rPr>
          <w:sz w:val="22"/>
        </w:rPr>
        <w:t>repair</w:t>
      </w:r>
      <w:r>
        <w:rPr>
          <w:spacing w:val="-6"/>
          <w:sz w:val="22"/>
        </w:rPr>
        <w:t> </w:t>
      </w:r>
      <w:r>
        <w:rPr>
          <w:sz w:val="22"/>
        </w:rPr>
        <w:t>/</w:t>
      </w:r>
      <w:r>
        <w:rPr>
          <w:spacing w:val="-4"/>
          <w:sz w:val="22"/>
        </w:rPr>
        <w:t> </w:t>
      </w:r>
      <w:r>
        <w:rPr>
          <w:sz w:val="22"/>
        </w:rPr>
        <w:t>replacement</w:t>
      </w:r>
      <w:r>
        <w:rPr>
          <w:spacing w:val="-6"/>
          <w:sz w:val="22"/>
        </w:rPr>
        <w:t> </w:t>
      </w:r>
      <w:r>
        <w:rPr>
          <w:sz w:val="22"/>
        </w:rPr>
        <w:t>/</w:t>
      </w:r>
      <w:r>
        <w:rPr>
          <w:spacing w:val="-4"/>
          <w:sz w:val="22"/>
        </w:rPr>
        <w:t> </w:t>
      </w:r>
      <w:r>
        <w:rPr>
          <w:spacing w:val="-2"/>
          <w:sz w:val="22"/>
        </w:rPr>
        <w:t>soffit</w:t>
      </w:r>
    </w:p>
    <w:p>
      <w:pPr>
        <w:pStyle w:val="ListParagraph"/>
        <w:numPr>
          <w:ilvl w:val="1"/>
          <w:numId w:val="12"/>
        </w:numPr>
        <w:tabs>
          <w:tab w:pos="1561" w:val="left" w:leader="none"/>
        </w:tabs>
        <w:spacing w:line="253" w:lineRule="exact" w:before="0" w:after="0"/>
        <w:ind w:left="1560" w:right="0" w:hanging="361"/>
        <w:jc w:val="left"/>
        <w:rPr>
          <w:sz w:val="22"/>
        </w:rPr>
      </w:pPr>
      <w:r>
        <w:rPr>
          <w:sz w:val="22"/>
        </w:rPr>
        <w:t>Major</w:t>
      </w:r>
      <w:r>
        <w:rPr>
          <w:spacing w:val="-3"/>
          <w:sz w:val="22"/>
        </w:rPr>
        <w:t> </w:t>
      </w:r>
      <w:r>
        <w:rPr>
          <w:sz w:val="22"/>
        </w:rPr>
        <w:t>Electrical</w:t>
      </w:r>
      <w:r>
        <w:rPr>
          <w:spacing w:val="-5"/>
          <w:sz w:val="22"/>
        </w:rPr>
        <w:t> </w:t>
      </w:r>
      <w:r>
        <w:rPr>
          <w:sz w:val="22"/>
        </w:rPr>
        <w:t>or</w:t>
      </w:r>
      <w:r>
        <w:rPr>
          <w:spacing w:val="-5"/>
          <w:sz w:val="22"/>
        </w:rPr>
        <w:t> </w:t>
      </w:r>
      <w:r>
        <w:rPr>
          <w:spacing w:val="-2"/>
          <w:sz w:val="22"/>
        </w:rPr>
        <w:t>Plumbing</w:t>
      </w:r>
    </w:p>
    <w:p>
      <w:pPr>
        <w:pStyle w:val="ListParagraph"/>
        <w:numPr>
          <w:ilvl w:val="1"/>
          <w:numId w:val="12"/>
        </w:numPr>
        <w:tabs>
          <w:tab w:pos="1561" w:val="left" w:leader="none"/>
        </w:tabs>
        <w:spacing w:line="253" w:lineRule="exact" w:before="0" w:after="0"/>
        <w:ind w:left="1560" w:right="0" w:hanging="361"/>
        <w:jc w:val="left"/>
        <w:rPr>
          <w:sz w:val="22"/>
        </w:rPr>
      </w:pPr>
      <w:r>
        <w:rPr>
          <w:sz w:val="22"/>
        </w:rPr>
        <w:t>Any</w:t>
      </w:r>
      <w:r>
        <w:rPr>
          <w:spacing w:val="-9"/>
          <w:sz w:val="22"/>
        </w:rPr>
        <w:t> </w:t>
      </w:r>
      <w:r>
        <w:rPr>
          <w:sz w:val="22"/>
        </w:rPr>
        <w:t>item</w:t>
      </w:r>
      <w:r>
        <w:rPr>
          <w:spacing w:val="-7"/>
          <w:sz w:val="22"/>
        </w:rPr>
        <w:t> </w:t>
      </w:r>
      <w:r>
        <w:rPr>
          <w:sz w:val="22"/>
        </w:rPr>
        <w:t>determined</w:t>
      </w:r>
      <w:r>
        <w:rPr>
          <w:spacing w:val="-9"/>
          <w:sz w:val="22"/>
        </w:rPr>
        <w:t> </w:t>
      </w:r>
      <w:r>
        <w:rPr>
          <w:sz w:val="22"/>
        </w:rPr>
        <w:t>eligible</w:t>
      </w:r>
      <w:r>
        <w:rPr>
          <w:spacing w:val="-8"/>
          <w:sz w:val="22"/>
        </w:rPr>
        <w:t> </w:t>
      </w:r>
      <w:r>
        <w:rPr>
          <w:sz w:val="22"/>
        </w:rPr>
        <w:t>by</w:t>
      </w:r>
      <w:r>
        <w:rPr>
          <w:spacing w:val="-9"/>
          <w:sz w:val="22"/>
        </w:rPr>
        <w:t> </w:t>
      </w:r>
      <w:r>
        <w:rPr>
          <w:sz w:val="22"/>
        </w:rPr>
        <w:t>the</w:t>
      </w:r>
      <w:r>
        <w:rPr>
          <w:spacing w:val="-8"/>
          <w:sz w:val="22"/>
        </w:rPr>
        <w:t> </w:t>
      </w:r>
      <w:r>
        <w:rPr>
          <w:sz w:val="22"/>
        </w:rPr>
        <w:t>Director</w:t>
      </w:r>
      <w:r>
        <w:rPr>
          <w:spacing w:val="-9"/>
          <w:sz w:val="22"/>
        </w:rPr>
        <w:t> </w:t>
      </w:r>
      <w:r>
        <w:rPr>
          <w:sz w:val="22"/>
        </w:rPr>
        <w:t>that</w:t>
      </w:r>
      <w:r>
        <w:rPr>
          <w:spacing w:val="-7"/>
          <w:sz w:val="22"/>
        </w:rPr>
        <w:t> </w:t>
      </w:r>
      <w:r>
        <w:rPr>
          <w:sz w:val="22"/>
        </w:rPr>
        <w:t>aligns</w:t>
      </w:r>
      <w:r>
        <w:rPr>
          <w:spacing w:val="-9"/>
          <w:sz w:val="22"/>
        </w:rPr>
        <w:t> </w:t>
      </w:r>
      <w:r>
        <w:rPr>
          <w:sz w:val="22"/>
        </w:rPr>
        <w:t>with</w:t>
      </w:r>
      <w:r>
        <w:rPr>
          <w:spacing w:val="-8"/>
          <w:sz w:val="22"/>
        </w:rPr>
        <w:t> </w:t>
      </w:r>
      <w:r>
        <w:rPr>
          <w:sz w:val="22"/>
        </w:rPr>
        <w:t>the</w:t>
      </w:r>
      <w:r>
        <w:rPr>
          <w:spacing w:val="-9"/>
          <w:sz w:val="22"/>
        </w:rPr>
        <w:t> </w:t>
      </w:r>
      <w:r>
        <w:rPr>
          <w:sz w:val="22"/>
        </w:rPr>
        <w:t>overall</w:t>
      </w:r>
      <w:r>
        <w:rPr>
          <w:spacing w:val="-9"/>
          <w:sz w:val="22"/>
        </w:rPr>
        <w:t> </w:t>
      </w:r>
      <w:r>
        <w:rPr>
          <w:sz w:val="22"/>
        </w:rPr>
        <w:t>TRP</w:t>
      </w:r>
      <w:r>
        <w:rPr>
          <w:spacing w:val="-9"/>
          <w:sz w:val="22"/>
        </w:rPr>
        <w:t> </w:t>
      </w:r>
      <w:r>
        <w:rPr>
          <w:spacing w:val="-2"/>
          <w:sz w:val="22"/>
        </w:rPr>
        <w:t>policy</w:t>
      </w:r>
    </w:p>
    <w:p>
      <w:pPr>
        <w:pStyle w:val="ListParagraph"/>
        <w:numPr>
          <w:ilvl w:val="0"/>
          <w:numId w:val="12"/>
        </w:numPr>
        <w:tabs>
          <w:tab w:pos="840" w:val="left" w:leader="none"/>
          <w:tab w:pos="841" w:val="left" w:leader="none"/>
        </w:tabs>
        <w:spacing w:line="259" w:lineRule="exact" w:before="0" w:after="0"/>
        <w:ind w:left="840" w:right="0" w:hanging="361"/>
        <w:jc w:val="left"/>
        <w:rPr>
          <w:sz w:val="22"/>
        </w:rPr>
      </w:pPr>
      <w:r>
        <w:rPr>
          <w:sz w:val="22"/>
        </w:rPr>
        <w:t>Routine</w:t>
      </w:r>
      <w:r>
        <w:rPr>
          <w:spacing w:val="-7"/>
          <w:sz w:val="22"/>
        </w:rPr>
        <w:t> </w:t>
      </w:r>
      <w:r>
        <w:rPr>
          <w:sz w:val="22"/>
        </w:rPr>
        <w:t>Maintenance</w:t>
      </w:r>
      <w:r>
        <w:rPr>
          <w:spacing w:val="-9"/>
          <w:sz w:val="22"/>
        </w:rPr>
        <w:t> </w:t>
      </w:r>
      <w:r>
        <w:rPr>
          <w:sz w:val="22"/>
        </w:rPr>
        <w:t>(all</w:t>
      </w:r>
      <w:r>
        <w:rPr>
          <w:spacing w:val="-6"/>
          <w:sz w:val="22"/>
        </w:rPr>
        <w:t> </w:t>
      </w:r>
      <w:r>
        <w:rPr>
          <w:spacing w:val="-2"/>
          <w:sz w:val="22"/>
        </w:rPr>
        <w:t>exterior)</w:t>
      </w:r>
    </w:p>
    <w:p>
      <w:pPr>
        <w:pStyle w:val="ListParagraph"/>
        <w:numPr>
          <w:ilvl w:val="1"/>
          <w:numId w:val="12"/>
        </w:numPr>
        <w:tabs>
          <w:tab w:pos="1562" w:val="left" w:leader="none"/>
        </w:tabs>
        <w:spacing w:line="220" w:lineRule="auto" w:before="14" w:after="0"/>
        <w:ind w:left="1561" w:right="159" w:hanging="361"/>
        <w:jc w:val="left"/>
        <w:rPr>
          <w:sz w:val="22"/>
        </w:rPr>
      </w:pPr>
      <w:r>
        <w:rPr>
          <w:sz w:val="22"/>
        </w:rPr>
        <w:t>Accessibility</w:t>
      </w:r>
      <w:r>
        <w:rPr>
          <w:spacing w:val="80"/>
          <w:sz w:val="22"/>
        </w:rPr>
        <w:t> </w:t>
      </w:r>
      <w:r>
        <w:rPr>
          <w:sz w:val="22"/>
        </w:rPr>
        <w:t>repairs</w:t>
      </w:r>
      <w:r>
        <w:rPr>
          <w:spacing w:val="80"/>
          <w:sz w:val="22"/>
        </w:rPr>
        <w:t> </w:t>
      </w:r>
      <w:r>
        <w:rPr>
          <w:sz w:val="22"/>
        </w:rPr>
        <w:t>and</w:t>
      </w:r>
      <w:r>
        <w:rPr>
          <w:spacing w:val="80"/>
          <w:sz w:val="22"/>
        </w:rPr>
        <w:t> </w:t>
      </w:r>
      <w:r>
        <w:rPr>
          <w:sz w:val="22"/>
        </w:rPr>
        <w:t>installation</w:t>
      </w:r>
      <w:r>
        <w:rPr>
          <w:spacing w:val="80"/>
          <w:sz w:val="22"/>
        </w:rPr>
        <w:t> </w:t>
      </w:r>
      <w:r>
        <w:rPr>
          <w:sz w:val="22"/>
        </w:rPr>
        <w:t>such</w:t>
      </w:r>
      <w:r>
        <w:rPr>
          <w:spacing w:val="79"/>
          <w:sz w:val="22"/>
        </w:rPr>
        <w:t> </w:t>
      </w:r>
      <w:r>
        <w:rPr>
          <w:sz w:val="22"/>
        </w:rPr>
        <w:t>as</w:t>
      </w:r>
      <w:r>
        <w:rPr>
          <w:spacing w:val="80"/>
          <w:sz w:val="22"/>
        </w:rPr>
        <w:t> </w:t>
      </w:r>
      <w:r>
        <w:rPr>
          <w:sz w:val="22"/>
        </w:rPr>
        <w:t>ramps,</w:t>
      </w:r>
      <w:r>
        <w:rPr>
          <w:spacing w:val="80"/>
          <w:sz w:val="22"/>
        </w:rPr>
        <w:t> </w:t>
      </w:r>
      <w:r>
        <w:rPr>
          <w:sz w:val="22"/>
        </w:rPr>
        <w:t>handrails</w:t>
      </w:r>
      <w:r>
        <w:rPr>
          <w:spacing w:val="80"/>
          <w:sz w:val="22"/>
        </w:rPr>
        <w:t> </w:t>
      </w:r>
      <w:r>
        <w:rPr>
          <w:sz w:val="22"/>
        </w:rPr>
        <w:t>or</w:t>
      </w:r>
      <w:r>
        <w:rPr>
          <w:spacing w:val="80"/>
          <w:sz w:val="22"/>
        </w:rPr>
        <w:t> </w:t>
      </w:r>
      <w:r>
        <w:rPr>
          <w:sz w:val="22"/>
        </w:rPr>
        <w:t>repairing </w:t>
      </w:r>
      <w:r>
        <w:rPr>
          <w:spacing w:val="-2"/>
          <w:sz w:val="22"/>
        </w:rPr>
        <w:t>walkways</w:t>
      </w:r>
    </w:p>
    <w:p>
      <w:pPr>
        <w:pStyle w:val="ListParagraph"/>
        <w:numPr>
          <w:ilvl w:val="1"/>
          <w:numId w:val="12"/>
        </w:numPr>
        <w:tabs>
          <w:tab w:pos="1562" w:val="left" w:leader="none"/>
        </w:tabs>
        <w:spacing w:line="262" w:lineRule="exact" w:before="6" w:after="0"/>
        <w:ind w:left="1561" w:right="0" w:hanging="361"/>
        <w:jc w:val="left"/>
        <w:rPr>
          <w:sz w:val="22"/>
        </w:rPr>
      </w:pPr>
      <w:r>
        <w:rPr>
          <w:sz w:val="22"/>
        </w:rPr>
        <w:t>Exterior</w:t>
      </w:r>
      <w:r>
        <w:rPr>
          <w:spacing w:val="-10"/>
          <w:sz w:val="22"/>
        </w:rPr>
        <w:t> </w:t>
      </w:r>
      <w:r>
        <w:rPr>
          <w:sz w:val="22"/>
        </w:rPr>
        <w:t>material</w:t>
      </w:r>
      <w:r>
        <w:rPr>
          <w:spacing w:val="-9"/>
          <w:sz w:val="22"/>
        </w:rPr>
        <w:t> </w:t>
      </w:r>
      <w:r>
        <w:rPr>
          <w:sz w:val="22"/>
        </w:rPr>
        <w:t>repair</w:t>
      </w:r>
      <w:r>
        <w:rPr>
          <w:spacing w:val="-7"/>
          <w:sz w:val="22"/>
        </w:rPr>
        <w:t> </w:t>
      </w:r>
      <w:r>
        <w:rPr>
          <w:sz w:val="22"/>
        </w:rPr>
        <w:t>/</w:t>
      </w:r>
      <w:r>
        <w:rPr>
          <w:spacing w:val="-7"/>
          <w:sz w:val="22"/>
        </w:rPr>
        <w:t> </w:t>
      </w:r>
      <w:r>
        <w:rPr>
          <w:sz w:val="22"/>
        </w:rPr>
        <w:t>replacement</w:t>
      </w:r>
      <w:r>
        <w:rPr>
          <w:spacing w:val="-8"/>
          <w:sz w:val="22"/>
        </w:rPr>
        <w:t> </w:t>
      </w:r>
      <w:r>
        <w:rPr>
          <w:sz w:val="22"/>
        </w:rPr>
        <w:t>(siding,</w:t>
      </w:r>
      <w:r>
        <w:rPr>
          <w:spacing w:val="-7"/>
          <w:sz w:val="22"/>
        </w:rPr>
        <w:t> </w:t>
      </w:r>
      <w:r>
        <w:rPr>
          <w:sz w:val="22"/>
        </w:rPr>
        <w:t>repointing,</w:t>
      </w:r>
      <w:r>
        <w:rPr>
          <w:spacing w:val="-4"/>
          <w:sz w:val="22"/>
        </w:rPr>
        <w:t> </w:t>
      </w:r>
      <w:r>
        <w:rPr>
          <w:spacing w:val="-2"/>
          <w:sz w:val="22"/>
        </w:rPr>
        <w:t>painting)</w:t>
      </w:r>
    </w:p>
    <w:p>
      <w:pPr>
        <w:pStyle w:val="ListParagraph"/>
        <w:numPr>
          <w:ilvl w:val="1"/>
          <w:numId w:val="12"/>
        </w:numPr>
        <w:tabs>
          <w:tab w:pos="1562" w:val="left" w:leader="none"/>
        </w:tabs>
        <w:spacing w:line="253" w:lineRule="exact" w:before="0" w:after="0"/>
        <w:ind w:left="1561" w:right="0" w:hanging="361"/>
        <w:jc w:val="left"/>
        <w:rPr>
          <w:sz w:val="22"/>
        </w:rPr>
      </w:pPr>
      <w:r>
        <w:rPr>
          <w:sz w:val="22"/>
        </w:rPr>
        <w:t>HVAC</w:t>
      </w:r>
      <w:r>
        <w:rPr>
          <w:spacing w:val="-4"/>
          <w:sz w:val="22"/>
        </w:rPr>
        <w:t> </w:t>
      </w:r>
      <w:r>
        <w:rPr>
          <w:sz w:val="22"/>
        </w:rPr>
        <w:t>repair</w:t>
      </w:r>
      <w:r>
        <w:rPr>
          <w:spacing w:val="-3"/>
          <w:sz w:val="22"/>
        </w:rPr>
        <w:t> </w:t>
      </w:r>
      <w:r>
        <w:rPr>
          <w:sz w:val="22"/>
        </w:rPr>
        <w:t>/</w:t>
      </w:r>
      <w:r>
        <w:rPr>
          <w:spacing w:val="-3"/>
          <w:sz w:val="22"/>
        </w:rPr>
        <w:t> </w:t>
      </w:r>
      <w:r>
        <w:rPr>
          <w:spacing w:val="-2"/>
          <w:sz w:val="22"/>
        </w:rPr>
        <w:t>replacement</w:t>
      </w:r>
    </w:p>
    <w:p>
      <w:pPr>
        <w:pStyle w:val="ListParagraph"/>
        <w:numPr>
          <w:ilvl w:val="1"/>
          <w:numId w:val="12"/>
        </w:numPr>
        <w:tabs>
          <w:tab w:pos="1562" w:val="left" w:leader="none"/>
        </w:tabs>
        <w:spacing w:line="253" w:lineRule="exact" w:before="0" w:after="0"/>
        <w:ind w:left="1561" w:right="0" w:hanging="361"/>
        <w:jc w:val="left"/>
        <w:rPr>
          <w:sz w:val="22"/>
        </w:rPr>
      </w:pPr>
      <w:r>
        <w:rPr>
          <w:sz w:val="22"/>
        </w:rPr>
        <w:t>Plumbing</w:t>
      </w:r>
      <w:r>
        <w:rPr>
          <w:spacing w:val="-8"/>
          <w:sz w:val="22"/>
        </w:rPr>
        <w:t> </w:t>
      </w:r>
      <w:r>
        <w:rPr>
          <w:sz w:val="22"/>
        </w:rPr>
        <w:t>(exterior</w:t>
      </w:r>
      <w:r>
        <w:rPr>
          <w:spacing w:val="-7"/>
          <w:sz w:val="22"/>
        </w:rPr>
        <w:t> </w:t>
      </w:r>
      <w:r>
        <w:rPr>
          <w:sz w:val="22"/>
        </w:rPr>
        <w:t>gas,</w:t>
      </w:r>
      <w:r>
        <w:rPr>
          <w:spacing w:val="-6"/>
          <w:sz w:val="22"/>
        </w:rPr>
        <w:t> </w:t>
      </w:r>
      <w:r>
        <w:rPr>
          <w:sz w:val="22"/>
        </w:rPr>
        <w:t>sewer,</w:t>
      </w:r>
      <w:r>
        <w:rPr>
          <w:spacing w:val="-5"/>
          <w:sz w:val="22"/>
        </w:rPr>
        <w:t> </w:t>
      </w:r>
      <w:r>
        <w:rPr>
          <w:sz w:val="22"/>
        </w:rPr>
        <w:t>water</w:t>
      </w:r>
      <w:r>
        <w:rPr>
          <w:spacing w:val="-6"/>
          <w:sz w:val="22"/>
        </w:rPr>
        <w:t> </w:t>
      </w:r>
      <w:r>
        <w:rPr>
          <w:spacing w:val="-2"/>
          <w:sz w:val="22"/>
        </w:rPr>
        <w:t>lines)</w:t>
      </w:r>
    </w:p>
    <w:p>
      <w:pPr>
        <w:pStyle w:val="ListParagraph"/>
        <w:numPr>
          <w:ilvl w:val="1"/>
          <w:numId w:val="12"/>
        </w:numPr>
        <w:tabs>
          <w:tab w:pos="1562" w:val="left" w:leader="none"/>
        </w:tabs>
        <w:spacing w:line="252" w:lineRule="exact" w:before="0" w:after="0"/>
        <w:ind w:left="1561" w:right="0" w:hanging="361"/>
        <w:jc w:val="left"/>
        <w:rPr>
          <w:sz w:val="22"/>
        </w:rPr>
      </w:pPr>
      <w:r>
        <w:rPr>
          <w:sz w:val="22"/>
        </w:rPr>
        <w:t>Entry</w:t>
      </w:r>
      <w:r>
        <w:rPr>
          <w:spacing w:val="-6"/>
          <w:sz w:val="22"/>
        </w:rPr>
        <w:t> </w:t>
      </w:r>
      <w:r>
        <w:rPr>
          <w:spacing w:val="-2"/>
          <w:sz w:val="22"/>
        </w:rPr>
        <w:t>doors</w:t>
      </w:r>
    </w:p>
    <w:p>
      <w:pPr>
        <w:pStyle w:val="ListParagraph"/>
        <w:numPr>
          <w:ilvl w:val="1"/>
          <w:numId w:val="12"/>
        </w:numPr>
        <w:tabs>
          <w:tab w:pos="1562" w:val="left" w:leader="none"/>
        </w:tabs>
        <w:spacing w:line="253" w:lineRule="exact" w:before="0" w:after="0"/>
        <w:ind w:left="1561" w:right="0" w:hanging="361"/>
        <w:jc w:val="left"/>
        <w:rPr>
          <w:sz w:val="22"/>
        </w:rPr>
      </w:pPr>
      <w:r>
        <w:rPr>
          <w:spacing w:val="-2"/>
          <w:sz w:val="22"/>
        </w:rPr>
        <w:t>Windows</w:t>
      </w:r>
    </w:p>
    <w:p>
      <w:pPr>
        <w:pStyle w:val="ListParagraph"/>
        <w:numPr>
          <w:ilvl w:val="1"/>
          <w:numId w:val="12"/>
        </w:numPr>
        <w:tabs>
          <w:tab w:pos="1562" w:val="left" w:leader="none"/>
        </w:tabs>
        <w:spacing w:line="253" w:lineRule="exact" w:before="0" w:after="0"/>
        <w:ind w:left="1561" w:right="0" w:hanging="361"/>
        <w:jc w:val="left"/>
        <w:rPr>
          <w:sz w:val="22"/>
        </w:rPr>
      </w:pPr>
      <w:r>
        <w:rPr>
          <w:sz w:val="22"/>
        </w:rPr>
        <w:t>Gutters</w:t>
      </w:r>
      <w:r>
        <w:rPr>
          <w:spacing w:val="-4"/>
          <w:sz w:val="22"/>
        </w:rPr>
        <w:t> </w:t>
      </w:r>
      <w:r>
        <w:rPr>
          <w:sz w:val="22"/>
        </w:rPr>
        <w:t>and</w:t>
      </w:r>
      <w:r>
        <w:rPr>
          <w:spacing w:val="-4"/>
          <w:sz w:val="22"/>
        </w:rPr>
        <w:t> </w:t>
      </w:r>
      <w:r>
        <w:rPr>
          <w:spacing w:val="-2"/>
          <w:sz w:val="22"/>
        </w:rPr>
        <w:t>Downspouts</w:t>
      </w:r>
    </w:p>
    <w:p>
      <w:pPr>
        <w:pStyle w:val="ListParagraph"/>
        <w:numPr>
          <w:ilvl w:val="1"/>
          <w:numId w:val="12"/>
        </w:numPr>
        <w:tabs>
          <w:tab w:pos="1562" w:val="left" w:leader="none"/>
        </w:tabs>
        <w:spacing w:line="253" w:lineRule="exact" w:before="0" w:after="0"/>
        <w:ind w:left="1561" w:right="0" w:hanging="361"/>
        <w:jc w:val="left"/>
        <w:rPr>
          <w:sz w:val="22"/>
        </w:rPr>
      </w:pPr>
      <w:r>
        <w:rPr>
          <w:sz w:val="22"/>
        </w:rPr>
        <w:t>Garage</w:t>
      </w:r>
      <w:r>
        <w:rPr>
          <w:spacing w:val="-4"/>
          <w:sz w:val="22"/>
        </w:rPr>
        <w:t> </w:t>
      </w:r>
      <w:r>
        <w:rPr>
          <w:spacing w:val="-2"/>
          <w:sz w:val="22"/>
        </w:rPr>
        <w:t>doors</w:t>
      </w:r>
    </w:p>
    <w:p>
      <w:pPr>
        <w:pStyle w:val="ListParagraph"/>
        <w:numPr>
          <w:ilvl w:val="1"/>
          <w:numId w:val="12"/>
        </w:numPr>
        <w:tabs>
          <w:tab w:pos="1563" w:val="left" w:leader="none"/>
        </w:tabs>
        <w:spacing w:line="253" w:lineRule="exact" w:before="0" w:after="0"/>
        <w:ind w:left="1562" w:right="0" w:hanging="362"/>
        <w:jc w:val="left"/>
        <w:rPr>
          <w:sz w:val="22"/>
        </w:rPr>
      </w:pPr>
      <w:r>
        <w:rPr>
          <w:sz w:val="22"/>
        </w:rPr>
        <w:t>Water</w:t>
      </w:r>
      <w:r>
        <w:rPr>
          <w:spacing w:val="-4"/>
          <w:sz w:val="22"/>
        </w:rPr>
        <w:t> </w:t>
      </w:r>
      <w:r>
        <w:rPr>
          <w:spacing w:val="-2"/>
          <w:sz w:val="22"/>
        </w:rPr>
        <w:t>heater</w:t>
      </w:r>
    </w:p>
    <w:p>
      <w:pPr>
        <w:pStyle w:val="ListParagraph"/>
        <w:numPr>
          <w:ilvl w:val="1"/>
          <w:numId w:val="12"/>
        </w:numPr>
        <w:tabs>
          <w:tab w:pos="1563" w:val="left" w:leader="none"/>
        </w:tabs>
        <w:spacing w:line="252" w:lineRule="exact" w:before="0" w:after="0"/>
        <w:ind w:left="1562" w:right="0" w:hanging="361"/>
        <w:jc w:val="left"/>
        <w:rPr>
          <w:sz w:val="22"/>
        </w:rPr>
      </w:pPr>
      <w:r>
        <w:rPr>
          <w:sz w:val="22"/>
        </w:rPr>
        <w:t>Flooring</w:t>
      </w:r>
      <w:r>
        <w:rPr>
          <w:spacing w:val="-7"/>
          <w:sz w:val="22"/>
        </w:rPr>
        <w:t> </w:t>
      </w:r>
      <w:r>
        <w:rPr>
          <w:spacing w:val="-2"/>
          <w:sz w:val="22"/>
        </w:rPr>
        <w:t>repair</w:t>
      </w:r>
    </w:p>
    <w:p>
      <w:pPr>
        <w:pStyle w:val="ListParagraph"/>
        <w:numPr>
          <w:ilvl w:val="1"/>
          <w:numId w:val="12"/>
        </w:numPr>
        <w:tabs>
          <w:tab w:pos="1563" w:val="left" w:leader="none"/>
        </w:tabs>
        <w:spacing w:line="253" w:lineRule="exact" w:before="0" w:after="0"/>
        <w:ind w:left="1562" w:right="0" w:hanging="361"/>
        <w:jc w:val="left"/>
        <w:rPr>
          <w:sz w:val="22"/>
        </w:rPr>
      </w:pPr>
      <w:r>
        <w:rPr>
          <w:spacing w:val="-2"/>
          <w:sz w:val="22"/>
        </w:rPr>
        <w:t>Stairs</w:t>
      </w:r>
    </w:p>
    <w:p>
      <w:pPr>
        <w:pStyle w:val="ListParagraph"/>
        <w:numPr>
          <w:ilvl w:val="1"/>
          <w:numId w:val="12"/>
        </w:numPr>
        <w:tabs>
          <w:tab w:pos="1563" w:val="left" w:leader="none"/>
        </w:tabs>
        <w:spacing w:line="253" w:lineRule="exact" w:before="0" w:after="0"/>
        <w:ind w:left="1562" w:right="0" w:hanging="361"/>
        <w:jc w:val="left"/>
        <w:rPr>
          <w:sz w:val="22"/>
        </w:rPr>
      </w:pPr>
      <w:r>
        <w:rPr>
          <w:spacing w:val="-2"/>
          <w:sz w:val="22"/>
        </w:rPr>
        <w:t>Flatwork</w:t>
      </w:r>
    </w:p>
    <w:p>
      <w:pPr>
        <w:pStyle w:val="ListParagraph"/>
        <w:numPr>
          <w:ilvl w:val="1"/>
          <w:numId w:val="12"/>
        </w:numPr>
        <w:tabs>
          <w:tab w:pos="1563" w:val="left" w:leader="none"/>
        </w:tabs>
        <w:spacing w:line="253" w:lineRule="exact" w:before="0" w:after="0"/>
        <w:ind w:left="1562" w:right="0" w:hanging="361"/>
        <w:jc w:val="left"/>
        <w:rPr>
          <w:sz w:val="22"/>
        </w:rPr>
      </w:pPr>
      <w:r>
        <w:rPr>
          <w:spacing w:val="-2"/>
          <w:sz w:val="22"/>
        </w:rPr>
        <w:t>Electrical</w:t>
      </w:r>
    </w:p>
    <w:p>
      <w:pPr>
        <w:pStyle w:val="ListParagraph"/>
        <w:numPr>
          <w:ilvl w:val="1"/>
          <w:numId w:val="12"/>
        </w:numPr>
        <w:tabs>
          <w:tab w:pos="1563" w:val="left" w:leader="none"/>
        </w:tabs>
        <w:spacing w:line="263" w:lineRule="exact" w:before="0" w:after="0"/>
        <w:ind w:left="1562" w:right="0" w:hanging="361"/>
        <w:jc w:val="left"/>
        <w:rPr>
          <w:sz w:val="22"/>
        </w:rPr>
      </w:pPr>
      <w:r>
        <w:rPr>
          <w:sz w:val="22"/>
        </w:rPr>
        <w:t>Any</w:t>
      </w:r>
      <w:r>
        <w:rPr>
          <w:spacing w:val="-6"/>
          <w:sz w:val="22"/>
        </w:rPr>
        <w:t> </w:t>
      </w:r>
      <w:r>
        <w:rPr>
          <w:sz w:val="22"/>
        </w:rPr>
        <w:t>item</w:t>
      </w:r>
      <w:r>
        <w:rPr>
          <w:spacing w:val="-5"/>
          <w:sz w:val="22"/>
        </w:rPr>
        <w:t> </w:t>
      </w:r>
      <w:r>
        <w:rPr>
          <w:sz w:val="22"/>
        </w:rPr>
        <w:t>determined</w:t>
      </w:r>
      <w:r>
        <w:rPr>
          <w:spacing w:val="-5"/>
          <w:sz w:val="22"/>
        </w:rPr>
        <w:t> </w:t>
      </w:r>
      <w:r>
        <w:rPr>
          <w:sz w:val="22"/>
        </w:rPr>
        <w:t>eligible</w:t>
      </w:r>
      <w:r>
        <w:rPr>
          <w:spacing w:val="-4"/>
          <w:sz w:val="22"/>
        </w:rPr>
        <w:t> </w:t>
      </w:r>
      <w:r>
        <w:rPr>
          <w:sz w:val="22"/>
        </w:rPr>
        <w:t>by</w:t>
      </w:r>
      <w:r>
        <w:rPr>
          <w:spacing w:val="-3"/>
          <w:sz w:val="22"/>
        </w:rPr>
        <w:t> </w:t>
      </w:r>
      <w:r>
        <w:rPr>
          <w:sz w:val="22"/>
        </w:rPr>
        <w:t>the</w:t>
      </w:r>
      <w:r>
        <w:rPr>
          <w:spacing w:val="-6"/>
          <w:sz w:val="22"/>
        </w:rPr>
        <w:t> </w:t>
      </w:r>
      <w:r>
        <w:rPr>
          <w:sz w:val="22"/>
        </w:rPr>
        <w:t>Director,</w:t>
      </w:r>
      <w:r>
        <w:rPr>
          <w:spacing w:val="-6"/>
          <w:sz w:val="22"/>
        </w:rPr>
        <w:t> </w:t>
      </w:r>
      <w:r>
        <w:rPr>
          <w:sz w:val="22"/>
        </w:rPr>
        <w:t>that</w:t>
      </w:r>
      <w:r>
        <w:rPr>
          <w:spacing w:val="-7"/>
          <w:sz w:val="22"/>
        </w:rPr>
        <w:t> </w:t>
      </w:r>
      <w:r>
        <w:rPr>
          <w:sz w:val="22"/>
        </w:rPr>
        <w:t>align</w:t>
      </w:r>
      <w:r>
        <w:rPr>
          <w:spacing w:val="-4"/>
          <w:sz w:val="22"/>
        </w:rPr>
        <w:t> </w:t>
      </w:r>
      <w:r>
        <w:rPr>
          <w:sz w:val="22"/>
        </w:rPr>
        <w:t>with</w:t>
      </w:r>
      <w:r>
        <w:rPr>
          <w:spacing w:val="-5"/>
          <w:sz w:val="22"/>
        </w:rPr>
        <w:t> </w:t>
      </w:r>
      <w:r>
        <w:rPr>
          <w:sz w:val="22"/>
        </w:rPr>
        <w:t>the</w:t>
      </w:r>
      <w:r>
        <w:rPr>
          <w:spacing w:val="-6"/>
          <w:sz w:val="22"/>
        </w:rPr>
        <w:t> </w:t>
      </w:r>
      <w:r>
        <w:rPr>
          <w:sz w:val="22"/>
        </w:rPr>
        <w:t>overall</w:t>
      </w:r>
      <w:r>
        <w:rPr>
          <w:spacing w:val="-4"/>
          <w:sz w:val="22"/>
        </w:rPr>
        <w:t> </w:t>
      </w:r>
      <w:r>
        <w:rPr>
          <w:sz w:val="22"/>
        </w:rPr>
        <w:t>TRP</w:t>
      </w:r>
      <w:r>
        <w:rPr>
          <w:spacing w:val="-4"/>
          <w:sz w:val="22"/>
        </w:rPr>
        <w:t> </w:t>
      </w:r>
      <w:r>
        <w:rPr>
          <w:spacing w:val="-2"/>
          <w:sz w:val="22"/>
        </w:rPr>
        <w:t>policy</w:t>
      </w:r>
    </w:p>
    <w:p>
      <w:pPr>
        <w:pStyle w:val="BodyText"/>
        <w:spacing w:before="4"/>
        <w:rPr>
          <w:sz w:val="20"/>
        </w:rPr>
      </w:pPr>
    </w:p>
    <w:p>
      <w:pPr>
        <w:pStyle w:val="Heading5"/>
        <w:ind w:left="123"/>
        <w:jc w:val="left"/>
      </w:pPr>
      <w:r>
        <w:rPr/>
        <w:t>Ineligible</w:t>
      </w:r>
      <w:r>
        <w:rPr>
          <w:spacing w:val="-4"/>
        </w:rPr>
        <w:t> </w:t>
      </w:r>
      <w:r>
        <w:rPr>
          <w:spacing w:val="-2"/>
        </w:rPr>
        <w:t>Repairs</w:t>
      </w:r>
    </w:p>
    <w:p>
      <w:pPr>
        <w:pStyle w:val="BodyText"/>
        <w:spacing w:before="50"/>
        <w:ind w:left="123"/>
      </w:pPr>
      <w:r>
        <w:rPr/>
        <w:t>Ineligible</w:t>
      </w:r>
      <w:r>
        <w:rPr>
          <w:spacing w:val="-8"/>
        </w:rPr>
        <w:t> </w:t>
      </w:r>
      <w:r>
        <w:rPr/>
        <w:t>repairs</w:t>
      </w:r>
      <w:r>
        <w:rPr>
          <w:spacing w:val="-5"/>
        </w:rPr>
        <w:t> </w:t>
      </w:r>
      <w:r>
        <w:rPr/>
        <w:t>include</w:t>
      </w:r>
      <w:r>
        <w:rPr>
          <w:spacing w:val="-7"/>
        </w:rPr>
        <w:t> </w:t>
      </w:r>
      <w:r>
        <w:rPr/>
        <w:t>but</w:t>
      </w:r>
      <w:r>
        <w:rPr>
          <w:spacing w:val="-4"/>
        </w:rPr>
        <w:t> </w:t>
      </w:r>
      <w:r>
        <w:rPr/>
        <w:t>are</w:t>
      </w:r>
      <w:r>
        <w:rPr>
          <w:spacing w:val="-5"/>
        </w:rPr>
        <w:t> </w:t>
      </w:r>
      <w:r>
        <w:rPr/>
        <w:t>not</w:t>
      </w:r>
      <w:r>
        <w:rPr>
          <w:spacing w:val="-4"/>
        </w:rPr>
        <w:t> </w:t>
      </w:r>
      <w:r>
        <w:rPr/>
        <w:t>limited</w:t>
      </w:r>
      <w:r>
        <w:rPr>
          <w:spacing w:val="-7"/>
        </w:rPr>
        <w:t> </w:t>
      </w:r>
      <w:r>
        <w:rPr>
          <w:spacing w:val="-5"/>
        </w:rPr>
        <w:t>to:</w:t>
      </w:r>
    </w:p>
    <w:p>
      <w:pPr>
        <w:pStyle w:val="ListParagraph"/>
        <w:numPr>
          <w:ilvl w:val="0"/>
          <w:numId w:val="12"/>
        </w:numPr>
        <w:tabs>
          <w:tab w:pos="843" w:val="left" w:leader="none"/>
          <w:tab w:pos="844" w:val="left" w:leader="none"/>
        </w:tabs>
        <w:spacing w:line="237" w:lineRule="auto" w:before="3" w:after="0"/>
        <w:ind w:left="843" w:right="158" w:hanging="361"/>
        <w:jc w:val="left"/>
        <w:rPr>
          <w:sz w:val="22"/>
        </w:rPr>
      </w:pPr>
      <w:r>
        <w:rPr>
          <w:sz w:val="22"/>
        </w:rPr>
        <w:t>Luxury</w:t>
      </w:r>
      <w:r>
        <w:rPr>
          <w:spacing w:val="36"/>
          <w:sz w:val="22"/>
        </w:rPr>
        <w:t> </w:t>
      </w:r>
      <w:r>
        <w:rPr>
          <w:sz w:val="22"/>
        </w:rPr>
        <w:t>and</w:t>
      </w:r>
      <w:r>
        <w:rPr>
          <w:spacing w:val="36"/>
          <w:sz w:val="22"/>
        </w:rPr>
        <w:t> </w:t>
      </w:r>
      <w:r>
        <w:rPr>
          <w:sz w:val="22"/>
        </w:rPr>
        <w:t>recreational</w:t>
      </w:r>
      <w:r>
        <w:rPr>
          <w:spacing w:val="35"/>
          <w:sz w:val="22"/>
        </w:rPr>
        <w:t> </w:t>
      </w:r>
      <w:r>
        <w:rPr>
          <w:sz w:val="22"/>
        </w:rPr>
        <w:t>items</w:t>
      </w:r>
      <w:r>
        <w:rPr>
          <w:spacing w:val="34"/>
          <w:sz w:val="22"/>
        </w:rPr>
        <w:t> </w:t>
      </w:r>
      <w:r>
        <w:rPr>
          <w:sz w:val="22"/>
        </w:rPr>
        <w:t>(granite</w:t>
      </w:r>
      <w:r>
        <w:rPr>
          <w:spacing w:val="36"/>
          <w:sz w:val="22"/>
        </w:rPr>
        <w:t> </w:t>
      </w:r>
      <w:r>
        <w:rPr>
          <w:sz w:val="22"/>
        </w:rPr>
        <w:t>counter</w:t>
      </w:r>
      <w:r>
        <w:rPr>
          <w:spacing w:val="35"/>
          <w:sz w:val="22"/>
        </w:rPr>
        <w:t> </w:t>
      </w:r>
      <w:r>
        <w:rPr>
          <w:sz w:val="22"/>
        </w:rPr>
        <w:t>tops,</w:t>
      </w:r>
      <w:r>
        <w:rPr>
          <w:spacing w:val="37"/>
          <w:sz w:val="22"/>
        </w:rPr>
        <w:t> </w:t>
      </w:r>
      <w:r>
        <w:rPr>
          <w:sz w:val="22"/>
        </w:rPr>
        <w:t>swimming</w:t>
      </w:r>
      <w:r>
        <w:rPr>
          <w:spacing w:val="36"/>
          <w:sz w:val="22"/>
        </w:rPr>
        <w:t> </w:t>
      </w:r>
      <w:r>
        <w:rPr>
          <w:sz w:val="22"/>
        </w:rPr>
        <w:t>pools,</w:t>
      </w:r>
      <w:r>
        <w:rPr>
          <w:spacing w:val="35"/>
          <w:sz w:val="22"/>
        </w:rPr>
        <w:t> </w:t>
      </w:r>
      <w:r>
        <w:rPr>
          <w:sz w:val="22"/>
        </w:rPr>
        <w:t>spas,</w:t>
      </w:r>
      <w:r>
        <w:rPr>
          <w:spacing w:val="37"/>
          <w:sz w:val="22"/>
        </w:rPr>
        <w:t> </w:t>
      </w:r>
      <w:r>
        <w:rPr>
          <w:sz w:val="22"/>
        </w:rPr>
        <w:t>high</w:t>
      </w:r>
      <w:r>
        <w:rPr>
          <w:spacing w:val="36"/>
          <w:sz w:val="22"/>
        </w:rPr>
        <w:t> </w:t>
      </w:r>
      <w:r>
        <w:rPr>
          <w:sz w:val="22"/>
        </w:rPr>
        <w:t>end </w:t>
      </w:r>
      <w:r>
        <w:rPr>
          <w:spacing w:val="-2"/>
          <w:sz w:val="22"/>
        </w:rPr>
        <w:t>fixtures)</w:t>
      </w:r>
    </w:p>
    <w:p>
      <w:pPr>
        <w:pStyle w:val="ListParagraph"/>
        <w:numPr>
          <w:ilvl w:val="0"/>
          <w:numId w:val="12"/>
        </w:numPr>
        <w:tabs>
          <w:tab w:pos="843" w:val="left" w:leader="none"/>
          <w:tab w:pos="844" w:val="left" w:leader="none"/>
        </w:tabs>
        <w:spacing w:line="269" w:lineRule="exact" w:before="1" w:after="0"/>
        <w:ind w:left="843" w:right="0" w:hanging="362"/>
        <w:jc w:val="left"/>
        <w:rPr>
          <w:sz w:val="22"/>
        </w:rPr>
      </w:pPr>
      <w:r>
        <w:rPr>
          <w:sz w:val="22"/>
        </w:rPr>
        <w:t>Tree</w:t>
      </w:r>
      <w:r>
        <w:rPr>
          <w:spacing w:val="-6"/>
          <w:sz w:val="22"/>
        </w:rPr>
        <w:t> </w:t>
      </w:r>
      <w:r>
        <w:rPr>
          <w:spacing w:val="-2"/>
          <w:sz w:val="22"/>
        </w:rPr>
        <w:t>trimming</w:t>
      </w:r>
    </w:p>
    <w:p>
      <w:pPr>
        <w:pStyle w:val="ListParagraph"/>
        <w:numPr>
          <w:ilvl w:val="0"/>
          <w:numId w:val="12"/>
        </w:numPr>
        <w:tabs>
          <w:tab w:pos="843" w:val="left" w:leader="none"/>
          <w:tab w:pos="844" w:val="left" w:leader="none"/>
        </w:tabs>
        <w:spacing w:line="268" w:lineRule="exact" w:before="0" w:after="0"/>
        <w:ind w:left="843" w:right="0" w:hanging="362"/>
        <w:jc w:val="left"/>
        <w:rPr>
          <w:sz w:val="22"/>
        </w:rPr>
      </w:pPr>
      <w:r>
        <w:rPr>
          <w:spacing w:val="-2"/>
          <w:sz w:val="22"/>
        </w:rPr>
        <w:t>Fences</w:t>
      </w:r>
    </w:p>
    <w:p>
      <w:pPr>
        <w:pStyle w:val="ListParagraph"/>
        <w:numPr>
          <w:ilvl w:val="0"/>
          <w:numId w:val="12"/>
        </w:numPr>
        <w:tabs>
          <w:tab w:pos="843" w:val="left" w:leader="none"/>
          <w:tab w:pos="844" w:val="left" w:leader="none"/>
        </w:tabs>
        <w:spacing w:line="268" w:lineRule="exact" w:before="0" w:after="0"/>
        <w:ind w:left="843" w:right="0" w:hanging="361"/>
        <w:jc w:val="left"/>
        <w:rPr>
          <w:sz w:val="22"/>
        </w:rPr>
      </w:pPr>
      <w:r>
        <w:rPr>
          <w:spacing w:val="-2"/>
          <w:sz w:val="22"/>
        </w:rPr>
        <w:t>Landscaping</w:t>
      </w:r>
    </w:p>
    <w:p>
      <w:pPr>
        <w:pStyle w:val="ListParagraph"/>
        <w:numPr>
          <w:ilvl w:val="0"/>
          <w:numId w:val="12"/>
        </w:numPr>
        <w:tabs>
          <w:tab w:pos="843" w:val="left" w:leader="none"/>
          <w:tab w:pos="844" w:val="left" w:leader="none"/>
        </w:tabs>
        <w:spacing w:line="268" w:lineRule="exact" w:before="0" w:after="0"/>
        <w:ind w:left="843" w:right="0" w:hanging="361"/>
        <w:jc w:val="left"/>
        <w:rPr>
          <w:sz w:val="22"/>
        </w:rPr>
      </w:pPr>
      <w:r>
        <w:rPr>
          <w:spacing w:val="-2"/>
          <w:sz w:val="22"/>
        </w:rPr>
        <w:t>Demolition</w:t>
      </w:r>
    </w:p>
    <w:p>
      <w:pPr>
        <w:pStyle w:val="ListParagraph"/>
        <w:numPr>
          <w:ilvl w:val="0"/>
          <w:numId w:val="12"/>
        </w:numPr>
        <w:tabs>
          <w:tab w:pos="843" w:val="left" w:leader="none"/>
          <w:tab w:pos="844" w:val="left" w:leader="none"/>
        </w:tabs>
        <w:spacing w:line="268" w:lineRule="exact" w:before="0" w:after="0"/>
        <w:ind w:left="843" w:right="0" w:hanging="361"/>
        <w:jc w:val="left"/>
        <w:rPr>
          <w:sz w:val="22"/>
        </w:rPr>
      </w:pPr>
      <w:r>
        <w:rPr>
          <w:sz w:val="22"/>
        </w:rPr>
        <w:t>Repair</w:t>
      </w:r>
      <w:r>
        <w:rPr>
          <w:spacing w:val="-2"/>
          <w:sz w:val="22"/>
        </w:rPr>
        <w:t> </w:t>
      </w:r>
      <w:r>
        <w:rPr>
          <w:sz w:val="22"/>
        </w:rPr>
        <w:t>expenses</w:t>
      </w:r>
      <w:r>
        <w:rPr>
          <w:spacing w:val="-6"/>
          <w:sz w:val="22"/>
        </w:rPr>
        <w:t> </w:t>
      </w:r>
      <w:r>
        <w:rPr>
          <w:sz w:val="22"/>
        </w:rPr>
        <w:t>incurred</w:t>
      </w:r>
      <w:r>
        <w:rPr>
          <w:spacing w:val="-4"/>
          <w:sz w:val="22"/>
        </w:rPr>
        <w:t> </w:t>
      </w:r>
      <w:r>
        <w:rPr>
          <w:sz w:val="22"/>
        </w:rPr>
        <w:t>prior</w:t>
      </w:r>
      <w:r>
        <w:rPr>
          <w:spacing w:val="-5"/>
          <w:sz w:val="22"/>
        </w:rPr>
        <w:t> </w:t>
      </w:r>
      <w:r>
        <w:rPr>
          <w:sz w:val="22"/>
        </w:rPr>
        <w:t>to</w:t>
      </w:r>
      <w:r>
        <w:rPr>
          <w:spacing w:val="-6"/>
          <w:sz w:val="22"/>
        </w:rPr>
        <w:t> </w:t>
      </w:r>
      <w:r>
        <w:rPr>
          <w:sz w:val="22"/>
        </w:rPr>
        <w:t>the</w:t>
      </w:r>
      <w:r>
        <w:rPr>
          <w:spacing w:val="-5"/>
          <w:sz w:val="22"/>
        </w:rPr>
        <w:t> </w:t>
      </w:r>
      <w:r>
        <w:rPr>
          <w:sz w:val="22"/>
        </w:rPr>
        <w:t>execution</w:t>
      </w:r>
      <w:r>
        <w:rPr>
          <w:spacing w:val="-4"/>
          <w:sz w:val="22"/>
        </w:rPr>
        <w:t> </w:t>
      </w:r>
      <w:r>
        <w:rPr>
          <w:sz w:val="22"/>
        </w:rPr>
        <w:t>of</w:t>
      </w:r>
      <w:r>
        <w:rPr>
          <w:spacing w:val="-5"/>
          <w:sz w:val="22"/>
        </w:rPr>
        <w:t> </w:t>
      </w:r>
      <w:r>
        <w:rPr>
          <w:sz w:val="22"/>
        </w:rPr>
        <w:t>the</w:t>
      </w:r>
      <w:r>
        <w:rPr>
          <w:spacing w:val="-4"/>
          <w:sz w:val="22"/>
        </w:rPr>
        <w:t> </w:t>
      </w:r>
      <w:r>
        <w:rPr>
          <w:sz w:val="22"/>
        </w:rPr>
        <w:t>contract</w:t>
      </w:r>
      <w:r>
        <w:rPr>
          <w:spacing w:val="-4"/>
          <w:sz w:val="22"/>
        </w:rPr>
        <w:t> </w:t>
      </w:r>
      <w:r>
        <w:rPr>
          <w:sz w:val="22"/>
        </w:rPr>
        <w:t>with</w:t>
      </w:r>
      <w:r>
        <w:rPr>
          <w:spacing w:val="-6"/>
          <w:sz w:val="22"/>
        </w:rPr>
        <w:t> </w:t>
      </w:r>
      <w:r>
        <w:rPr>
          <w:sz w:val="22"/>
        </w:rPr>
        <w:t>the</w:t>
      </w:r>
      <w:r>
        <w:rPr>
          <w:spacing w:val="-3"/>
          <w:sz w:val="22"/>
        </w:rPr>
        <w:t> </w:t>
      </w:r>
      <w:r>
        <w:rPr>
          <w:spacing w:val="-4"/>
          <w:sz w:val="22"/>
        </w:rPr>
        <w:t>City</w:t>
      </w:r>
    </w:p>
    <w:p>
      <w:pPr>
        <w:spacing w:after="0" w:line="268" w:lineRule="exact"/>
        <w:jc w:val="left"/>
        <w:rPr>
          <w:sz w:val="22"/>
        </w:rPr>
        <w:sectPr>
          <w:pgSz w:w="12240" w:h="15840"/>
          <w:pgMar w:header="0" w:footer="1738" w:top="1360" w:bottom="1920" w:left="1320" w:right="1280"/>
        </w:sectPr>
      </w:pPr>
    </w:p>
    <w:p>
      <w:pPr>
        <w:pStyle w:val="Heading5"/>
        <w:spacing w:before="80"/>
      </w:pPr>
      <w:r>
        <w:rPr/>
        <w:t>Assistance</w:t>
      </w:r>
      <w:r>
        <w:rPr>
          <w:spacing w:val="-9"/>
        </w:rPr>
        <w:t> </w:t>
      </w:r>
      <w:r>
        <w:rPr>
          <w:spacing w:val="-4"/>
        </w:rPr>
        <w:t>Terms</w:t>
      </w:r>
    </w:p>
    <w:p>
      <w:pPr>
        <w:pStyle w:val="BodyText"/>
        <w:spacing w:before="49"/>
        <w:ind w:left="120" w:right="153"/>
        <w:jc w:val="both"/>
      </w:pPr>
      <w:r>
        <w:rPr/>
        <w:pict>
          <v:shape style="position:absolute;margin-left:90.065002pt;margin-top:84.534019pt;width:395.3pt;height:419pt;mso-position-horizontal-relative:page;mso-position-vertical-relative:paragraph;z-index:-17718784" id="docshape56" coordorigin="1801,1691" coordsize="7906,8380" path="m4498,8954l4492,8881,4477,8803,4455,8720,4432,8651,4403,8579,4367,8504,4325,8426,4276,8345,4237,8286,4200,8236,4200,8921,4197,8977,4186,9034,4167,9092,4138,9151,4097,9214,4044,9280,3979,9349,3674,9655,2216,8197,2517,7897,2598,7820,2672,7760,2740,7717,2801,7691,2868,7676,2941,7672,3020,7679,3105,7696,3195,7726,3255,7751,3317,7784,3380,7822,3446,7867,3514,7919,3584,7977,3656,8042,3729,8113,3789,8174,3845,8235,3896,8294,3943,8352,3986,8408,4025,8463,4059,8517,4101,8592,4136,8664,4163,8734,4183,8801,4196,8865,4200,8921,4200,8236,4194,8227,4148,8166,4098,8106,4045,8045,3989,7984,3929,7922,3865,7860,3801,7801,3737,7746,3673,7695,3643,7672,3609,7647,3546,7602,3482,7561,3419,7523,3346,7485,3274,7453,3203,7426,3132,7404,3062,7387,2992,7375,2923,7368,2850,7366,2779,7373,2709,7388,2642,7411,2577,7441,2528,7469,2476,7506,2420,7552,2359,7606,2294,7668,1801,8162,3710,10070,4124,9655,4226,9553,4287,9488,4341,9423,4386,9357,4424,9290,4454,9224,4476,9157,4491,9091,4498,9023,4498,8954xm6418,7361l6056,7234,5650,7091,5561,7062,5475,7038,5393,7019,5365,7013,5314,7004,5239,6994,5193,6993,5143,6995,5089,7003,5030,7013,5073,6944,5109,6874,5136,6805,5154,6736,5164,6668,5165,6599,5157,6532,5139,6454,5111,6377,5075,6303,5030,6230,4976,6159,4956,6137,4913,6091,4872,6053,4872,6610,4868,6666,4854,6720,4830,6777,4794,6835,4747,6896,4687,6960,4280,7367,3649,6736,4102,6283,4166,6226,4229,6183,4293,6153,4358,6138,4422,6137,4501,6152,4577,6182,4649,6226,4718,6286,4761,6334,4797,6384,4827,6438,4851,6495,4867,6553,4872,6610,4872,6053,4849,6031,4782,5979,4713,5933,4641,5895,4566,5863,4474,5834,4386,5822,4303,5824,4225,5840,4163,5864,4098,5901,4030,5949,3958,6009,3883,6080,3248,6714,5157,8623,5346,8433,4499,7586,4718,7367,4753,7333,4783,7305,4810,7284,4833,7270,4863,7256,4896,7245,4932,7238,4971,7234,5014,7234,5066,7239,5125,7249,5194,7266,5256,7283,5328,7304,5407,7329,5496,7358,6180,7599,6418,7361xm7780,5999l7415,5804,6555,5350,6555,5657,6070,6142,6030,6071,5989,5999,5748,5568,5708,5497,5668,5425,5629,5360,5590,5295,5550,5231,5509,5168,5467,5106,5424,5044,5380,4984,5436,5019,5498,5057,5564,5097,5635,5139,5792,5229,6555,5657,6555,5350,5862,4984,5286,4677,5082,4881,5277,5231,5316,5301,5701,5999,6207,6918,6441,7339,6642,7138,6565,7004,6298,6536,6221,6402,6481,6142,6820,5804,7173,5999,7565,6215,7780,5999xm8131,5649l7264,4782,7936,4110,7711,3885,7039,4556,6448,3965,7224,3189,6999,2964,6033,3930,7941,5838,8131,5649xm9707,4073l8024,2389,8497,1916,8272,1691,7138,2825,7363,3050,7834,2579,9517,4262,9707,4073xe" filled="true" fillcolor="#c0c0c0" stroked="false">
            <v:path arrowok="t"/>
            <v:fill opacity="32896f" type="solid"/>
            <w10:wrap type="none"/>
          </v:shape>
        </w:pict>
      </w:r>
      <w:r>
        <w:rPr/>
        <w:t>The Tenth Street TRP is a grant program with assistance in an amount not to exceed $50,000 per property. Financial assistance will be the exact amount required to cover the cost of eligible repairs</w:t>
      </w:r>
      <w:r>
        <w:rPr>
          <w:spacing w:val="-16"/>
        </w:rPr>
        <w:t> </w:t>
      </w:r>
      <w:r>
        <w:rPr/>
        <w:t>up</w:t>
      </w:r>
      <w:r>
        <w:rPr>
          <w:spacing w:val="-15"/>
        </w:rPr>
        <w:t> </w:t>
      </w:r>
      <w:r>
        <w:rPr/>
        <w:t>to</w:t>
      </w:r>
      <w:r>
        <w:rPr>
          <w:spacing w:val="-15"/>
        </w:rPr>
        <w:t> </w:t>
      </w:r>
      <w:r>
        <w:rPr/>
        <w:t>the</w:t>
      </w:r>
      <w:r>
        <w:rPr>
          <w:spacing w:val="-16"/>
        </w:rPr>
        <w:t> </w:t>
      </w:r>
      <w:r>
        <w:rPr/>
        <w:t>amount</w:t>
      </w:r>
      <w:r>
        <w:rPr>
          <w:spacing w:val="-15"/>
        </w:rPr>
        <w:t> </w:t>
      </w:r>
      <w:r>
        <w:rPr/>
        <w:t>available</w:t>
      </w:r>
      <w:r>
        <w:rPr>
          <w:spacing w:val="-15"/>
        </w:rPr>
        <w:t> </w:t>
      </w:r>
      <w:r>
        <w:rPr/>
        <w:t>per</w:t>
      </w:r>
      <w:r>
        <w:rPr>
          <w:spacing w:val="-15"/>
        </w:rPr>
        <w:t> </w:t>
      </w:r>
      <w:r>
        <w:rPr/>
        <w:t>property</w:t>
      </w:r>
      <w:r>
        <w:rPr>
          <w:spacing w:val="-16"/>
        </w:rPr>
        <w:t> </w:t>
      </w:r>
      <w:r>
        <w:rPr/>
        <w:t>and</w:t>
      </w:r>
      <w:r>
        <w:rPr>
          <w:spacing w:val="-15"/>
        </w:rPr>
        <w:t> </w:t>
      </w:r>
      <w:r>
        <w:rPr/>
        <w:t>will</w:t>
      </w:r>
      <w:r>
        <w:rPr>
          <w:spacing w:val="-15"/>
        </w:rPr>
        <w:t> </w:t>
      </w:r>
      <w:r>
        <w:rPr/>
        <w:t>be</w:t>
      </w:r>
      <w:r>
        <w:rPr>
          <w:spacing w:val="-16"/>
        </w:rPr>
        <w:t> </w:t>
      </w:r>
      <w:r>
        <w:rPr/>
        <w:t>paid</w:t>
      </w:r>
      <w:r>
        <w:rPr>
          <w:spacing w:val="-15"/>
        </w:rPr>
        <w:t> </w:t>
      </w:r>
      <w:r>
        <w:rPr/>
        <w:t>directly</w:t>
      </w:r>
      <w:r>
        <w:rPr>
          <w:spacing w:val="-15"/>
        </w:rPr>
        <w:t> </w:t>
      </w:r>
      <w:r>
        <w:rPr/>
        <w:t>to</w:t>
      </w:r>
      <w:r>
        <w:rPr>
          <w:spacing w:val="-15"/>
        </w:rPr>
        <w:t> </w:t>
      </w:r>
      <w:r>
        <w:rPr/>
        <w:t>the</w:t>
      </w:r>
      <w:r>
        <w:rPr>
          <w:spacing w:val="-16"/>
        </w:rPr>
        <w:t> </w:t>
      </w:r>
      <w:r>
        <w:rPr/>
        <w:t>contractor</w:t>
      </w:r>
      <w:r>
        <w:rPr>
          <w:spacing w:val="-15"/>
        </w:rPr>
        <w:t> </w:t>
      </w:r>
      <w:r>
        <w:rPr/>
        <w:t>to</w:t>
      </w:r>
      <w:r>
        <w:rPr>
          <w:spacing w:val="-15"/>
        </w:rPr>
        <w:t> </w:t>
      </w:r>
      <w:r>
        <w:rPr/>
        <w:t>perform the</w:t>
      </w:r>
      <w:r>
        <w:rPr>
          <w:spacing w:val="-11"/>
        </w:rPr>
        <w:t> </w:t>
      </w:r>
      <w:r>
        <w:rPr/>
        <w:t>repair</w:t>
      </w:r>
      <w:r>
        <w:rPr>
          <w:spacing w:val="-10"/>
        </w:rPr>
        <w:t> </w:t>
      </w:r>
      <w:r>
        <w:rPr/>
        <w:t>work.</w:t>
      </w:r>
      <w:r>
        <w:rPr>
          <w:spacing w:val="-7"/>
        </w:rPr>
        <w:t> </w:t>
      </w:r>
      <w:r>
        <w:rPr/>
        <w:t>Repairs</w:t>
      </w:r>
      <w:r>
        <w:rPr>
          <w:spacing w:val="-11"/>
        </w:rPr>
        <w:t> </w:t>
      </w:r>
      <w:r>
        <w:rPr/>
        <w:t>in</w:t>
      </w:r>
      <w:r>
        <w:rPr>
          <w:spacing w:val="-9"/>
        </w:rPr>
        <w:t> </w:t>
      </w:r>
      <w:r>
        <w:rPr/>
        <w:t>excess</w:t>
      </w:r>
      <w:r>
        <w:rPr>
          <w:spacing w:val="-11"/>
        </w:rPr>
        <w:t> </w:t>
      </w:r>
      <w:r>
        <w:rPr/>
        <w:t>of</w:t>
      </w:r>
      <w:r>
        <w:rPr>
          <w:spacing w:val="-10"/>
        </w:rPr>
        <w:t> </w:t>
      </w:r>
      <w:r>
        <w:rPr/>
        <w:t>the</w:t>
      </w:r>
      <w:r>
        <w:rPr>
          <w:spacing w:val="-11"/>
        </w:rPr>
        <w:t> </w:t>
      </w:r>
      <w:r>
        <w:rPr/>
        <w:t>program</w:t>
      </w:r>
      <w:r>
        <w:rPr>
          <w:spacing w:val="-10"/>
        </w:rPr>
        <w:t> </w:t>
      </w:r>
      <w:r>
        <w:rPr/>
        <w:t>limits</w:t>
      </w:r>
      <w:r>
        <w:rPr>
          <w:spacing w:val="-8"/>
        </w:rPr>
        <w:t> </w:t>
      </w:r>
      <w:r>
        <w:rPr/>
        <w:t>or</w:t>
      </w:r>
      <w:r>
        <w:rPr>
          <w:spacing w:val="-8"/>
        </w:rPr>
        <w:t> </w:t>
      </w:r>
      <w:r>
        <w:rPr/>
        <w:t>outside</w:t>
      </w:r>
      <w:r>
        <w:rPr>
          <w:spacing w:val="-11"/>
        </w:rPr>
        <w:t> </w:t>
      </w:r>
      <w:r>
        <w:rPr/>
        <w:t>the</w:t>
      </w:r>
      <w:r>
        <w:rPr>
          <w:spacing w:val="-11"/>
        </w:rPr>
        <w:t> </w:t>
      </w:r>
      <w:r>
        <w:rPr/>
        <w:t>scope</w:t>
      </w:r>
      <w:r>
        <w:rPr>
          <w:spacing w:val="-9"/>
        </w:rPr>
        <w:t> </w:t>
      </w:r>
      <w:r>
        <w:rPr/>
        <w:t>of</w:t>
      </w:r>
      <w:r>
        <w:rPr>
          <w:spacing w:val="-10"/>
        </w:rPr>
        <w:t> </w:t>
      </w:r>
      <w:r>
        <w:rPr/>
        <w:t>the</w:t>
      </w:r>
      <w:r>
        <w:rPr>
          <w:spacing w:val="-14"/>
        </w:rPr>
        <w:t> </w:t>
      </w:r>
      <w:r>
        <w:rPr/>
        <w:t>repair</w:t>
      </w:r>
      <w:r>
        <w:rPr>
          <w:spacing w:val="-10"/>
        </w:rPr>
        <w:t> </w:t>
      </w:r>
      <w:r>
        <w:rPr/>
        <w:t>contract are</w:t>
      </w:r>
      <w:r>
        <w:rPr>
          <w:spacing w:val="-12"/>
        </w:rPr>
        <w:t> </w:t>
      </w:r>
      <w:r>
        <w:rPr/>
        <w:t>the</w:t>
      </w:r>
      <w:r>
        <w:rPr>
          <w:spacing w:val="-15"/>
        </w:rPr>
        <w:t> </w:t>
      </w:r>
      <w:r>
        <w:rPr/>
        <w:t>responsibility</w:t>
      </w:r>
      <w:r>
        <w:rPr>
          <w:spacing w:val="-12"/>
        </w:rPr>
        <w:t> </w:t>
      </w:r>
      <w:r>
        <w:rPr/>
        <w:t>of</w:t>
      </w:r>
      <w:r>
        <w:rPr>
          <w:spacing w:val="-13"/>
        </w:rPr>
        <w:t> </w:t>
      </w:r>
      <w:r>
        <w:rPr/>
        <w:t>the</w:t>
      </w:r>
      <w:r>
        <w:rPr>
          <w:spacing w:val="-12"/>
        </w:rPr>
        <w:t> </w:t>
      </w:r>
      <w:r>
        <w:rPr/>
        <w:t>homeowner.</w:t>
      </w:r>
      <w:r>
        <w:rPr>
          <w:spacing w:val="-9"/>
        </w:rPr>
        <w:t> </w:t>
      </w:r>
      <w:r>
        <w:rPr/>
        <w:t>Applicants</w:t>
      </w:r>
      <w:r>
        <w:rPr>
          <w:spacing w:val="-12"/>
        </w:rPr>
        <w:t> </w:t>
      </w:r>
      <w:r>
        <w:rPr/>
        <w:t>previously</w:t>
      </w:r>
      <w:r>
        <w:rPr>
          <w:spacing w:val="-12"/>
        </w:rPr>
        <w:t> </w:t>
      </w:r>
      <w:r>
        <w:rPr/>
        <w:t>assisted</w:t>
      </w:r>
      <w:r>
        <w:rPr>
          <w:spacing w:val="-14"/>
        </w:rPr>
        <w:t> </w:t>
      </w:r>
      <w:r>
        <w:rPr/>
        <w:t>through</w:t>
      </w:r>
      <w:r>
        <w:rPr>
          <w:spacing w:val="-12"/>
        </w:rPr>
        <w:t> </w:t>
      </w:r>
      <w:r>
        <w:rPr/>
        <w:t>this</w:t>
      </w:r>
      <w:r>
        <w:rPr>
          <w:spacing w:val="-12"/>
        </w:rPr>
        <w:t> </w:t>
      </w:r>
      <w:r>
        <w:rPr/>
        <w:t>program</w:t>
      </w:r>
      <w:r>
        <w:rPr>
          <w:spacing w:val="-13"/>
        </w:rPr>
        <w:t> </w:t>
      </w:r>
      <w:r>
        <w:rPr/>
        <w:t>may reapply</w:t>
      </w:r>
      <w:r>
        <w:rPr>
          <w:spacing w:val="-2"/>
        </w:rPr>
        <w:t> </w:t>
      </w:r>
      <w:r>
        <w:rPr/>
        <w:t>for</w:t>
      </w:r>
      <w:r>
        <w:rPr>
          <w:spacing w:val="-1"/>
        </w:rPr>
        <w:t> </w:t>
      </w:r>
      <w:r>
        <w:rPr/>
        <w:t>assistance</w:t>
      </w:r>
      <w:r>
        <w:rPr>
          <w:spacing w:val="-3"/>
        </w:rPr>
        <w:t> </w:t>
      </w:r>
      <w:r>
        <w:rPr/>
        <w:t>up</w:t>
      </w:r>
      <w:r>
        <w:rPr>
          <w:spacing w:val="-5"/>
        </w:rPr>
        <w:t> </w:t>
      </w:r>
      <w:r>
        <w:rPr/>
        <w:t>to</w:t>
      </w:r>
      <w:r>
        <w:rPr>
          <w:spacing w:val="-3"/>
        </w:rPr>
        <w:t> </w:t>
      </w:r>
      <w:r>
        <w:rPr/>
        <w:t>an</w:t>
      </w:r>
      <w:r>
        <w:rPr>
          <w:spacing w:val="-5"/>
        </w:rPr>
        <w:t> </w:t>
      </w:r>
      <w:r>
        <w:rPr/>
        <w:t>amount</w:t>
      </w:r>
      <w:r>
        <w:rPr>
          <w:spacing w:val="-1"/>
        </w:rPr>
        <w:t> </w:t>
      </w:r>
      <w:r>
        <w:rPr/>
        <w:t>not</w:t>
      </w:r>
      <w:r>
        <w:rPr>
          <w:spacing w:val="-1"/>
        </w:rPr>
        <w:t> </w:t>
      </w:r>
      <w:r>
        <w:rPr/>
        <w:t>exceeding</w:t>
      </w:r>
      <w:r>
        <w:rPr>
          <w:spacing w:val="-3"/>
        </w:rPr>
        <w:t> </w:t>
      </w:r>
      <w:r>
        <w:rPr/>
        <w:t>$50,000,</w:t>
      </w:r>
      <w:r>
        <w:rPr>
          <w:spacing w:val="-4"/>
        </w:rPr>
        <w:t> </w:t>
      </w:r>
      <w:r>
        <w:rPr/>
        <w:t>when</w:t>
      </w:r>
      <w:r>
        <w:rPr>
          <w:spacing w:val="-3"/>
        </w:rPr>
        <w:t> </w:t>
      </w:r>
      <w:r>
        <w:rPr/>
        <w:t>combined</w:t>
      </w:r>
      <w:r>
        <w:rPr>
          <w:spacing w:val="-3"/>
        </w:rPr>
        <w:t> </w:t>
      </w:r>
      <w:r>
        <w:rPr/>
        <w:t>with</w:t>
      </w:r>
      <w:r>
        <w:rPr>
          <w:spacing w:val="-3"/>
        </w:rPr>
        <w:t> </w:t>
      </w:r>
      <w:r>
        <w:rPr/>
        <w:t>the</w:t>
      </w:r>
      <w:r>
        <w:rPr>
          <w:spacing w:val="-3"/>
        </w:rPr>
        <w:t> </w:t>
      </w:r>
      <w:r>
        <w:rPr/>
        <w:t>amount of prior assistance received.</w:t>
      </w:r>
    </w:p>
    <w:p>
      <w:pPr>
        <w:pStyle w:val="BodyText"/>
        <w:spacing w:before="1"/>
      </w:pPr>
    </w:p>
    <w:p>
      <w:pPr>
        <w:pStyle w:val="BodyText"/>
        <w:spacing w:before="1"/>
        <w:ind w:left="119" w:right="153"/>
        <w:jc w:val="both"/>
      </w:pPr>
      <w:r>
        <w:rPr/>
        <w:t>The grant will be enforced by a deed restriction. The deed restriction will have an affordability period of five (5) years from the date of signing the contract between the city and homeowner, and repayment terms will be prorated equally based upon the grant amount, except when bond funds are utilized.</w:t>
      </w:r>
    </w:p>
    <w:p>
      <w:pPr>
        <w:pStyle w:val="BodyText"/>
        <w:spacing w:before="11"/>
        <w:rPr>
          <w:sz w:val="21"/>
        </w:rPr>
      </w:pPr>
    </w:p>
    <w:p>
      <w:pPr>
        <w:pStyle w:val="BodyText"/>
        <w:ind w:left="120"/>
      </w:pPr>
      <w:r>
        <w:rPr/>
        <w:t>There</w:t>
      </w:r>
      <w:r>
        <w:rPr>
          <w:spacing w:val="-5"/>
        </w:rPr>
        <w:t> </w:t>
      </w:r>
      <w:r>
        <w:rPr/>
        <w:t>are</w:t>
      </w:r>
      <w:r>
        <w:rPr>
          <w:spacing w:val="-4"/>
        </w:rPr>
        <w:t> </w:t>
      </w:r>
      <w:r>
        <w:rPr/>
        <w:t>no</w:t>
      </w:r>
      <w:r>
        <w:rPr>
          <w:spacing w:val="-7"/>
        </w:rPr>
        <w:t> </w:t>
      </w:r>
      <w:r>
        <w:rPr/>
        <w:t>grant</w:t>
      </w:r>
      <w:r>
        <w:rPr>
          <w:spacing w:val="-5"/>
        </w:rPr>
        <w:t> </w:t>
      </w:r>
      <w:r>
        <w:rPr/>
        <w:t>repayments</w:t>
      </w:r>
      <w:r>
        <w:rPr>
          <w:spacing w:val="-6"/>
        </w:rPr>
        <w:t> </w:t>
      </w:r>
      <w:r>
        <w:rPr/>
        <w:t>unless</w:t>
      </w:r>
      <w:r>
        <w:rPr>
          <w:spacing w:val="-4"/>
        </w:rPr>
        <w:t> </w:t>
      </w:r>
      <w:r>
        <w:rPr/>
        <w:t>one</w:t>
      </w:r>
      <w:r>
        <w:rPr>
          <w:spacing w:val="-6"/>
        </w:rPr>
        <w:t> </w:t>
      </w:r>
      <w:r>
        <w:rPr/>
        <w:t>of</w:t>
      </w:r>
      <w:r>
        <w:rPr>
          <w:spacing w:val="-6"/>
        </w:rPr>
        <w:t> </w:t>
      </w:r>
      <w:r>
        <w:rPr/>
        <w:t>the</w:t>
      </w:r>
      <w:r>
        <w:rPr>
          <w:spacing w:val="-6"/>
        </w:rPr>
        <w:t> </w:t>
      </w:r>
      <w:r>
        <w:rPr/>
        <w:t>following</w:t>
      </w:r>
      <w:r>
        <w:rPr>
          <w:spacing w:val="-4"/>
        </w:rPr>
        <w:t> </w:t>
      </w:r>
      <w:r>
        <w:rPr/>
        <w:t>occurs</w:t>
      </w:r>
      <w:r>
        <w:rPr>
          <w:spacing w:val="-3"/>
        </w:rPr>
        <w:t> </w:t>
      </w:r>
      <w:r>
        <w:rPr/>
        <w:t>within</w:t>
      </w:r>
      <w:r>
        <w:rPr>
          <w:spacing w:val="-6"/>
        </w:rPr>
        <w:t> </w:t>
      </w:r>
      <w:r>
        <w:rPr/>
        <w:t>the</w:t>
      </w:r>
      <w:r>
        <w:rPr>
          <w:spacing w:val="-5"/>
        </w:rPr>
        <w:t> </w:t>
      </w:r>
      <w:r>
        <w:rPr/>
        <w:t>affordability</w:t>
      </w:r>
      <w:r>
        <w:rPr>
          <w:spacing w:val="-2"/>
        </w:rPr>
        <w:t> period:</w:t>
      </w:r>
    </w:p>
    <w:p>
      <w:pPr>
        <w:pStyle w:val="ListParagraph"/>
        <w:numPr>
          <w:ilvl w:val="0"/>
          <w:numId w:val="12"/>
        </w:numPr>
        <w:tabs>
          <w:tab w:pos="840" w:val="left" w:leader="none"/>
          <w:tab w:pos="841" w:val="left" w:leader="none"/>
        </w:tabs>
        <w:spacing w:line="268" w:lineRule="exact" w:before="1" w:after="0"/>
        <w:ind w:left="840" w:right="0" w:hanging="361"/>
        <w:jc w:val="left"/>
        <w:rPr>
          <w:sz w:val="22"/>
        </w:rPr>
      </w:pPr>
      <w:r>
        <w:rPr>
          <w:sz w:val="22"/>
        </w:rPr>
        <w:t>The</w:t>
      </w:r>
      <w:r>
        <w:rPr>
          <w:spacing w:val="-7"/>
          <w:sz w:val="22"/>
        </w:rPr>
        <w:t> </w:t>
      </w:r>
      <w:r>
        <w:rPr>
          <w:sz w:val="22"/>
        </w:rPr>
        <w:t>sale,</w:t>
      </w:r>
      <w:r>
        <w:rPr>
          <w:spacing w:val="-5"/>
          <w:sz w:val="22"/>
        </w:rPr>
        <w:t> </w:t>
      </w:r>
      <w:r>
        <w:rPr>
          <w:sz w:val="22"/>
        </w:rPr>
        <w:t>conveyance,</w:t>
      </w:r>
      <w:r>
        <w:rPr>
          <w:spacing w:val="-6"/>
          <w:sz w:val="22"/>
        </w:rPr>
        <w:t> </w:t>
      </w:r>
      <w:r>
        <w:rPr>
          <w:sz w:val="22"/>
        </w:rPr>
        <w:t>transfer,</w:t>
      </w:r>
      <w:r>
        <w:rPr>
          <w:spacing w:val="-5"/>
          <w:sz w:val="22"/>
        </w:rPr>
        <w:t> </w:t>
      </w:r>
      <w:r>
        <w:rPr>
          <w:sz w:val="22"/>
        </w:rPr>
        <w:t>rental,</w:t>
      </w:r>
      <w:r>
        <w:rPr>
          <w:spacing w:val="-5"/>
          <w:sz w:val="22"/>
        </w:rPr>
        <w:t> </w:t>
      </w:r>
      <w:r>
        <w:rPr>
          <w:sz w:val="22"/>
        </w:rPr>
        <w:t>or</w:t>
      </w:r>
      <w:r>
        <w:rPr>
          <w:spacing w:val="-5"/>
          <w:sz w:val="22"/>
        </w:rPr>
        <w:t> </w:t>
      </w:r>
      <w:r>
        <w:rPr>
          <w:sz w:val="22"/>
        </w:rPr>
        <w:t>hypothecation</w:t>
      </w:r>
      <w:r>
        <w:rPr>
          <w:spacing w:val="-4"/>
          <w:sz w:val="22"/>
        </w:rPr>
        <w:t> </w:t>
      </w:r>
      <w:r>
        <w:rPr>
          <w:sz w:val="22"/>
        </w:rPr>
        <w:t>of</w:t>
      </w:r>
      <w:r>
        <w:rPr>
          <w:spacing w:val="-8"/>
          <w:sz w:val="22"/>
        </w:rPr>
        <w:t> </w:t>
      </w:r>
      <w:r>
        <w:rPr>
          <w:sz w:val="22"/>
        </w:rPr>
        <w:t>the</w:t>
      </w:r>
      <w:r>
        <w:rPr>
          <w:spacing w:val="-4"/>
          <w:sz w:val="22"/>
        </w:rPr>
        <w:t> </w:t>
      </w:r>
      <w:r>
        <w:rPr>
          <w:sz w:val="22"/>
        </w:rPr>
        <w:t>security</w:t>
      </w:r>
      <w:r>
        <w:rPr>
          <w:spacing w:val="-6"/>
          <w:sz w:val="22"/>
        </w:rPr>
        <w:t> </w:t>
      </w:r>
      <w:r>
        <w:rPr>
          <w:sz w:val="22"/>
        </w:rPr>
        <w:t>of</w:t>
      </w:r>
      <w:r>
        <w:rPr>
          <w:spacing w:val="-5"/>
          <w:sz w:val="22"/>
        </w:rPr>
        <w:t> </w:t>
      </w:r>
      <w:r>
        <w:rPr>
          <w:sz w:val="22"/>
        </w:rPr>
        <w:t>the</w:t>
      </w:r>
      <w:r>
        <w:rPr>
          <w:spacing w:val="-4"/>
          <w:sz w:val="22"/>
        </w:rPr>
        <w:t> </w:t>
      </w:r>
      <w:r>
        <w:rPr>
          <w:spacing w:val="-2"/>
          <w:sz w:val="22"/>
        </w:rPr>
        <w:t>property</w:t>
      </w:r>
    </w:p>
    <w:p>
      <w:pPr>
        <w:pStyle w:val="ListParagraph"/>
        <w:numPr>
          <w:ilvl w:val="0"/>
          <w:numId w:val="12"/>
        </w:numPr>
        <w:tabs>
          <w:tab w:pos="840" w:val="left" w:leader="none"/>
          <w:tab w:pos="841" w:val="left" w:leader="none"/>
        </w:tabs>
        <w:spacing w:line="268" w:lineRule="exact" w:before="0" w:after="0"/>
        <w:ind w:left="840" w:right="0" w:hanging="361"/>
        <w:jc w:val="left"/>
        <w:rPr>
          <w:sz w:val="22"/>
        </w:rPr>
      </w:pPr>
      <w:r>
        <w:rPr>
          <w:sz w:val="22"/>
        </w:rPr>
        <w:t>If</w:t>
      </w:r>
      <w:r>
        <w:rPr>
          <w:spacing w:val="-4"/>
          <w:sz w:val="22"/>
        </w:rPr>
        <w:t> </w:t>
      </w:r>
      <w:r>
        <w:rPr>
          <w:sz w:val="22"/>
        </w:rPr>
        <w:t>the</w:t>
      </w:r>
      <w:r>
        <w:rPr>
          <w:spacing w:val="-5"/>
          <w:sz w:val="22"/>
        </w:rPr>
        <w:t> </w:t>
      </w:r>
      <w:r>
        <w:rPr>
          <w:sz w:val="22"/>
        </w:rPr>
        <w:t>home</w:t>
      </w:r>
      <w:r>
        <w:rPr>
          <w:spacing w:val="-5"/>
          <w:sz w:val="22"/>
        </w:rPr>
        <w:t> </w:t>
      </w:r>
      <w:r>
        <w:rPr>
          <w:sz w:val="22"/>
        </w:rPr>
        <w:t>is</w:t>
      </w:r>
      <w:r>
        <w:rPr>
          <w:spacing w:val="-3"/>
          <w:sz w:val="22"/>
        </w:rPr>
        <w:t> </w:t>
      </w:r>
      <w:r>
        <w:rPr>
          <w:sz w:val="22"/>
        </w:rPr>
        <w:t>vacated</w:t>
      </w:r>
      <w:r>
        <w:rPr>
          <w:spacing w:val="-5"/>
          <w:sz w:val="22"/>
        </w:rPr>
        <w:t> </w:t>
      </w:r>
      <w:r>
        <w:rPr>
          <w:sz w:val="22"/>
        </w:rPr>
        <w:t>during</w:t>
      </w:r>
      <w:r>
        <w:rPr>
          <w:spacing w:val="-3"/>
          <w:sz w:val="22"/>
        </w:rPr>
        <w:t> </w:t>
      </w:r>
      <w:r>
        <w:rPr>
          <w:sz w:val="22"/>
        </w:rPr>
        <w:t>the</w:t>
      </w:r>
      <w:r>
        <w:rPr>
          <w:spacing w:val="-5"/>
          <w:sz w:val="22"/>
        </w:rPr>
        <w:t> </w:t>
      </w:r>
      <w:r>
        <w:rPr>
          <w:sz w:val="22"/>
        </w:rPr>
        <w:t>affordability</w:t>
      </w:r>
      <w:r>
        <w:rPr>
          <w:spacing w:val="-5"/>
          <w:sz w:val="22"/>
        </w:rPr>
        <w:t> </w:t>
      </w:r>
      <w:r>
        <w:rPr>
          <w:spacing w:val="-2"/>
          <w:sz w:val="22"/>
        </w:rPr>
        <w:t>period</w:t>
      </w:r>
    </w:p>
    <w:p>
      <w:pPr>
        <w:pStyle w:val="ListParagraph"/>
        <w:numPr>
          <w:ilvl w:val="0"/>
          <w:numId w:val="12"/>
        </w:numPr>
        <w:tabs>
          <w:tab w:pos="841" w:val="left" w:leader="none"/>
          <w:tab w:pos="842" w:val="left" w:leader="none"/>
        </w:tabs>
        <w:spacing w:line="237" w:lineRule="auto" w:before="1" w:after="0"/>
        <w:ind w:left="841" w:right="160" w:hanging="361"/>
        <w:jc w:val="left"/>
        <w:rPr>
          <w:sz w:val="22"/>
        </w:rPr>
      </w:pPr>
      <w:r>
        <w:rPr>
          <w:sz w:val="22"/>
        </w:rPr>
        <w:t>If</w:t>
      </w:r>
      <w:r>
        <w:rPr>
          <w:spacing w:val="-16"/>
          <w:sz w:val="22"/>
        </w:rPr>
        <w:t> </w:t>
      </w:r>
      <w:r>
        <w:rPr>
          <w:sz w:val="22"/>
        </w:rPr>
        <w:t>the</w:t>
      </w:r>
      <w:r>
        <w:rPr>
          <w:spacing w:val="-16"/>
          <w:sz w:val="22"/>
        </w:rPr>
        <w:t> </w:t>
      </w:r>
      <w:r>
        <w:rPr>
          <w:sz w:val="22"/>
        </w:rPr>
        <w:t>Applicant</w:t>
      </w:r>
      <w:r>
        <w:rPr>
          <w:spacing w:val="-15"/>
          <w:sz w:val="22"/>
        </w:rPr>
        <w:t> </w:t>
      </w:r>
      <w:r>
        <w:rPr>
          <w:sz w:val="22"/>
        </w:rPr>
        <w:t>who</w:t>
      </w:r>
      <w:r>
        <w:rPr>
          <w:spacing w:val="-15"/>
          <w:sz w:val="22"/>
        </w:rPr>
        <w:t> </w:t>
      </w:r>
      <w:r>
        <w:rPr>
          <w:sz w:val="22"/>
        </w:rPr>
        <w:t>does</w:t>
      </w:r>
      <w:r>
        <w:rPr>
          <w:spacing w:val="-18"/>
          <w:sz w:val="22"/>
        </w:rPr>
        <w:t> </w:t>
      </w:r>
      <w:r>
        <w:rPr>
          <w:sz w:val="22"/>
        </w:rPr>
        <w:t>not</w:t>
      </w:r>
      <w:r>
        <w:rPr>
          <w:spacing w:val="-16"/>
          <w:sz w:val="22"/>
        </w:rPr>
        <w:t> </w:t>
      </w:r>
      <w:r>
        <w:rPr>
          <w:sz w:val="22"/>
        </w:rPr>
        <w:t>currently</w:t>
      </w:r>
      <w:r>
        <w:rPr>
          <w:spacing w:val="-15"/>
          <w:sz w:val="22"/>
        </w:rPr>
        <w:t> </w:t>
      </w:r>
      <w:r>
        <w:rPr>
          <w:sz w:val="22"/>
        </w:rPr>
        <w:t>occupy</w:t>
      </w:r>
      <w:r>
        <w:rPr>
          <w:spacing w:val="-16"/>
          <w:sz w:val="22"/>
        </w:rPr>
        <w:t> </w:t>
      </w:r>
      <w:r>
        <w:rPr>
          <w:sz w:val="22"/>
        </w:rPr>
        <w:t>the</w:t>
      </w:r>
      <w:r>
        <w:rPr>
          <w:spacing w:val="-17"/>
          <w:sz w:val="22"/>
        </w:rPr>
        <w:t> </w:t>
      </w:r>
      <w:r>
        <w:rPr>
          <w:sz w:val="22"/>
        </w:rPr>
        <w:t>dwelling</w:t>
      </w:r>
      <w:r>
        <w:rPr>
          <w:spacing w:val="-15"/>
          <w:sz w:val="22"/>
        </w:rPr>
        <w:t> </w:t>
      </w:r>
      <w:r>
        <w:rPr>
          <w:sz w:val="22"/>
        </w:rPr>
        <w:t>does</w:t>
      </w:r>
      <w:r>
        <w:rPr>
          <w:spacing w:val="-15"/>
          <w:sz w:val="22"/>
        </w:rPr>
        <w:t> </w:t>
      </w:r>
      <w:r>
        <w:rPr>
          <w:sz w:val="22"/>
        </w:rPr>
        <w:t>not</w:t>
      </w:r>
      <w:r>
        <w:rPr>
          <w:spacing w:val="-16"/>
          <w:sz w:val="22"/>
        </w:rPr>
        <w:t> </w:t>
      </w:r>
      <w:r>
        <w:rPr>
          <w:sz w:val="22"/>
        </w:rPr>
        <w:t>move</w:t>
      </w:r>
      <w:r>
        <w:rPr>
          <w:spacing w:val="-15"/>
          <w:sz w:val="22"/>
        </w:rPr>
        <w:t> </w:t>
      </w:r>
      <w:r>
        <w:rPr>
          <w:sz w:val="22"/>
        </w:rPr>
        <w:t>into</w:t>
      </w:r>
      <w:r>
        <w:rPr>
          <w:spacing w:val="-17"/>
          <w:sz w:val="22"/>
        </w:rPr>
        <w:t> </w:t>
      </w:r>
      <w:r>
        <w:rPr>
          <w:sz w:val="22"/>
        </w:rPr>
        <w:t>the</w:t>
      </w:r>
      <w:r>
        <w:rPr>
          <w:spacing w:val="-15"/>
          <w:sz w:val="22"/>
        </w:rPr>
        <w:t> </w:t>
      </w:r>
      <w:r>
        <w:rPr>
          <w:sz w:val="22"/>
        </w:rPr>
        <w:t>dwelling within 6 months of grant award</w:t>
      </w:r>
    </w:p>
    <w:p>
      <w:pPr>
        <w:pStyle w:val="ListParagraph"/>
        <w:numPr>
          <w:ilvl w:val="0"/>
          <w:numId w:val="12"/>
        </w:numPr>
        <w:tabs>
          <w:tab w:pos="841" w:val="left" w:leader="none"/>
          <w:tab w:pos="842" w:val="left" w:leader="none"/>
        </w:tabs>
        <w:spacing w:line="240" w:lineRule="auto" w:before="2" w:after="0"/>
        <w:ind w:left="841" w:right="0" w:hanging="361"/>
        <w:jc w:val="left"/>
        <w:rPr>
          <w:sz w:val="22"/>
        </w:rPr>
      </w:pPr>
      <w:r>
        <w:rPr>
          <w:sz w:val="22"/>
        </w:rPr>
        <w:t>Failure</w:t>
      </w:r>
      <w:r>
        <w:rPr>
          <w:spacing w:val="-3"/>
          <w:sz w:val="22"/>
        </w:rPr>
        <w:t> </w:t>
      </w:r>
      <w:r>
        <w:rPr>
          <w:sz w:val="22"/>
        </w:rPr>
        <w:t>to</w:t>
      </w:r>
      <w:r>
        <w:rPr>
          <w:spacing w:val="-3"/>
          <w:sz w:val="22"/>
        </w:rPr>
        <w:t> </w:t>
      </w:r>
      <w:r>
        <w:rPr>
          <w:sz w:val="22"/>
        </w:rPr>
        <w:t>adhere</w:t>
      </w:r>
      <w:r>
        <w:rPr>
          <w:spacing w:val="-5"/>
          <w:sz w:val="22"/>
        </w:rPr>
        <w:t> </w:t>
      </w:r>
      <w:r>
        <w:rPr>
          <w:sz w:val="22"/>
        </w:rPr>
        <w:t>to</w:t>
      </w:r>
      <w:r>
        <w:rPr>
          <w:spacing w:val="-4"/>
          <w:sz w:val="22"/>
        </w:rPr>
        <w:t> </w:t>
      </w:r>
      <w:r>
        <w:rPr>
          <w:sz w:val="22"/>
        </w:rPr>
        <w:t>the</w:t>
      </w:r>
      <w:r>
        <w:rPr>
          <w:spacing w:val="-7"/>
          <w:sz w:val="22"/>
        </w:rPr>
        <w:t> </w:t>
      </w:r>
      <w:r>
        <w:rPr>
          <w:sz w:val="22"/>
        </w:rPr>
        <w:t>provisions</w:t>
      </w:r>
      <w:r>
        <w:rPr>
          <w:spacing w:val="-2"/>
          <w:sz w:val="22"/>
        </w:rPr>
        <w:t> </w:t>
      </w:r>
      <w:r>
        <w:rPr>
          <w:sz w:val="22"/>
        </w:rPr>
        <w:t>of</w:t>
      </w:r>
      <w:r>
        <w:rPr>
          <w:spacing w:val="-3"/>
          <w:sz w:val="22"/>
        </w:rPr>
        <w:t> </w:t>
      </w:r>
      <w:r>
        <w:rPr>
          <w:sz w:val="22"/>
        </w:rPr>
        <w:t>the</w:t>
      </w:r>
      <w:r>
        <w:rPr>
          <w:spacing w:val="-5"/>
          <w:sz w:val="22"/>
        </w:rPr>
        <w:t> </w:t>
      </w:r>
      <w:r>
        <w:rPr>
          <w:sz w:val="22"/>
        </w:rPr>
        <w:t>loan</w:t>
      </w:r>
      <w:r>
        <w:rPr>
          <w:spacing w:val="-3"/>
          <w:sz w:val="22"/>
        </w:rPr>
        <w:t> </w:t>
      </w:r>
      <w:r>
        <w:rPr>
          <w:sz w:val="22"/>
        </w:rPr>
        <w:t>or</w:t>
      </w:r>
      <w:r>
        <w:rPr>
          <w:spacing w:val="-3"/>
          <w:sz w:val="22"/>
        </w:rPr>
        <w:t> </w:t>
      </w:r>
      <w:r>
        <w:rPr>
          <w:spacing w:val="-2"/>
          <w:sz w:val="22"/>
        </w:rPr>
        <w:t>grant.</w:t>
      </w:r>
    </w:p>
    <w:p>
      <w:pPr>
        <w:pStyle w:val="BodyText"/>
        <w:spacing w:before="7"/>
        <w:rPr>
          <w:sz w:val="21"/>
        </w:rPr>
      </w:pPr>
    </w:p>
    <w:p>
      <w:pPr>
        <w:pStyle w:val="BodyText"/>
        <w:ind w:left="121" w:right="155"/>
        <w:jc w:val="both"/>
      </w:pPr>
      <w:r>
        <w:rPr/>
        <w:t>During</w:t>
      </w:r>
      <w:r>
        <w:rPr>
          <w:spacing w:val="-3"/>
        </w:rPr>
        <w:t> </w:t>
      </w:r>
      <w:r>
        <w:rPr/>
        <w:t>the</w:t>
      </w:r>
      <w:r>
        <w:rPr>
          <w:spacing w:val="-5"/>
        </w:rPr>
        <w:t> </w:t>
      </w:r>
      <w:r>
        <w:rPr/>
        <w:t>period</w:t>
      </w:r>
      <w:r>
        <w:rPr>
          <w:spacing w:val="-3"/>
        </w:rPr>
        <w:t> </w:t>
      </w:r>
      <w:r>
        <w:rPr/>
        <w:t>of</w:t>
      </w:r>
      <w:r>
        <w:rPr>
          <w:spacing w:val="-1"/>
        </w:rPr>
        <w:t> </w:t>
      </w:r>
      <w:r>
        <w:rPr/>
        <w:t>affordability,</w:t>
      </w:r>
      <w:r>
        <w:rPr>
          <w:spacing w:val="-4"/>
        </w:rPr>
        <w:t> </w:t>
      </w:r>
      <w:r>
        <w:rPr/>
        <w:t>monitoring</w:t>
      </w:r>
      <w:r>
        <w:rPr>
          <w:spacing w:val="-5"/>
        </w:rPr>
        <w:t> </w:t>
      </w:r>
      <w:r>
        <w:rPr/>
        <w:t>shall</w:t>
      </w:r>
      <w:r>
        <w:rPr>
          <w:spacing w:val="-6"/>
        </w:rPr>
        <w:t> </w:t>
      </w:r>
      <w:r>
        <w:rPr/>
        <w:t>be</w:t>
      </w:r>
      <w:r>
        <w:rPr>
          <w:spacing w:val="-3"/>
        </w:rPr>
        <w:t> </w:t>
      </w:r>
      <w:r>
        <w:rPr/>
        <w:t>performed</w:t>
      </w:r>
      <w:r>
        <w:rPr>
          <w:spacing w:val="-5"/>
        </w:rPr>
        <w:t> </w:t>
      </w:r>
      <w:r>
        <w:rPr/>
        <w:t>on</w:t>
      </w:r>
      <w:r>
        <w:rPr>
          <w:spacing w:val="-5"/>
        </w:rPr>
        <w:t> </w:t>
      </w:r>
      <w:r>
        <w:rPr/>
        <w:t>an</w:t>
      </w:r>
      <w:r>
        <w:rPr>
          <w:spacing w:val="-3"/>
        </w:rPr>
        <w:t> </w:t>
      </w:r>
      <w:r>
        <w:rPr/>
        <w:t>annual</w:t>
      </w:r>
      <w:r>
        <w:rPr>
          <w:spacing w:val="-3"/>
        </w:rPr>
        <w:t> </w:t>
      </w:r>
      <w:r>
        <w:rPr/>
        <w:t>basis.</w:t>
      </w:r>
      <w:r>
        <w:rPr>
          <w:spacing w:val="-3"/>
        </w:rPr>
        <w:t> </w:t>
      </w:r>
      <w:r>
        <w:rPr/>
        <w:t>Homeowner must</w:t>
      </w:r>
      <w:r>
        <w:rPr>
          <w:spacing w:val="-15"/>
        </w:rPr>
        <w:t> </w:t>
      </w:r>
      <w:r>
        <w:rPr/>
        <w:t>certify</w:t>
      </w:r>
      <w:r>
        <w:rPr>
          <w:spacing w:val="-13"/>
        </w:rPr>
        <w:t> </w:t>
      </w:r>
      <w:r>
        <w:rPr/>
        <w:t>annually</w:t>
      </w:r>
      <w:r>
        <w:rPr>
          <w:spacing w:val="-13"/>
        </w:rPr>
        <w:t> </w:t>
      </w:r>
      <w:r>
        <w:rPr/>
        <w:t>that</w:t>
      </w:r>
      <w:r>
        <w:rPr>
          <w:spacing w:val="-15"/>
        </w:rPr>
        <w:t> </w:t>
      </w:r>
      <w:r>
        <w:rPr/>
        <w:t>the</w:t>
      </w:r>
      <w:r>
        <w:rPr>
          <w:spacing w:val="-14"/>
        </w:rPr>
        <w:t> </w:t>
      </w:r>
      <w:r>
        <w:rPr/>
        <w:t>home</w:t>
      </w:r>
      <w:r>
        <w:rPr>
          <w:spacing w:val="-16"/>
        </w:rPr>
        <w:t> </w:t>
      </w:r>
      <w:r>
        <w:rPr/>
        <w:t>is</w:t>
      </w:r>
      <w:r>
        <w:rPr>
          <w:spacing w:val="-12"/>
        </w:rPr>
        <w:t> </w:t>
      </w:r>
      <w:r>
        <w:rPr/>
        <w:t>not</w:t>
      </w:r>
      <w:r>
        <w:rPr>
          <w:spacing w:val="-15"/>
        </w:rPr>
        <w:t> </w:t>
      </w:r>
      <w:r>
        <w:rPr/>
        <w:t>for</w:t>
      </w:r>
      <w:r>
        <w:rPr>
          <w:spacing w:val="-15"/>
        </w:rPr>
        <w:t> </w:t>
      </w:r>
      <w:r>
        <w:rPr/>
        <w:t>sale,</w:t>
      </w:r>
      <w:r>
        <w:rPr>
          <w:spacing w:val="-13"/>
        </w:rPr>
        <w:t> </w:t>
      </w:r>
      <w:r>
        <w:rPr/>
        <w:t>the</w:t>
      </w:r>
      <w:r>
        <w:rPr>
          <w:spacing w:val="-14"/>
        </w:rPr>
        <w:t> </w:t>
      </w:r>
      <w:r>
        <w:rPr/>
        <w:t>property</w:t>
      </w:r>
      <w:r>
        <w:rPr>
          <w:spacing w:val="-13"/>
        </w:rPr>
        <w:t> </w:t>
      </w:r>
      <w:r>
        <w:rPr/>
        <w:t>is</w:t>
      </w:r>
      <w:r>
        <w:rPr>
          <w:spacing w:val="-13"/>
        </w:rPr>
        <w:t> </w:t>
      </w:r>
      <w:r>
        <w:rPr/>
        <w:t>in</w:t>
      </w:r>
      <w:r>
        <w:rPr>
          <w:spacing w:val="-14"/>
        </w:rPr>
        <w:t> </w:t>
      </w:r>
      <w:r>
        <w:rPr/>
        <w:t>compliance</w:t>
      </w:r>
      <w:r>
        <w:rPr>
          <w:spacing w:val="-14"/>
        </w:rPr>
        <w:t> </w:t>
      </w:r>
      <w:r>
        <w:rPr/>
        <w:t>with</w:t>
      </w:r>
      <w:r>
        <w:rPr>
          <w:spacing w:val="-14"/>
        </w:rPr>
        <w:t> </w:t>
      </w:r>
      <w:r>
        <w:rPr/>
        <w:t>state,</w:t>
      </w:r>
      <w:r>
        <w:rPr>
          <w:spacing w:val="-15"/>
        </w:rPr>
        <w:t> </w:t>
      </w:r>
      <w:r>
        <w:rPr/>
        <w:t>federal, and local laws, the repairs are being maintained, the property is the primary residence of the homeowner,</w:t>
      </w:r>
      <w:r>
        <w:rPr>
          <w:spacing w:val="-5"/>
        </w:rPr>
        <w:t> </w:t>
      </w:r>
      <w:r>
        <w:rPr/>
        <w:t>and</w:t>
      </w:r>
      <w:r>
        <w:rPr>
          <w:spacing w:val="-6"/>
        </w:rPr>
        <w:t> </w:t>
      </w:r>
      <w:r>
        <w:rPr/>
        <w:t>any</w:t>
      </w:r>
      <w:r>
        <w:rPr>
          <w:spacing w:val="-8"/>
        </w:rPr>
        <w:t> </w:t>
      </w:r>
      <w:r>
        <w:rPr/>
        <w:t>other</w:t>
      </w:r>
      <w:r>
        <w:rPr>
          <w:spacing w:val="-5"/>
        </w:rPr>
        <w:t> </w:t>
      </w:r>
      <w:r>
        <w:rPr/>
        <w:t>certifications</w:t>
      </w:r>
      <w:r>
        <w:rPr>
          <w:spacing w:val="-8"/>
        </w:rPr>
        <w:t> </w:t>
      </w:r>
      <w:r>
        <w:rPr/>
        <w:t>required</w:t>
      </w:r>
      <w:r>
        <w:rPr>
          <w:spacing w:val="-11"/>
        </w:rPr>
        <w:t> </w:t>
      </w:r>
      <w:r>
        <w:rPr/>
        <w:t>by</w:t>
      </w:r>
      <w:r>
        <w:rPr>
          <w:spacing w:val="-6"/>
        </w:rPr>
        <w:t> </w:t>
      </w:r>
      <w:r>
        <w:rPr/>
        <w:t>the</w:t>
      </w:r>
      <w:r>
        <w:rPr>
          <w:spacing w:val="-6"/>
        </w:rPr>
        <w:t> </w:t>
      </w:r>
      <w:r>
        <w:rPr/>
        <w:t>City</w:t>
      </w:r>
      <w:r>
        <w:rPr>
          <w:spacing w:val="-8"/>
        </w:rPr>
        <w:t> </w:t>
      </w:r>
      <w:r>
        <w:rPr/>
        <w:t>in</w:t>
      </w:r>
      <w:r>
        <w:rPr>
          <w:spacing w:val="-6"/>
        </w:rPr>
        <w:t> </w:t>
      </w:r>
      <w:r>
        <w:rPr/>
        <w:t>the</w:t>
      </w:r>
      <w:r>
        <w:rPr>
          <w:spacing w:val="-9"/>
        </w:rPr>
        <w:t> </w:t>
      </w:r>
      <w:r>
        <w:rPr/>
        <w:t>contract,</w:t>
      </w:r>
      <w:r>
        <w:rPr>
          <w:spacing w:val="-5"/>
        </w:rPr>
        <w:t> </w:t>
      </w:r>
      <w:r>
        <w:rPr/>
        <w:t>until</w:t>
      </w:r>
      <w:r>
        <w:rPr>
          <w:spacing w:val="-7"/>
        </w:rPr>
        <w:t> </w:t>
      </w:r>
      <w:r>
        <w:rPr/>
        <w:t>the</w:t>
      </w:r>
      <w:r>
        <w:rPr>
          <w:spacing w:val="-9"/>
        </w:rPr>
        <w:t> </w:t>
      </w:r>
      <w:r>
        <w:rPr/>
        <w:t>five</w:t>
      </w:r>
      <w:r>
        <w:rPr>
          <w:spacing w:val="-6"/>
        </w:rPr>
        <w:t> </w:t>
      </w:r>
      <w:r>
        <w:rPr/>
        <w:t>(5)</w:t>
      </w:r>
      <w:r>
        <w:rPr>
          <w:spacing w:val="-5"/>
        </w:rPr>
        <w:t> </w:t>
      </w:r>
      <w:r>
        <w:rPr/>
        <w:t>year affordability period has lapsed.</w:t>
      </w:r>
    </w:p>
    <w:p>
      <w:pPr>
        <w:pStyle w:val="BodyText"/>
        <w:spacing w:before="1"/>
      </w:pPr>
    </w:p>
    <w:p>
      <w:pPr>
        <w:pStyle w:val="Heading5"/>
        <w:ind w:left="121"/>
        <w:jc w:val="left"/>
      </w:pPr>
      <w:r>
        <w:rPr>
          <w:spacing w:val="-2"/>
        </w:rPr>
        <w:t>Goals</w:t>
      </w:r>
    </w:p>
    <w:p>
      <w:pPr>
        <w:pStyle w:val="BodyText"/>
        <w:spacing w:before="50"/>
        <w:ind w:left="121"/>
      </w:pPr>
      <w:r>
        <w:rPr/>
        <w:t>The</w:t>
      </w:r>
      <w:r>
        <w:rPr>
          <w:spacing w:val="-4"/>
        </w:rPr>
        <w:t> </w:t>
      </w:r>
      <w:r>
        <w:rPr/>
        <w:t>Tenth</w:t>
      </w:r>
      <w:r>
        <w:rPr>
          <w:spacing w:val="-4"/>
        </w:rPr>
        <w:t> </w:t>
      </w:r>
      <w:r>
        <w:rPr/>
        <w:t>Street</w:t>
      </w:r>
      <w:r>
        <w:rPr>
          <w:spacing w:val="-3"/>
        </w:rPr>
        <w:t> </w:t>
      </w:r>
      <w:r>
        <w:rPr/>
        <w:t>TRP</w:t>
      </w:r>
      <w:r>
        <w:rPr>
          <w:spacing w:val="-2"/>
        </w:rPr>
        <w:t> </w:t>
      </w:r>
      <w:r>
        <w:rPr/>
        <w:t>aims</w:t>
      </w:r>
      <w:r>
        <w:rPr>
          <w:spacing w:val="-4"/>
        </w:rPr>
        <w:t> </w:t>
      </w:r>
      <w:r>
        <w:rPr/>
        <w:t>to</w:t>
      </w:r>
      <w:r>
        <w:rPr>
          <w:spacing w:val="-4"/>
        </w:rPr>
        <w:t> </w:t>
      </w:r>
      <w:r>
        <w:rPr/>
        <w:t>serve</w:t>
      </w:r>
      <w:r>
        <w:rPr>
          <w:spacing w:val="-4"/>
        </w:rPr>
        <w:t> </w:t>
      </w:r>
      <w:r>
        <w:rPr/>
        <w:t>at</w:t>
      </w:r>
      <w:r>
        <w:rPr>
          <w:spacing w:val="-3"/>
        </w:rPr>
        <w:t> </w:t>
      </w:r>
      <w:r>
        <w:rPr/>
        <w:t>least</w:t>
      </w:r>
      <w:r>
        <w:rPr>
          <w:spacing w:val="-2"/>
        </w:rPr>
        <w:t> </w:t>
      </w:r>
      <w:r>
        <w:rPr/>
        <w:t>11</w:t>
      </w:r>
      <w:r>
        <w:rPr>
          <w:spacing w:val="-2"/>
        </w:rPr>
        <w:t> homeowners.</w:t>
      </w:r>
    </w:p>
    <w:p>
      <w:pPr>
        <w:pStyle w:val="BodyText"/>
      </w:pPr>
    </w:p>
    <w:p>
      <w:pPr>
        <w:pStyle w:val="BodyText"/>
        <w:ind w:left="121"/>
      </w:pPr>
      <w:r>
        <w:rPr/>
        <w:t>The</w:t>
      </w:r>
      <w:r>
        <w:rPr>
          <w:spacing w:val="-9"/>
        </w:rPr>
        <w:t> </w:t>
      </w:r>
      <w:r>
        <w:rPr/>
        <w:t>City</w:t>
      </w:r>
      <w:r>
        <w:rPr>
          <w:spacing w:val="-8"/>
        </w:rPr>
        <w:t> </w:t>
      </w:r>
      <w:r>
        <w:rPr/>
        <w:t>Request</w:t>
      </w:r>
      <w:r>
        <w:rPr>
          <w:spacing w:val="-7"/>
        </w:rPr>
        <w:t> </w:t>
      </w:r>
      <w:r>
        <w:rPr/>
        <w:t>for</w:t>
      </w:r>
      <w:r>
        <w:rPr>
          <w:spacing w:val="-8"/>
        </w:rPr>
        <w:t> </w:t>
      </w:r>
      <w:r>
        <w:rPr/>
        <w:t>Proposals</w:t>
      </w:r>
      <w:r>
        <w:rPr>
          <w:spacing w:val="-8"/>
        </w:rPr>
        <w:t> </w:t>
      </w:r>
      <w:r>
        <w:rPr/>
        <w:t>for</w:t>
      </w:r>
      <w:r>
        <w:rPr>
          <w:spacing w:val="-8"/>
        </w:rPr>
        <w:t> </w:t>
      </w:r>
      <w:r>
        <w:rPr/>
        <w:t>a</w:t>
      </w:r>
      <w:r>
        <w:rPr>
          <w:spacing w:val="-9"/>
        </w:rPr>
        <w:t> </w:t>
      </w:r>
      <w:r>
        <w:rPr/>
        <w:t>contractor</w:t>
      </w:r>
      <w:r>
        <w:rPr>
          <w:spacing w:val="-8"/>
        </w:rPr>
        <w:t> </w:t>
      </w:r>
      <w:r>
        <w:rPr/>
        <w:t>to</w:t>
      </w:r>
      <w:r>
        <w:rPr>
          <w:spacing w:val="-11"/>
        </w:rPr>
        <w:t> </w:t>
      </w:r>
      <w:r>
        <w:rPr/>
        <w:t>provide</w:t>
      </w:r>
      <w:r>
        <w:rPr>
          <w:spacing w:val="-9"/>
        </w:rPr>
        <w:t> </w:t>
      </w:r>
      <w:r>
        <w:rPr/>
        <w:t>the</w:t>
      </w:r>
      <w:r>
        <w:rPr>
          <w:spacing w:val="-11"/>
        </w:rPr>
        <w:t> </w:t>
      </w:r>
      <w:r>
        <w:rPr/>
        <w:t>repairs</w:t>
      </w:r>
      <w:r>
        <w:rPr>
          <w:spacing w:val="-8"/>
        </w:rPr>
        <w:t> </w:t>
      </w:r>
      <w:r>
        <w:rPr/>
        <w:t>in</w:t>
      </w:r>
      <w:r>
        <w:rPr>
          <w:spacing w:val="-7"/>
        </w:rPr>
        <w:t> </w:t>
      </w:r>
      <w:r>
        <w:rPr/>
        <w:t>the</w:t>
      </w:r>
      <w:r>
        <w:rPr>
          <w:spacing w:val="-11"/>
        </w:rPr>
        <w:t> </w:t>
      </w:r>
      <w:r>
        <w:rPr/>
        <w:t>Tenth</w:t>
      </w:r>
      <w:r>
        <w:rPr>
          <w:spacing w:val="-9"/>
        </w:rPr>
        <w:t> </w:t>
      </w:r>
      <w:r>
        <w:rPr/>
        <w:t>Street</w:t>
      </w:r>
      <w:r>
        <w:rPr>
          <w:spacing w:val="-7"/>
        </w:rPr>
        <w:t> </w:t>
      </w:r>
      <w:r>
        <w:rPr/>
        <w:t>TRP</w:t>
      </w:r>
      <w:r>
        <w:rPr>
          <w:spacing w:val="-9"/>
        </w:rPr>
        <w:t> </w:t>
      </w:r>
      <w:r>
        <w:rPr/>
        <w:t>will include local subcontractor hiring and experience working on historic properties.</w:t>
      </w:r>
    </w:p>
    <w:p>
      <w:pPr>
        <w:spacing w:after="0"/>
        <w:sectPr>
          <w:pgSz w:w="12240" w:h="15840"/>
          <w:pgMar w:header="0" w:footer="1738" w:top="1360" w:bottom="1920" w:left="1320" w:right="1280"/>
        </w:sectPr>
      </w:pPr>
    </w:p>
    <w:p>
      <w:pPr>
        <w:pStyle w:val="Heading3"/>
        <w:jc w:val="both"/>
      </w:pPr>
      <w:bookmarkStart w:name="Dallas Tomorrow Fund Pillars 3, 6" w:id="38"/>
      <w:bookmarkEnd w:id="38"/>
      <w:r>
        <w:rPr/>
      </w:r>
      <w:bookmarkStart w:name="_bookmark11" w:id="39"/>
      <w:bookmarkEnd w:id="39"/>
      <w:r>
        <w:rPr/>
      </w:r>
      <w:r>
        <w:rPr>
          <w:color w:val="001F5F"/>
        </w:rPr>
        <w:t>Dallas</w:t>
      </w:r>
      <w:r>
        <w:rPr>
          <w:color w:val="001F5F"/>
          <w:spacing w:val="-9"/>
        </w:rPr>
        <w:t> </w:t>
      </w:r>
      <w:r>
        <w:rPr>
          <w:color w:val="001F5F"/>
        </w:rPr>
        <w:t>Tomorrow</w:t>
      </w:r>
      <w:r>
        <w:rPr>
          <w:color w:val="001F5F"/>
          <w:spacing w:val="-8"/>
        </w:rPr>
        <w:t> </w:t>
      </w:r>
      <w:r>
        <w:rPr>
          <w:color w:val="001F5F"/>
        </w:rPr>
        <w:t>Fund</w:t>
      </w:r>
      <w:r>
        <w:rPr>
          <w:color w:val="001F5F"/>
          <w:spacing w:val="-11"/>
        </w:rPr>
        <w:t> </w:t>
      </w:r>
      <w:r>
        <w:rPr>
          <w:color w:val="FF0000"/>
        </w:rPr>
        <w:t>Pillars</w:t>
      </w:r>
      <w:r>
        <w:rPr>
          <w:color w:val="FF0000"/>
          <w:spacing w:val="-9"/>
        </w:rPr>
        <w:t> </w:t>
      </w:r>
      <w:r>
        <w:rPr>
          <w:color w:val="FF0000"/>
        </w:rPr>
        <w:t>3,</w:t>
      </w:r>
      <w:r>
        <w:rPr>
          <w:color w:val="FF0000"/>
          <w:spacing w:val="-10"/>
        </w:rPr>
        <w:t> 6</w:t>
      </w:r>
    </w:p>
    <w:p>
      <w:pPr>
        <w:pStyle w:val="BodyText"/>
        <w:spacing w:before="282"/>
        <w:ind w:left="119" w:right="157"/>
        <w:jc w:val="both"/>
      </w:pPr>
      <w:r>
        <w:rPr/>
        <w:pict>
          <v:shape style="position:absolute;margin-left:90.065002pt;margin-top:78.790771pt;width:395.3pt;height:419pt;mso-position-horizontal-relative:page;mso-position-vertical-relative:paragraph;z-index:-17718272" id="docshape57" coordorigin="1801,1576" coordsize="7906,8380" path="m4498,8839l4492,8766,4477,8688,4455,8605,4432,8536,4403,8464,4367,8389,4325,8311,4276,8230,4237,8171,4200,8121,4200,8806,4197,8863,4186,8919,4167,8977,4138,9036,4097,9099,4044,9165,3979,9235,3674,9540,2216,8082,2517,7782,2598,7706,2672,7646,2740,7602,2801,7576,2868,7561,2941,7557,3020,7564,3105,7582,3195,7611,3255,7637,3317,7669,3380,7707,3446,7752,3514,7804,3584,7862,3656,7927,3729,7998,3789,8060,3845,8120,3896,8179,3943,8237,3986,8293,4025,8349,4059,8402,4101,8477,4136,8549,4163,8619,4183,8686,4196,8750,4200,8806,4200,8121,4194,8112,4148,8052,4098,7991,4045,7930,3989,7869,3929,7807,3865,7745,3801,7686,3737,7631,3673,7580,3643,7557,3609,7532,3546,7487,3482,7446,3419,7408,3346,7371,3274,7338,3203,7311,3132,7289,3062,7272,2992,7260,2923,7253,2850,7251,2779,7258,2709,7273,2642,7296,2577,7326,2528,7354,2476,7391,2420,7437,2359,7491,2294,7554,1801,8047,3710,9955,4124,9540,4226,9438,4287,9373,4341,9308,4386,9242,4424,9175,4454,9109,4476,9043,4491,8976,4498,8908,4498,8839xm6418,7246l6056,7119,5650,6976,5561,6947,5475,6923,5393,6904,5365,6898,5314,6889,5239,6879,5193,6878,5143,6881,5089,6888,5030,6898,5073,6829,5109,6759,5136,6690,5154,6621,5164,6553,5165,6485,5157,6417,5139,6339,5111,6263,5075,6188,5030,6115,4976,6045,4956,6022,4913,5976,4872,5938,4872,6495,4868,6551,4854,6606,4830,6662,4794,6720,4747,6781,4687,6845,4280,7252,3649,6621,4102,6168,4166,6111,4229,6068,4293,6038,4358,6023,4422,6022,4501,6037,4577,6067,4649,6111,4718,6171,4761,6219,4797,6269,4827,6323,4851,6380,4867,6438,4872,6495,4872,5938,4849,5916,4782,5864,4713,5818,4641,5780,4566,5748,4474,5720,4386,5707,4303,5709,4225,5725,4163,5750,4098,5786,4030,5834,3958,5894,3883,5965,3248,6600,5157,8508,5346,8318,4499,7471,4718,7252,4753,7218,4783,7190,4810,7169,4833,7155,4863,7141,4896,7131,4932,7123,4971,7119,5014,7119,5066,7124,5125,7134,5194,7151,5256,7168,5328,7189,5407,7214,5496,7243,6180,7484,6418,7246xm7780,5884l7415,5689,6555,5235,6555,5542,6070,6027,6030,5956,5989,5884,5748,5453,5708,5382,5668,5310,5629,5245,5590,5180,5550,5116,5509,5053,5467,4991,5424,4929,5380,4869,5436,4904,5498,4942,5564,4982,5635,5024,5792,5114,6555,5542,6555,5235,5862,4869,5286,4562,5082,4766,5277,5116,5316,5186,5701,5884,6207,6803,6441,7224,6642,7023,6565,6889,6298,6421,6221,6287,6481,6027,6820,5689,7173,5884,7565,6100,7780,5884xm8131,5534l7264,4667,7936,3995,7711,3770,7039,4441,6448,3851,7224,3074,6999,2849,6033,3815,7941,5723,8131,5534xm9707,3958l8024,2275,8497,1801,8272,1576,7138,2710,7363,2936,7834,2464,9517,4147,9707,3958xe" filled="true" fillcolor="#c0c0c0" stroked="false">
            <v:path arrowok="t"/>
            <v:fill opacity="32896f" type="solid"/>
            <w10:wrap type="none"/>
          </v:shape>
        </w:pict>
      </w:r>
      <w:r>
        <w:rPr/>
        <w:t>On March 9, 2005 the Dallas Tomorrow Fund (DTF) was created with Ordinance 25927 with an addendum to Chapter 27 to provide financial assistance and other guidance to persons determined financially unable to repair or rehabilitate their property or premises in compliance with</w:t>
      </w:r>
      <w:r>
        <w:rPr>
          <w:spacing w:val="-16"/>
        </w:rPr>
        <w:t> </w:t>
      </w:r>
      <w:r>
        <w:rPr/>
        <w:t>City</w:t>
      </w:r>
      <w:r>
        <w:rPr>
          <w:spacing w:val="-15"/>
        </w:rPr>
        <w:t> </w:t>
      </w:r>
      <w:r>
        <w:rPr/>
        <w:t>ordinances.</w:t>
      </w:r>
      <w:r>
        <w:rPr>
          <w:spacing w:val="-15"/>
        </w:rPr>
        <w:t> </w:t>
      </w:r>
      <w:r>
        <w:rPr/>
        <w:t>For</w:t>
      </w:r>
      <w:r>
        <w:rPr>
          <w:spacing w:val="-16"/>
        </w:rPr>
        <w:t> </w:t>
      </w:r>
      <w:r>
        <w:rPr/>
        <w:t>each</w:t>
      </w:r>
      <w:r>
        <w:rPr>
          <w:spacing w:val="-15"/>
        </w:rPr>
        <w:t> </w:t>
      </w:r>
      <w:r>
        <w:rPr/>
        <w:t>violation</w:t>
      </w:r>
      <w:r>
        <w:rPr>
          <w:spacing w:val="-15"/>
        </w:rPr>
        <w:t> </w:t>
      </w:r>
      <w:r>
        <w:rPr/>
        <w:t>for</w:t>
      </w:r>
      <w:r>
        <w:rPr>
          <w:spacing w:val="-15"/>
        </w:rPr>
        <w:t> </w:t>
      </w:r>
      <w:r>
        <w:rPr/>
        <w:t>which</w:t>
      </w:r>
      <w:r>
        <w:rPr>
          <w:spacing w:val="-16"/>
        </w:rPr>
        <w:t> </w:t>
      </w:r>
      <w:r>
        <w:rPr/>
        <w:t>a</w:t>
      </w:r>
      <w:r>
        <w:rPr>
          <w:spacing w:val="-15"/>
        </w:rPr>
        <w:t> </w:t>
      </w:r>
      <w:r>
        <w:rPr/>
        <w:t>person</w:t>
      </w:r>
      <w:r>
        <w:rPr>
          <w:spacing w:val="-15"/>
        </w:rPr>
        <w:t> </w:t>
      </w:r>
      <w:r>
        <w:rPr/>
        <w:t>is</w:t>
      </w:r>
      <w:r>
        <w:rPr>
          <w:spacing w:val="-16"/>
        </w:rPr>
        <w:t> </w:t>
      </w:r>
      <w:r>
        <w:rPr/>
        <w:t>found</w:t>
      </w:r>
      <w:r>
        <w:rPr>
          <w:spacing w:val="-15"/>
        </w:rPr>
        <w:t> </w:t>
      </w:r>
      <w:r>
        <w:rPr/>
        <w:t>liable,</w:t>
      </w:r>
      <w:r>
        <w:rPr>
          <w:spacing w:val="-15"/>
        </w:rPr>
        <w:t> </w:t>
      </w:r>
      <w:r>
        <w:rPr/>
        <w:t>$36.00</w:t>
      </w:r>
      <w:r>
        <w:rPr>
          <w:spacing w:val="-15"/>
        </w:rPr>
        <w:t> </w:t>
      </w:r>
      <w:r>
        <w:rPr/>
        <w:t>will</w:t>
      </w:r>
      <w:r>
        <w:rPr>
          <w:spacing w:val="-16"/>
        </w:rPr>
        <w:t> </w:t>
      </w:r>
      <w:r>
        <w:rPr/>
        <w:t>be</w:t>
      </w:r>
      <w:r>
        <w:rPr>
          <w:spacing w:val="-15"/>
        </w:rPr>
        <w:t> </w:t>
      </w:r>
      <w:r>
        <w:rPr/>
        <w:t>deposited into the Dallas Tomorrow Fund established in Section 27-16.22 of Ordinance No. 25927.</w:t>
      </w:r>
    </w:p>
    <w:p>
      <w:pPr>
        <w:pStyle w:val="BodyText"/>
        <w:spacing w:before="10"/>
        <w:rPr>
          <w:sz w:val="21"/>
        </w:rPr>
      </w:pPr>
    </w:p>
    <w:p>
      <w:pPr>
        <w:pStyle w:val="BodyText"/>
        <w:ind w:left="120" w:right="155"/>
        <w:jc w:val="both"/>
      </w:pPr>
      <w:r>
        <w:rPr/>
        <w:t>The</w:t>
      </w:r>
      <w:r>
        <w:rPr>
          <w:spacing w:val="-12"/>
        </w:rPr>
        <w:t> </w:t>
      </w:r>
      <w:r>
        <w:rPr/>
        <w:t>city</w:t>
      </w:r>
      <w:r>
        <w:rPr>
          <w:spacing w:val="-12"/>
        </w:rPr>
        <w:t> </w:t>
      </w:r>
      <w:r>
        <w:rPr/>
        <w:t>of</w:t>
      </w:r>
      <w:r>
        <w:rPr>
          <w:spacing w:val="-11"/>
        </w:rPr>
        <w:t> </w:t>
      </w:r>
      <w:r>
        <w:rPr/>
        <w:t>Dallas</w:t>
      </w:r>
      <w:r>
        <w:rPr>
          <w:spacing w:val="-12"/>
        </w:rPr>
        <w:t> </w:t>
      </w:r>
      <w:r>
        <w:rPr/>
        <w:t>established</w:t>
      </w:r>
      <w:r>
        <w:rPr>
          <w:spacing w:val="-12"/>
        </w:rPr>
        <w:t> </w:t>
      </w:r>
      <w:r>
        <w:rPr/>
        <w:t>DTF</w:t>
      </w:r>
      <w:r>
        <w:rPr>
          <w:spacing w:val="-12"/>
        </w:rPr>
        <w:t> </w:t>
      </w:r>
      <w:r>
        <w:rPr/>
        <w:t>pursuant</w:t>
      </w:r>
      <w:r>
        <w:rPr>
          <w:spacing w:val="-13"/>
        </w:rPr>
        <w:t> </w:t>
      </w:r>
      <w:r>
        <w:rPr/>
        <w:t>to</w:t>
      </w:r>
      <w:r>
        <w:rPr>
          <w:spacing w:val="-15"/>
        </w:rPr>
        <w:t> </w:t>
      </w:r>
      <w:r>
        <w:rPr/>
        <w:t>Chapter</w:t>
      </w:r>
      <w:r>
        <w:rPr>
          <w:spacing w:val="-13"/>
        </w:rPr>
        <w:t> </w:t>
      </w:r>
      <w:r>
        <w:rPr/>
        <w:t>380</w:t>
      </w:r>
      <w:r>
        <w:rPr>
          <w:spacing w:val="-12"/>
        </w:rPr>
        <w:t> </w:t>
      </w:r>
      <w:r>
        <w:rPr/>
        <w:t>of</w:t>
      </w:r>
      <w:r>
        <w:rPr>
          <w:spacing w:val="-13"/>
        </w:rPr>
        <w:t> </w:t>
      </w:r>
      <w:r>
        <w:rPr/>
        <w:t>the</w:t>
      </w:r>
      <w:r>
        <w:rPr>
          <w:spacing w:val="-12"/>
        </w:rPr>
        <w:t> </w:t>
      </w:r>
      <w:r>
        <w:rPr/>
        <w:t>Texas</w:t>
      </w:r>
      <w:r>
        <w:rPr>
          <w:spacing w:val="-14"/>
        </w:rPr>
        <w:t> </w:t>
      </w:r>
      <w:r>
        <w:rPr/>
        <w:t>Local</w:t>
      </w:r>
      <w:r>
        <w:rPr>
          <w:spacing w:val="-13"/>
        </w:rPr>
        <w:t> </w:t>
      </w:r>
      <w:r>
        <w:rPr/>
        <w:t>Government</w:t>
      </w:r>
      <w:r>
        <w:rPr>
          <w:spacing w:val="-11"/>
        </w:rPr>
        <w:t> </w:t>
      </w:r>
      <w:r>
        <w:rPr/>
        <w:t>Code in</w:t>
      </w:r>
      <w:r>
        <w:rPr>
          <w:spacing w:val="-6"/>
        </w:rPr>
        <w:t> </w:t>
      </w:r>
      <w:r>
        <w:rPr/>
        <w:t>order</w:t>
      </w:r>
      <w:r>
        <w:rPr>
          <w:spacing w:val="-8"/>
        </w:rPr>
        <w:t> </w:t>
      </w:r>
      <w:r>
        <w:rPr/>
        <w:t>to</w:t>
      </w:r>
      <w:r>
        <w:rPr>
          <w:spacing w:val="-9"/>
        </w:rPr>
        <w:t> </w:t>
      </w:r>
      <w:r>
        <w:rPr/>
        <w:t>make</w:t>
      </w:r>
      <w:r>
        <w:rPr>
          <w:spacing w:val="-9"/>
        </w:rPr>
        <w:t> </w:t>
      </w:r>
      <w:r>
        <w:rPr/>
        <w:t>grants</w:t>
      </w:r>
      <w:r>
        <w:rPr>
          <w:spacing w:val="-6"/>
        </w:rPr>
        <w:t> </w:t>
      </w:r>
      <w:r>
        <w:rPr/>
        <w:t>of</w:t>
      </w:r>
      <w:r>
        <w:rPr>
          <w:spacing w:val="-6"/>
        </w:rPr>
        <w:t> </w:t>
      </w:r>
      <w:r>
        <w:rPr/>
        <w:t>public</w:t>
      </w:r>
      <w:r>
        <w:rPr>
          <w:spacing w:val="-6"/>
        </w:rPr>
        <w:t> </w:t>
      </w:r>
      <w:r>
        <w:rPr/>
        <w:t>money</w:t>
      </w:r>
      <w:r>
        <w:rPr>
          <w:spacing w:val="-8"/>
        </w:rPr>
        <w:t> </w:t>
      </w:r>
      <w:r>
        <w:rPr/>
        <w:t>to</w:t>
      </w:r>
      <w:r>
        <w:rPr>
          <w:spacing w:val="-6"/>
        </w:rPr>
        <w:t> </w:t>
      </w:r>
      <w:r>
        <w:rPr/>
        <w:t>promote</w:t>
      </w:r>
      <w:r>
        <w:rPr>
          <w:spacing w:val="-6"/>
        </w:rPr>
        <w:t> </w:t>
      </w:r>
      <w:r>
        <w:rPr/>
        <w:t>local</w:t>
      </w:r>
      <w:r>
        <w:rPr>
          <w:spacing w:val="-7"/>
        </w:rPr>
        <w:t> </w:t>
      </w:r>
      <w:r>
        <w:rPr/>
        <w:t>economic</w:t>
      </w:r>
      <w:r>
        <w:rPr>
          <w:spacing w:val="-6"/>
        </w:rPr>
        <w:t> </w:t>
      </w:r>
      <w:r>
        <w:rPr/>
        <w:t>development</w:t>
      </w:r>
      <w:r>
        <w:rPr>
          <w:spacing w:val="-7"/>
        </w:rPr>
        <w:t> </w:t>
      </w:r>
      <w:r>
        <w:rPr/>
        <w:t>and</w:t>
      </w:r>
      <w:r>
        <w:rPr>
          <w:spacing w:val="-9"/>
        </w:rPr>
        <w:t> </w:t>
      </w:r>
      <w:r>
        <w:rPr/>
        <w:t>to</w:t>
      </w:r>
      <w:r>
        <w:rPr>
          <w:spacing w:val="-6"/>
        </w:rPr>
        <w:t> </w:t>
      </w:r>
      <w:r>
        <w:rPr/>
        <w:t>stimulate business and commercial activity in the city of Dallas by improving the quality and public safety of residential</w:t>
      </w:r>
      <w:r>
        <w:rPr>
          <w:spacing w:val="-2"/>
        </w:rPr>
        <w:t> </w:t>
      </w:r>
      <w:r>
        <w:rPr/>
        <w:t>neighborhoods. The</w:t>
      </w:r>
      <w:r>
        <w:rPr>
          <w:spacing w:val="-1"/>
        </w:rPr>
        <w:t> </w:t>
      </w:r>
      <w:r>
        <w:rPr/>
        <w:t>city</w:t>
      </w:r>
      <w:r>
        <w:rPr>
          <w:spacing w:val="-1"/>
        </w:rPr>
        <w:t> </w:t>
      </w:r>
      <w:r>
        <w:rPr/>
        <w:t>desires</w:t>
      </w:r>
      <w:r>
        <w:rPr>
          <w:spacing w:val="-1"/>
        </w:rPr>
        <w:t> </w:t>
      </w:r>
      <w:r>
        <w:rPr/>
        <w:t>to</w:t>
      </w:r>
      <w:r>
        <w:rPr>
          <w:spacing w:val="-4"/>
        </w:rPr>
        <w:t> </w:t>
      </w:r>
      <w:r>
        <w:rPr/>
        <w:t>provide</w:t>
      </w:r>
      <w:r>
        <w:rPr>
          <w:spacing w:val="-2"/>
        </w:rPr>
        <w:t> </w:t>
      </w:r>
      <w:r>
        <w:rPr/>
        <w:t>an</w:t>
      </w:r>
      <w:r>
        <w:rPr>
          <w:spacing w:val="-2"/>
        </w:rPr>
        <w:t> </w:t>
      </w:r>
      <w:r>
        <w:rPr/>
        <w:t>economic</w:t>
      </w:r>
      <w:r>
        <w:rPr>
          <w:spacing w:val="-1"/>
        </w:rPr>
        <w:t> </w:t>
      </w:r>
      <w:r>
        <w:rPr/>
        <w:t>incentive</w:t>
      </w:r>
      <w:r>
        <w:rPr>
          <w:spacing w:val="-2"/>
        </w:rPr>
        <w:t> </w:t>
      </w:r>
      <w:r>
        <w:rPr/>
        <w:t>in</w:t>
      </w:r>
      <w:r>
        <w:rPr>
          <w:spacing w:val="-2"/>
        </w:rPr>
        <w:t> </w:t>
      </w:r>
      <w:r>
        <w:rPr/>
        <w:t>the</w:t>
      </w:r>
      <w:r>
        <w:rPr>
          <w:spacing w:val="-2"/>
        </w:rPr>
        <w:t> </w:t>
      </w:r>
      <w:r>
        <w:rPr/>
        <w:t>form of in- kind</w:t>
      </w:r>
      <w:r>
        <w:rPr>
          <w:spacing w:val="-16"/>
        </w:rPr>
        <w:t> </w:t>
      </w:r>
      <w:r>
        <w:rPr/>
        <w:t>grants</w:t>
      </w:r>
      <w:r>
        <w:rPr>
          <w:spacing w:val="-15"/>
        </w:rPr>
        <w:t> </w:t>
      </w:r>
      <w:r>
        <w:rPr/>
        <w:t>covering</w:t>
      </w:r>
      <w:r>
        <w:rPr>
          <w:spacing w:val="-15"/>
        </w:rPr>
        <w:t> </w:t>
      </w:r>
      <w:r>
        <w:rPr/>
        <w:t>the</w:t>
      </w:r>
      <w:r>
        <w:rPr>
          <w:spacing w:val="-16"/>
        </w:rPr>
        <w:t> </w:t>
      </w:r>
      <w:r>
        <w:rPr/>
        <w:t>costs</w:t>
      </w:r>
      <w:r>
        <w:rPr>
          <w:spacing w:val="-15"/>
        </w:rPr>
        <w:t> </w:t>
      </w:r>
      <w:r>
        <w:rPr/>
        <w:t>of</w:t>
      </w:r>
      <w:r>
        <w:rPr>
          <w:spacing w:val="-15"/>
        </w:rPr>
        <w:t> </w:t>
      </w:r>
      <w:r>
        <w:rPr/>
        <w:t>rehabilitation</w:t>
      </w:r>
      <w:r>
        <w:rPr>
          <w:spacing w:val="-15"/>
        </w:rPr>
        <w:t> </w:t>
      </w:r>
      <w:r>
        <w:rPr/>
        <w:t>and/or</w:t>
      </w:r>
      <w:r>
        <w:rPr>
          <w:spacing w:val="-16"/>
        </w:rPr>
        <w:t> </w:t>
      </w:r>
      <w:r>
        <w:rPr/>
        <w:t>repair</w:t>
      </w:r>
      <w:r>
        <w:rPr>
          <w:spacing w:val="-15"/>
        </w:rPr>
        <w:t> </w:t>
      </w:r>
      <w:r>
        <w:rPr/>
        <w:t>of</w:t>
      </w:r>
      <w:r>
        <w:rPr>
          <w:spacing w:val="-15"/>
        </w:rPr>
        <w:t> </w:t>
      </w:r>
      <w:r>
        <w:rPr/>
        <w:t>properties</w:t>
      </w:r>
      <w:r>
        <w:rPr>
          <w:spacing w:val="-16"/>
        </w:rPr>
        <w:t> </w:t>
      </w:r>
      <w:r>
        <w:rPr/>
        <w:t>and</w:t>
      </w:r>
      <w:r>
        <w:rPr>
          <w:spacing w:val="-15"/>
        </w:rPr>
        <w:t> </w:t>
      </w:r>
      <w:r>
        <w:rPr/>
        <w:t>premises</w:t>
      </w:r>
      <w:r>
        <w:rPr>
          <w:spacing w:val="-15"/>
        </w:rPr>
        <w:t> </w:t>
      </w:r>
      <w:r>
        <w:rPr/>
        <w:t>that</w:t>
      </w:r>
      <w:r>
        <w:rPr>
          <w:spacing w:val="-15"/>
        </w:rPr>
        <w:t> </w:t>
      </w:r>
      <w:r>
        <w:rPr/>
        <w:t>violate city codes and to enter into a grant agreement with an administrator in order to promote within the city of Dallas:</w:t>
      </w:r>
    </w:p>
    <w:p>
      <w:pPr>
        <w:pStyle w:val="ListParagraph"/>
        <w:numPr>
          <w:ilvl w:val="0"/>
          <w:numId w:val="13"/>
        </w:numPr>
        <w:tabs>
          <w:tab w:pos="841" w:val="left" w:leader="none"/>
        </w:tabs>
        <w:spacing w:line="240" w:lineRule="auto" w:before="0" w:after="0"/>
        <w:ind w:left="840" w:right="0" w:hanging="361"/>
        <w:jc w:val="left"/>
        <w:rPr>
          <w:sz w:val="22"/>
        </w:rPr>
      </w:pPr>
      <w:r>
        <w:rPr>
          <w:sz w:val="22"/>
        </w:rPr>
        <w:t>Development</w:t>
      </w:r>
      <w:r>
        <w:rPr>
          <w:spacing w:val="-7"/>
          <w:sz w:val="22"/>
        </w:rPr>
        <w:t> </w:t>
      </w:r>
      <w:r>
        <w:rPr>
          <w:sz w:val="22"/>
        </w:rPr>
        <w:t>and</w:t>
      </w:r>
      <w:r>
        <w:rPr>
          <w:spacing w:val="-9"/>
          <w:sz w:val="22"/>
        </w:rPr>
        <w:t> </w:t>
      </w:r>
      <w:r>
        <w:rPr>
          <w:sz w:val="22"/>
        </w:rPr>
        <w:t>diversification</w:t>
      </w:r>
      <w:r>
        <w:rPr>
          <w:spacing w:val="-6"/>
          <w:sz w:val="22"/>
        </w:rPr>
        <w:t> </w:t>
      </w:r>
      <w:r>
        <w:rPr>
          <w:sz w:val="22"/>
        </w:rPr>
        <w:t>of</w:t>
      </w:r>
      <w:r>
        <w:rPr>
          <w:spacing w:val="-8"/>
          <w:sz w:val="22"/>
        </w:rPr>
        <w:t> </w:t>
      </w:r>
      <w:r>
        <w:rPr>
          <w:sz w:val="22"/>
        </w:rPr>
        <w:t>the</w:t>
      </w:r>
      <w:r>
        <w:rPr>
          <w:spacing w:val="-6"/>
          <w:sz w:val="22"/>
        </w:rPr>
        <w:t> </w:t>
      </w:r>
      <w:r>
        <w:rPr>
          <w:sz w:val="22"/>
        </w:rPr>
        <w:t>economy;</w:t>
      </w:r>
      <w:r>
        <w:rPr>
          <w:spacing w:val="-7"/>
          <w:sz w:val="22"/>
        </w:rPr>
        <w:t> </w:t>
      </w:r>
      <w:r>
        <w:rPr>
          <w:spacing w:val="-5"/>
          <w:sz w:val="22"/>
        </w:rPr>
        <w:t>and</w:t>
      </w:r>
    </w:p>
    <w:p>
      <w:pPr>
        <w:pStyle w:val="ListParagraph"/>
        <w:numPr>
          <w:ilvl w:val="0"/>
          <w:numId w:val="13"/>
        </w:numPr>
        <w:tabs>
          <w:tab w:pos="841" w:val="left" w:leader="none"/>
        </w:tabs>
        <w:spacing w:line="252" w:lineRule="exact" w:before="2" w:after="0"/>
        <w:ind w:left="840" w:right="0" w:hanging="361"/>
        <w:jc w:val="left"/>
        <w:rPr>
          <w:sz w:val="22"/>
        </w:rPr>
      </w:pPr>
      <w:r>
        <w:rPr>
          <w:sz w:val="22"/>
        </w:rPr>
        <w:t>Elimination</w:t>
      </w:r>
      <w:r>
        <w:rPr>
          <w:spacing w:val="-10"/>
          <w:sz w:val="22"/>
        </w:rPr>
        <w:t> </w:t>
      </w:r>
      <w:r>
        <w:rPr>
          <w:sz w:val="22"/>
        </w:rPr>
        <w:t>of</w:t>
      </w:r>
      <w:r>
        <w:rPr>
          <w:spacing w:val="-8"/>
          <w:sz w:val="22"/>
        </w:rPr>
        <w:t> </w:t>
      </w:r>
      <w:r>
        <w:rPr>
          <w:sz w:val="22"/>
        </w:rPr>
        <w:t>unemployment</w:t>
      </w:r>
      <w:r>
        <w:rPr>
          <w:spacing w:val="-10"/>
          <w:sz w:val="22"/>
        </w:rPr>
        <w:t> </w:t>
      </w:r>
      <w:r>
        <w:rPr>
          <w:sz w:val="22"/>
        </w:rPr>
        <w:t>and</w:t>
      </w:r>
      <w:r>
        <w:rPr>
          <w:spacing w:val="-9"/>
          <w:sz w:val="22"/>
        </w:rPr>
        <w:t> </w:t>
      </w:r>
      <w:r>
        <w:rPr>
          <w:sz w:val="22"/>
        </w:rPr>
        <w:t>underemployment;</w:t>
      </w:r>
      <w:r>
        <w:rPr>
          <w:spacing w:val="-9"/>
          <w:sz w:val="22"/>
        </w:rPr>
        <w:t> </w:t>
      </w:r>
      <w:r>
        <w:rPr>
          <w:spacing w:val="-5"/>
          <w:sz w:val="22"/>
        </w:rPr>
        <w:t>and</w:t>
      </w:r>
    </w:p>
    <w:p>
      <w:pPr>
        <w:pStyle w:val="ListParagraph"/>
        <w:numPr>
          <w:ilvl w:val="0"/>
          <w:numId w:val="13"/>
        </w:numPr>
        <w:tabs>
          <w:tab w:pos="841" w:val="left" w:leader="none"/>
        </w:tabs>
        <w:spacing w:line="252" w:lineRule="exact" w:before="0" w:after="0"/>
        <w:ind w:left="840" w:right="0" w:hanging="361"/>
        <w:jc w:val="left"/>
        <w:rPr>
          <w:sz w:val="22"/>
        </w:rPr>
      </w:pPr>
      <w:r>
        <w:rPr>
          <w:sz w:val="22"/>
        </w:rPr>
        <w:t>The</w:t>
      </w:r>
      <w:r>
        <w:rPr>
          <w:spacing w:val="-7"/>
          <w:sz w:val="22"/>
        </w:rPr>
        <w:t> </w:t>
      </w:r>
      <w:r>
        <w:rPr>
          <w:sz w:val="22"/>
        </w:rPr>
        <w:t>stability</w:t>
      </w:r>
      <w:r>
        <w:rPr>
          <w:spacing w:val="-5"/>
          <w:sz w:val="22"/>
        </w:rPr>
        <w:t> </w:t>
      </w:r>
      <w:r>
        <w:rPr>
          <w:sz w:val="22"/>
        </w:rPr>
        <w:t>and</w:t>
      </w:r>
      <w:r>
        <w:rPr>
          <w:spacing w:val="-7"/>
          <w:sz w:val="22"/>
        </w:rPr>
        <w:t> </w:t>
      </w:r>
      <w:r>
        <w:rPr>
          <w:sz w:val="22"/>
        </w:rPr>
        <w:t>economic</w:t>
      </w:r>
      <w:r>
        <w:rPr>
          <w:spacing w:val="-4"/>
          <w:sz w:val="22"/>
        </w:rPr>
        <w:t> </w:t>
      </w:r>
      <w:r>
        <w:rPr>
          <w:sz w:val="22"/>
        </w:rPr>
        <w:t>value</w:t>
      </w:r>
      <w:r>
        <w:rPr>
          <w:spacing w:val="-6"/>
          <w:sz w:val="22"/>
        </w:rPr>
        <w:t> </w:t>
      </w:r>
      <w:r>
        <w:rPr>
          <w:sz w:val="22"/>
        </w:rPr>
        <w:t>of</w:t>
      </w:r>
      <w:r>
        <w:rPr>
          <w:spacing w:val="-6"/>
          <w:sz w:val="22"/>
        </w:rPr>
        <w:t> </w:t>
      </w:r>
      <w:r>
        <w:rPr>
          <w:sz w:val="22"/>
        </w:rPr>
        <w:t>residential</w:t>
      </w:r>
      <w:r>
        <w:rPr>
          <w:spacing w:val="-5"/>
          <w:sz w:val="22"/>
        </w:rPr>
        <w:t> </w:t>
      </w:r>
      <w:r>
        <w:rPr>
          <w:spacing w:val="-2"/>
          <w:sz w:val="22"/>
        </w:rPr>
        <w:t>neighborhoods.</w:t>
      </w:r>
    </w:p>
    <w:p>
      <w:pPr>
        <w:pStyle w:val="BodyText"/>
      </w:pPr>
    </w:p>
    <w:p>
      <w:pPr>
        <w:pStyle w:val="BodyText"/>
        <w:ind w:left="120" w:right="158"/>
        <w:jc w:val="both"/>
      </w:pPr>
      <w:r>
        <w:rPr/>
        <w:t>On September 28, 2016 the Dallas City Council approved Ordinance No. 30236 amending City Code Chapter 27 Sec 16.13-16.23 changing the process of referring persons determined financially unable to repair or rehabilitate their property or premises in compliance with city ordinances to the Dallas Tomorrow Fund.</w:t>
      </w:r>
    </w:p>
    <w:p>
      <w:pPr>
        <w:pStyle w:val="BodyText"/>
        <w:spacing w:before="11"/>
        <w:rPr>
          <w:sz w:val="21"/>
        </w:rPr>
      </w:pPr>
    </w:p>
    <w:p>
      <w:pPr>
        <w:pStyle w:val="BodyText"/>
        <w:ind w:left="120" w:right="156"/>
        <w:jc w:val="both"/>
      </w:pPr>
      <w:r>
        <w:rPr/>
        <w:t>DTF</w:t>
      </w:r>
      <w:r>
        <w:rPr>
          <w:spacing w:val="-5"/>
        </w:rPr>
        <w:t> </w:t>
      </w:r>
      <w:r>
        <w:rPr/>
        <w:t>must</w:t>
      </w:r>
      <w:r>
        <w:rPr>
          <w:spacing w:val="-4"/>
        </w:rPr>
        <w:t> </w:t>
      </w:r>
      <w:r>
        <w:rPr/>
        <w:t>be</w:t>
      </w:r>
      <w:r>
        <w:rPr>
          <w:spacing w:val="-7"/>
        </w:rPr>
        <w:t> </w:t>
      </w:r>
      <w:r>
        <w:rPr/>
        <w:t>used</w:t>
      </w:r>
      <w:r>
        <w:rPr>
          <w:spacing w:val="-8"/>
        </w:rPr>
        <w:t> </w:t>
      </w:r>
      <w:r>
        <w:rPr/>
        <w:t>for</w:t>
      </w:r>
      <w:r>
        <w:rPr>
          <w:spacing w:val="-6"/>
        </w:rPr>
        <w:t> </w:t>
      </w:r>
      <w:r>
        <w:rPr/>
        <w:t>the</w:t>
      </w:r>
      <w:r>
        <w:rPr>
          <w:spacing w:val="-5"/>
        </w:rPr>
        <w:t> </w:t>
      </w:r>
      <w:r>
        <w:rPr/>
        <w:t>sole</w:t>
      </w:r>
      <w:r>
        <w:rPr>
          <w:spacing w:val="-5"/>
        </w:rPr>
        <w:t> </w:t>
      </w:r>
      <w:r>
        <w:rPr/>
        <w:t>purpose</w:t>
      </w:r>
      <w:r>
        <w:rPr>
          <w:spacing w:val="-5"/>
        </w:rPr>
        <w:t> </w:t>
      </w:r>
      <w:r>
        <w:rPr/>
        <w:t>of</w:t>
      </w:r>
      <w:r>
        <w:rPr>
          <w:spacing w:val="-3"/>
        </w:rPr>
        <w:t> </w:t>
      </w:r>
      <w:r>
        <w:rPr/>
        <w:t>rehabilitating</w:t>
      </w:r>
      <w:r>
        <w:rPr>
          <w:spacing w:val="-5"/>
        </w:rPr>
        <w:t> </w:t>
      </w:r>
      <w:r>
        <w:rPr/>
        <w:t>and/or</w:t>
      </w:r>
      <w:r>
        <w:rPr>
          <w:spacing w:val="-6"/>
        </w:rPr>
        <w:t> </w:t>
      </w:r>
      <w:r>
        <w:rPr/>
        <w:t>repairing</w:t>
      </w:r>
      <w:r>
        <w:rPr>
          <w:spacing w:val="-7"/>
        </w:rPr>
        <w:t> </w:t>
      </w:r>
      <w:r>
        <w:rPr/>
        <w:t>properties</w:t>
      </w:r>
      <w:r>
        <w:rPr>
          <w:spacing w:val="-5"/>
        </w:rPr>
        <w:t> </w:t>
      </w:r>
      <w:r>
        <w:rPr/>
        <w:t>and</w:t>
      </w:r>
      <w:r>
        <w:rPr>
          <w:spacing w:val="-7"/>
        </w:rPr>
        <w:t> </w:t>
      </w:r>
      <w:r>
        <w:rPr/>
        <w:t>premises in the city for persons who are found unable to financially comply with notice of violation issued by the director under this chapter Section 27-16.19.</w:t>
      </w:r>
    </w:p>
    <w:p>
      <w:pPr>
        <w:pStyle w:val="BodyText"/>
        <w:spacing w:before="10"/>
        <w:rPr>
          <w:sz w:val="21"/>
        </w:rPr>
      </w:pPr>
    </w:p>
    <w:p>
      <w:pPr>
        <w:pStyle w:val="BodyText"/>
        <w:ind w:left="120" w:right="155"/>
        <w:jc w:val="both"/>
      </w:pPr>
      <w:r>
        <w:rPr/>
        <w:t>The City manager appoints the DTF Administrator (Administrator). Currently the Department of Housing &amp; Neighborhood Revitalization has been appointed the administrator of DTF.</w:t>
      </w:r>
    </w:p>
    <w:p>
      <w:pPr>
        <w:pStyle w:val="BodyText"/>
        <w:spacing w:before="3"/>
      </w:pPr>
    </w:p>
    <w:p>
      <w:pPr>
        <w:spacing w:before="0"/>
        <w:ind w:left="254" w:right="0" w:firstLine="0"/>
        <w:jc w:val="left"/>
        <w:rPr>
          <w:b/>
          <w:sz w:val="22"/>
        </w:rPr>
      </w:pPr>
      <w:r>
        <w:rPr>
          <w:b/>
          <w:sz w:val="22"/>
          <w:u w:val="single"/>
        </w:rPr>
        <w:t>PROGRAM</w:t>
      </w:r>
      <w:r>
        <w:rPr>
          <w:b/>
          <w:spacing w:val="-5"/>
          <w:sz w:val="22"/>
          <w:u w:val="single"/>
        </w:rPr>
        <w:t> </w:t>
      </w:r>
      <w:r>
        <w:rPr>
          <w:b/>
          <w:spacing w:val="-2"/>
          <w:sz w:val="22"/>
          <w:u w:val="single"/>
        </w:rPr>
        <w:t>FUNDING</w:t>
      </w:r>
    </w:p>
    <w:p>
      <w:pPr>
        <w:pStyle w:val="BodyText"/>
        <w:spacing w:before="10"/>
        <w:rPr>
          <w:b/>
          <w:sz w:val="13"/>
        </w:rPr>
      </w:pPr>
    </w:p>
    <w:p>
      <w:pPr>
        <w:pStyle w:val="BodyText"/>
        <w:spacing w:line="252" w:lineRule="exact" w:before="94"/>
        <w:ind w:left="120"/>
        <w:jc w:val="both"/>
      </w:pPr>
      <w:r>
        <w:rPr/>
        <w:t>The</w:t>
      </w:r>
      <w:r>
        <w:rPr>
          <w:spacing w:val="-5"/>
        </w:rPr>
        <w:t> </w:t>
      </w:r>
      <w:r>
        <w:rPr/>
        <w:t>Dallas</w:t>
      </w:r>
      <w:r>
        <w:rPr>
          <w:spacing w:val="-4"/>
        </w:rPr>
        <w:t> </w:t>
      </w:r>
      <w:r>
        <w:rPr/>
        <w:t>Tomorrow</w:t>
      </w:r>
      <w:r>
        <w:rPr>
          <w:spacing w:val="-5"/>
        </w:rPr>
        <w:t> </w:t>
      </w:r>
      <w:r>
        <w:rPr/>
        <w:t>Fund</w:t>
      </w:r>
      <w:r>
        <w:rPr>
          <w:spacing w:val="-4"/>
        </w:rPr>
        <w:t> </w:t>
      </w:r>
      <w:r>
        <w:rPr/>
        <w:t>is</w:t>
      </w:r>
      <w:r>
        <w:rPr>
          <w:spacing w:val="-5"/>
        </w:rPr>
        <w:t> </w:t>
      </w:r>
      <w:r>
        <w:rPr/>
        <w:t>composed</w:t>
      </w:r>
      <w:r>
        <w:rPr>
          <w:spacing w:val="-4"/>
        </w:rPr>
        <w:t> </w:t>
      </w:r>
      <w:r>
        <w:rPr>
          <w:spacing w:val="-5"/>
        </w:rPr>
        <w:t>of:</w:t>
      </w:r>
    </w:p>
    <w:p>
      <w:pPr>
        <w:pStyle w:val="ListParagraph"/>
        <w:numPr>
          <w:ilvl w:val="0"/>
          <w:numId w:val="14"/>
        </w:numPr>
        <w:tabs>
          <w:tab w:pos="841" w:val="left" w:leader="none"/>
        </w:tabs>
        <w:spacing w:line="252" w:lineRule="exact" w:before="0" w:after="0"/>
        <w:ind w:left="840" w:right="0" w:hanging="361"/>
        <w:jc w:val="both"/>
        <w:rPr>
          <w:sz w:val="22"/>
        </w:rPr>
      </w:pPr>
      <w:r>
        <w:rPr>
          <w:sz w:val="22"/>
        </w:rPr>
        <w:t>All</w:t>
      </w:r>
      <w:r>
        <w:rPr>
          <w:spacing w:val="-9"/>
          <w:sz w:val="22"/>
        </w:rPr>
        <w:t> </w:t>
      </w:r>
      <w:r>
        <w:rPr>
          <w:sz w:val="22"/>
        </w:rPr>
        <w:t>Dallas</w:t>
      </w:r>
      <w:r>
        <w:rPr>
          <w:spacing w:val="-5"/>
          <w:sz w:val="22"/>
        </w:rPr>
        <w:t> </w:t>
      </w:r>
      <w:r>
        <w:rPr>
          <w:sz w:val="22"/>
        </w:rPr>
        <w:t>Tomorrow</w:t>
      </w:r>
      <w:r>
        <w:rPr>
          <w:spacing w:val="-6"/>
          <w:sz w:val="22"/>
        </w:rPr>
        <w:t> </w:t>
      </w:r>
      <w:r>
        <w:rPr>
          <w:sz w:val="22"/>
        </w:rPr>
        <w:t>Fund</w:t>
      </w:r>
      <w:r>
        <w:rPr>
          <w:spacing w:val="-6"/>
          <w:sz w:val="22"/>
        </w:rPr>
        <w:t> </w:t>
      </w:r>
      <w:r>
        <w:rPr>
          <w:sz w:val="22"/>
        </w:rPr>
        <w:t>penalties</w:t>
      </w:r>
      <w:r>
        <w:rPr>
          <w:spacing w:val="-5"/>
          <w:sz w:val="22"/>
        </w:rPr>
        <w:t> </w:t>
      </w:r>
      <w:r>
        <w:rPr>
          <w:sz w:val="22"/>
        </w:rPr>
        <w:t>collected</w:t>
      </w:r>
      <w:r>
        <w:rPr>
          <w:spacing w:val="-8"/>
          <w:sz w:val="22"/>
        </w:rPr>
        <w:t> </w:t>
      </w:r>
      <w:r>
        <w:rPr>
          <w:sz w:val="22"/>
        </w:rPr>
        <w:t>under</w:t>
      </w:r>
      <w:r>
        <w:rPr>
          <w:spacing w:val="-4"/>
          <w:sz w:val="22"/>
        </w:rPr>
        <w:t> </w:t>
      </w:r>
      <w:r>
        <w:rPr>
          <w:sz w:val="22"/>
        </w:rPr>
        <w:t>Section</w:t>
      </w:r>
      <w:r>
        <w:rPr>
          <w:spacing w:val="-6"/>
          <w:sz w:val="22"/>
        </w:rPr>
        <w:t> </w:t>
      </w:r>
      <w:r>
        <w:rPr>
          <w:sz w:val="22"/>
        </w:rPr>
        <w:t>27-</w:t>
      </w:r>
      <w:r>
        <w:rPr>
          <w:spacing w:val="-2"/>
          <w:sz w:val="22"/>
        </w:rPr>
        <w:t>16.21(b);</w:t>
      </w:r>
    </w:p>
    <w:p>
      <w:pPr>
        <w:pStyle w:val="ListParagraph"/>
        <w:numPr>
          <w:ilvl w:val="0"/>
          <w:numId w:val="14"/>
        </w:numPr>
        <w:tabs>
          <w:tab w:pos="841" w:val="left" w:leader="none"/>
        </w:tabs>
        <w:spacing w:line="240" w:lineRule="auto" w:before="0" w:after="0"/>
        <w:ind w:left="840" w:right="159" w:hanging="360"/>
        <w:jc w:val="both"/>
        <w:rPr>
          <w:sz w:val="22"/>
        </w:rPr>
      </w:pPr>
      <w:r>
        <w:rPr>
          <w:sz w:val="22"/>
        </w:rPr>
        <w:t>30 percent of all civil penalties collected by the city for civil lawsuits filed in the municipal court</w:t>
      </w:r>
      <w:r>
        <w:rPr>
          <w:spacing w:val="-16"/>
          <w:sz w:val="22"/>
        </w:rPr>
        <w:t> </w:t>
      </w:r>
      <w:r>
        <w:rPr>
          <w:sz w:val="22"/>
        </w:rPr>
        <w:t>under</w:t>
      </w:r>
      <w:r>
        <w:rPr>
          <w:spacing w:val="-15"/>
          <w:sz w:val="22"/>
        </w:rPr>
        <w:t> </w:t>
      </w:r>
      <w:r>
        <w:rPr>
          <w:sz w:val="22"/>
        </w:rPr>
        <w:t>Subchapter</w:t>
      </w:r>
      <w:r>
        <w:rPr>
          <w:spacing w:val="-15"/>
          <w:sz w:val="22"/>
        </w:rPr>
        <w:t> </w:t>
      </w:r>
      <w:r>
        <w:rPr>
          <w:sz w:val="22"/>
        </w:rPr>
        <w:t>B,</w:t>
      </w:r>
      <w:r>
        <w:rPr>
          <w:spacing w:val="-16"/>
          <w:sz w:val="22"/>
        </w:rPr>
        <w:t> </w:t>
      </w:r>
      <w:r>
        <w:rPr>
          <w:sz w:val="22"/>
        </w:rPr>
        <w:t>Chapter</w:t>
      </w:r>
      <w:r>
        <w:rPr>
          <w:spacing w:val="-15"/>
          <w:sz w:val="22"/>
        </w:rPr>
        <w:t> </w:t>
      </w:r>
      <w:r>
        <w:rPr>
          <w:sz w:val="22"/>
        </w:rPr>
        <w:t>54</w:t>
      </w:r>
      <w:r>
        <w:rPr>
          <w:spacing w:val="-15"/>
          <w:sz w:val="22"/>
        </w:rPr>
        <w:t> </w:t>
      </w:r>
      <w:r>
        <w:rPr>
          <w:sz w:val="22"/>
        </w:rPr>
        <w:t>of</w:t>
      </w:r>
      <w:r>
        <w:rPr>
          <w:spacing w:val="-15"/>
          <w:sz w:val="22"/>
        </w:rPr>
        <w:t> </w:t>
      </w:r>
      <w:r>
        <w:rPr>
          <w:sz w:val="22"/>
        </w:rPr>
        <w:t>the</w:t>
      </w:r>
      <w:r>
        <w:rPr>
          <w:spacing w:val="-16"/>
          <w:sz w:val="22"/>
        </w:rPr>
        <w:t> </w:t>
      </w:r>
      <w:r>
        <w:rPr>
          <w:sz w:val="22"/>
        </w:rPr>
        <w:t>Texas</w:t>
      </w:r>
      <w:r>
        <w:rPr>
          <w:spacing w:val="-15"/>
          <w:sz w:val="22"/>
        </w:rPr>
        <w:t> </w:t>
      </w:r>
      <w:r>
        <w:rPr>
          <w:sz w:val="22"/>
        </w:rPr>
        <w:t>Local</w:t>
      </w:r>
      <w:r>
        <w:rPr>
          <w:spacing w:val="-15"/>
          <w:sz w:val="22"/>
        </w:rPr>
        <w:t> </w:t>
      </w:r>
      <w:r>
        <w:rPr>
          <w:sz w:val="22"/>
        </w:rPr>
        <w:t>Government</w:t>
      </w:r>
      <w:r>
        <w:rPr>
          <w:spacing w:val="-16"/>
          <w:sz w:val="22"/>
        </w:rPr>
        <w:t> </w:t>
      </w:r>
      <w:r>
        <w:rPr>
          <w:sz w:val="22"/>
        </w:rPr>
        <w:t>Code.</w:t>
      </w:r>
      <w:r>
        <w:rPr>
          <w:spacing w:val="-15"/>
          <w:sz w:val="22"/>
        </w:rPr>
        <w:t> </w:t>
      </w:r>
      <w:r>
        <w:rPr>
          <w:sz w:val="22"/>
        </w:rPr>
        <w:t>as</w:t>
      </w:r>
      <w:r>
        <w:rPr>
          <w:spacing w:val="-15"/>
          <w:sz w:val="22"/>
        </w:rPr>
        <w:t> </w:t>
      </w:r>
      <w:r>
        <w:rPr>
          <w:sz w:val="22"/>
        </w:rPr>
        <w:t>amended, or under Chapter 214 of the Texas Local Government Code, as amended;</w:t>
      </w:r>
    </w:p>
    <w:p>
      <w:pPr>
        <w:pStyle w:val="ListParagraph"/>
        <w:numPr>
          <w:ilvl w:val="0"/>
          <w:numId w:val="14"/>
        </w:numPr>
        <w:tabs>
          <w:tab w:pos="840" w:val="left" w:leader="none"/>
        </w:tabs>
        <w:spacing w:line="240" w:lineRule="auto" w:before="1" w:after="0"/>
        <w:ind w:left="839" w:right="158" w:hanging="360"/>
        <w:jc w:val="both"/>
        <w:rPr>
          <w:sz w:val="22"/>
        </w:rPr>
      </w:pPr>
      <w:r>
        <w:rPr>
          <w:sz w:val="22"/>
        </w:rPr>
        <w:t>Any</w:t>
      </w:r>
      <w:r>
        <w:rPr>
          <w:spacing w:val="-4"/>
          <w:sz w:val="22"/>
        </w:rPr>
        <w:t> </w:t>
      </w:r>
      <w:r>
        <w:rPr>
          <w:sz w:val="22"/>
        </w:rPr>
        <w:t>funds</w:t>
      </w:r>
      <w:r>
        <w:rPr>
          <w:spacing w:val="-4"/>
          <w:sz w:val="22"/>
        </w:rPr>
        <w:t> </w:t>
      </w:r>
      <w:r>
        <w:rPr>
          <w:sz w:val="22"/>
        </w:rPr>
        <w:t>donated</w:t>
      </w:r>
      <w:r>
        <w:rPr>
          <w:spacing w:val="-4"/>
          <w:sz w:val="22"/>
        </w:rPr>
        <w:t> </w:t>
      </w:r>
      <w:r>
        <w:rPr>
          <w:sz w:val="22"/>
        </w:rPr>
        <w:t>by</w:t>
      </w:r>
      <w:r>
        <w:rPr>
          <w:spacing w:val="-4"/>
          <w:sz w:val="22"/>
        </w:rPr>
        <w:t> </w:t>
      </w:r>
      <w:r>
        <w:rPr>
          <w:sz w:val="22"/>
        </w:rPr>
        <w:t>an</w:t>
      </w:r>
      <w:r>
        <w:rPr>
          <w:spacing w:val="-6"/>
          <w:sz w:val="22"/>
        </w:rPr>
        <w:t> </w:t>
      </w:r>
      <w:r>
        <w:rPr>
          <w:sz w:val="22"/>
        </w:rPr>
        <w:t>individual</w:t>
      </w:r>
      <w:r>
        <w:rPr>
          <w:spacing w:val="-5"/>
          <w:sz w:val="22"/>
        </w:rPr>
        <w:t> </w:t>
      </w:r>
      <w:r>
        <w:rPr>
          <w:sz w:val="22"/>
        </w:rPr>
        <w:t>or</w:t>
      </w:r>
      <w:r>
        <w:rPr>
          <w:spacing w:val="-3"/>
          <w:sz w:val="22"/>
        </w:rPr>
        <w:t> </w:t>
      </w:r>
      <w:r>
        <w:rPr>
          <w:sz w:val="22"/>
        </w:rPr>
        <w:t>entity,</w:t>
      </w:r>
      <w:r>
        <w:rPr>
          <w:spacing w:val="-3"/>
          <w:sz w:val="22"/>
        </w:rPr>
        <w:t> </w:t>
      </w:r>
      <w:r>
        <w:rPr>
          <w:sz w:val="22"/>
        </w:rPr>
        <w:t>any</w:t>
      </w:r>
      <w:r>
        <w:rPr>
          <w:spacing w:val="-8"/>
          <w:sz w:val="22"/>
        </w:rPr>
        <w:t> </w:t>
      </w:r>
      <w:r>
        <w:rPr>
          <w:sz w:val="22"/>
        </w:rPr>
        <w:t>of</w:t>
      </w:r>
      <w:r>
        <w:rPr>
          <w:spacing w:val="-3"/>
          <w:sz w:val="22"/>
        </w:rPr>
        <w:t> </w:t>
      </w:r>
      <w:r>
        <w:rPr>
          <w:sz w:val="22"/>
        </w:rPr>
        <w:t>which</w:t>
      </w:r>
      <w:r>
        <w:rPr>
          <w:spacing w:val="-4"/>
          <w:sz w:val="22"/>
        </w:rPr>
        <w:t> </w:t>
      </w:r>
      <w:r>
        <w:rPr>
          <w:sz w:val="22"/>
        </w:rPr>
        <w:t>donations</w:t>
      </w:r>
      <w:r>
        <w:rPr>
          <w:spacing w:val="-6"/>
          <w:sz w:val="22"/>
        </w:rPr>
        <w:t> </w:t>
      </w:r>
      <w:r>
        <w:rPr>
          <w:sz w:val="22"/>
        </w:rPr>
        <w:t>may</w:t>
      </w:r>
      <w:r>
        <w:rPr>
          <w:spacing w:val="-8"/>
          <w:sz w:val="22"/>
        </w:rPr>
        <w:t> </w:t>
      </w:r>
      <w:r>
        <w:rPr>
          <w:sz w:val="22"/>
        </w:rPr>
        <w:t>be</w:t>
      </w:r>
      <w:r>
        <w:rPr>
          <w:spacing w:val="-4"/>
          <w:sz w:val="22"/>
        </w:rPr>
        <w:t> </w:t>
      </w:r>
      <w:r>
        <w:rPr>
          <w:sz w:val="22"/>
        </w:rPr>
        <w:t>refused</w:t>
      </w:r>
      <w:r>
        <w:rPr>
          <w:spacing w:val="-4"/>
          <w:sz w:val="22"/>
        </w:rPr>
        <w:t> </w:t>
      </w:r>
      <w:r>
        <w:rPr>
          <w:sz w:val="22"/>
        </w:rPr>
        <w:t>by</w:t>
      </w:r>
      <w:r>
        <w:rPr>
          <w:spacing w:val="-4"/>
          <w:sz w:val="22"/>
        </w:rPr>
        <w:t> </w:t>
      </w:r>
      <w:r>
        <w:rPr>
          <w:sz w:val="22"/>
        </w:rPr>
        <w:t>a majority vote of the city council.</w:t>
      </w:r>
    </w:p>
    <w:p>
      <w:pPr>
        <w:pStyle w:val="BodyText"/>
      </w:pPr>
    </w:p>
    <w:p>
      <w:pPr>
        <w:spacing w:before="0"/>
        <w:ind w:left="254" w:right="0" w:firstLine="0"/>
        <w:jc w:val="left"/>
        <w:rPr>
          <w:b/>
          <w:sz w:val="22"/>
        </w:rPr>
      </w:pPr>
      <w:r>
        <w:rPr>
          <w:b/>
          <w:sz w:val="22"/>
          <w:u w:val="single"/>
        </w:rPr>
        <w:t>PROGRAM</w:t>
      </w:r>
      <w:r>
        <w:rPr>
          <w:b/>
          <w:spacing w:val="-5"/>
          <w:sz w:val="22"/>
          <w:u w:val="single"/>
        </w:rPr>
        <w:t> </w:t>
      </w:r>
      <w:r>
        <w:rPr>
          <w:b/>
          <w:spacing w:val="-2"/>
          <w:sz w:val="22"/>
          <w:u w:val="single"/>
        </w:rPr>
        <w:t>ELIGIBILITY</w:t>
      </w:r>
    </w:p>
    <w:p>
      <w:pPr>
        <w:pStyle w:val="BodyText"/>
        <w:spacing w:before="10"/>
        <w:rPr>
          <w:b/>
          <w:sz w:val="13"/>
        </w:rPr>
      </w:pPr>
    </w:p>
    <w:p>
      <w:pPr>
        <w:pStyle w:val="BodyText"/>
        <w:spacing w:line="252" w:lineRule="exact" w:before="94"/>
        <w:ind w:left="120"/>
        <w:jc w:val="both"/>
      </w:pPr>
      <w:r>
        <w:rPr/>
        <w:t>To</w:t>
      </w:r>
      <w:r>
        <w:rPr>
          <w:spacing w:val="-3"/>
        </w:rPr>
        <w:t> </w:t>
      </w:r>
      <w:r>
        <w:rPr/>
        <w:t>be</w:t>
      </w:r>
      <w:r>
        <w:rPr>
          <w:spacing w:val="-4"/>
        </w:rPr>
        <w:t> </w:t>
      </w:r>
      <w:r>
        <w:rPr/>
        <w:t>eligible</w:t>
      </w:r>
      <w:r>
        <w:rPr>
          <w:spacing w:val="-4"/>
        </w:rPr>
        <w:t> </w:t>
      </w:r>
      <w:r>
        <w:rPr/>
        <w:t>to</w:t>
      </w:r>
      <w:r>
        <w:rPr>
          <w:spacing w:val="-6"/>
        </w:rPr>
        <w:t> </w:t>
      </w:r>
      <w:r>
        <w:rPr/>
        <w:t>receive</w:t>
      </w:r>
      <w:r>
        <w:rPr>
          <w:spacing w:val="-6"/>
        </w:rPr>
        <w:t> </w:t>
      </w:r>
      <w:r>
        <w:rPr/>
        <w:t>funds</w:t>
      </w:r>
      <w:r>
        <w:rPr>
          <w:spacing w:val="-3"/>
        </w:rPr>
        <w:t> </w:t>
      </w:r>
      <w:r>
        <w:rPr/>
        <w:t>from</w:t>
      </w:r>
      <w:r>
        <w:rPr>
          <w:spacing w:val="-4"/>
        </w:rPr>
        <w:t> </w:t>
      </w:r>
      <w:r>
        <w:rPr/>
        <w:t>the</w:t>
      </w:r>
      <w:r>
        <w:rPr>
          <w:spacing w:val="-6"/>
        </w:rPr>
        <w:t> </w:t>
      </w:r>
      <w:r>
        <w:rPr/>
        <w:t>Dallas</w:t>
      </w:r>
      <w:r>
        <w:rPr>
          <w:spacing w:val="-3"/>
        </w:rPr>
        <w:t> </w:t>
      </w:r>
      <w:r>
        <w:rPr/>
        <w:t>Tomorrow</w:t>
      </w:r>
      <w:r>
        <w:rPr>
          <w:spacing w:val="-4"/>
        </w:rPr>
        <w:t> </w:t>
      </w:r>
      <w:r>
        <w:rPr/>
        <w:t>Fund,</w:t>
      </w:r>
      <w:r>
        <w:rPr>
          <w:spacing w:val="-2"/>
        </w:rPr>
        <w:t> </w:t>
      </w:r>
      <w:r>
        <w:rPr/>
        <w:t>a</w:t>
      </w:r>
      <w:r>
        <w:rPr>
          <w:spacing w:val="-6"/>
        </w:rPr>
        <w:t> </w:t>
      </w:r>
      <w:r>
        <w:rPr/>
        <w:t>person</w:t>
      </w:r>
      <w:r>
        <w:rPr>
          <w:spacing w:val="-7"/>
        </w:rPr>
        <w:t> </w:t>
      </w:r>
      <w:r>
        <w:rPr>
          <w:spacing w:val="-2"/>
        </w:rPr>
        <w:t>must:</w:t>
      </w:r>
    </w:p>
    <w:p>
      <w:pPr>
        <w:pStyle w:val="ListParagraph"/>
        <w:numPr>
          <w:ilvl w:val="0"/>
          <w:numId w:val="15"/>
        </w:numPr>
        <w:tabs>
          <w:tab w:pos="841" w:val="left" w:leader="none"/>
        </w:tabs>
        <w:spacing w:line="240" w:lineRule="auto" w:before="0" w:after="0"/>
        <w:ind w:left="840" w:right="156" w:hanging="360"/>
        <w:jc w:val="both"/>
        <w:rPr>
          <w:sz w:val="22"/>
        </w:rPr>
      </w:pPr>
      <w:r>
        <w:rPr>
          <w:sz w:val="22"/>
        </w:rPr>
        <w:t>Be</w:t>
      </w:r>
      <w:r>
        <w:rPr>
          <w:spacing w:val="-4"/>
          <w:sz w:val="22"/>
        </w:rPr>
        <w:t> </w:t>
      </w:r>
      <w:r>
        <w:rPr>
          <w:sz w:val="22"/>
        </w:rPr>
        <w:t>the</w:t>
      </w:r>
      <w:r>
        <w:rPr>
          <w:spacing w:val="-6"/>
          <w:sz w:val="22"/>
        </w:rPr>
        <w:t> </w:t>
      </w:r>
      <w:r>
        <w:rPr>
          <w:sz w:val="22"/>
        </w:rPr>
        <w:t>sole</w:t>
      </w:r>
      <w:r>
        <w:rPr>
          <w:spacing w:val="-4"/>
          <w:sz w:val="22"/>
        </w:rPr>
        <w:t> </w:t>
      </w:r>
      <w:r>
        <w:rPr>
          <w:sz w:val="22"/>
        </w:rPr>
        <w:t>owner</w:t>
      </w:r>
      <w:r>
        <w:rPr>
          <w:spacing w:val="-5"/>
          <w:sz w:val="22"/>
        </w:rPr>
        <w:t> </w:t>
      </w:r>
      <w:r>
        <w:rPr>
          <w:sz w:val="22"/>
        </w:rPr>
        <w:t>of</w:t>
      </w:r>
      <w:r>
        <w:rPr>
          <w:spacing w:val="-5"/>
          <w:sz w:val="22"/>
        </w:rPr>
        <w:t> </w:t>
      </w:r>
      <w:r>
        <w:rPr>
          <w:sz w:val="22"/>
        </w:rPr>
        <w:t>the</w:t>
      </w:r>
      <w:r>
        <w:rPr>
          <w:spacing w:val="-7"/>
          <w:sz w:val="22"/>
        </w:rPr>
        <w:t> </w:t>
      </w:r>
      <w:r>
        <w:rPr>
          <w:sz w:val="22"/>
        </w:rPr>
        <w:t>property</w:t>
      </w:r>
      <w:r>
        <w:rPr>
          <w:spacing w:val="-4"/>
          <w:sz w:val="22"/>
        </w:rPr>
        <w:t> </w:t>
      </w:r>
      <w:r>
        <w:rPr>
          <w:sz w:val="22"/>
        </w:rPr>
        <w:t>or</w:t>
      </w:r>
      <w:r>
        <w:rPr>
          <w:spacing w:val="-3"/>
          <w:sz w:val="22"/>
        </w:rPr>
        <w:t> </w:t>
      </w:r>
      <w:r>
        <w:rPr>
          <w:sz w:val="22"/>
        </w:rPr>
        <w:t>premises,</w:t>
      </w:r>
      <w:r>
        <w:rPr>
          <w:spacing w:val="-5"/>
          <w:sz w:val="22"/>
        </w:rPr>
        <w:t> </w:t>
      </w:r>
      <w:r>
        <w:rPr>
          <w:sz w:val="22"/>
        </w:rPr>
        <w:t>except</w:t>
      </w:r>
      <w:r>
        <w:rPr>
          <w:spacing w:val="-5"/>
          <w:sz w:val="22"/>
        </w:rPr>
        <w:t> </w:t>
      </w:r>
      <w:r>
        <w:rPr>
          <w:sz w:val="22"/>
        </w:rPr>
        <w:t>that</w:t>
      </w:r>
      <w:r>
        <w:rPr>
          <w:spacing w:val="-7"/>
          <w:sz w:val="22"/>
        </w:rPr>
        <w:t> </w:t>
      </w:r>
      <w:r>
        <w:rPr>
          <w:sz w:val="22"/>
        </w:rPr>
        <w:t>the</w:t>
      </w:r>
      <w:r>
        <w:rPr>
          <w:spacing w:val="-4"/>
          <w:sz w:val="22"/>
        </w:rPr>
        <w:t> </w:t>
      </w:r>
      <w:r>
        <w:rPr>
          <w:sz w:val="22"/>
        </w:rPr>
        <w:t>person</w:t>
      </w:r>
      <w:r>
        <w:rPr>
          <w:spacing w:val="-6"/>
          <w:sz w:val="22"/>
        </w:rPr>
        <w:t> </w:t>
      </w:r>
      <w:r>
        <w:rPr>
          <w:sz w:val="22"/>
        </w:rPr>
        <w:t>may</w:t>
      </w:r>
      <w:r>
        <w:rPr>
          <w:spacing w:val="-6"/>
          <w:sz w:val="22"/>
        </w:rPr>
        <w:t> </w:t>
      </w:r>
      <w:r>
        <w:rPr>
          <w:sz w:val="22"/>
        </w:rPr>
        <w:t>be</w:t>
      </w:r>
      <w:r>
        <w:rPr>
          <w:spacing w:val="-4"/>
          <w:sz w:val="22"/>
        </w:rPr>
        <w:t> </w:t>
      </w:r>
      <w:r>
        <w:rPr>
          <w:sz w:val="22"/>
        </w:rPr>
        <w:t>a</w:t>
      </w:r>
      <w:r>
        <w:rPr>
          <w:spacing w:val="-6"/>
          <w:sz w:val="22"/>
        </w:rPr>
        <w:t> </w:t>
      </w:r>
      <w:r>
        <w:rPr>
          <w:sz w:val="22"/>
        </w:rPr>
        <w:t>co-owner of the property or premises if all other co-owners cannot be located or are financially unable to comply with the notice of violation;</w:t>
      </w:r>
    </w:p>
    <w:p>
      <w:pPr>
        <w:spacing w:after="0" w:line="240" w:lineRule="auto"/>
        <w:jc w:val="both"/>
        <w:rPr>
          <w:sz w:val="22"/>
        </w:rPr>
        <w:sectPr>
          <w:pgSz w:w="12240" w:h="15840"/>
          <w:pgMar w:header="0" w:footer="1738" w:top="1380" w:bottom="1920" w:left="1320" w:right="1280"/>
        </w:sectPr>
      </w:pPr>
    </w:p>
    <w:p>
      <w:pPr>
        <w:pStyle w:val="ListParagraph"/>
        <w:numPr>
          <w:ilvl w:val="0"/>
          <w:numId w:val="15"/>
        </w:numPr>
        <w:tabs>
          <w:tab w:pos="840" w:val="left" w:leader="none"/>
        </w:tabs>
        <w:spacing w:line="252" w:lineRule="exact" w:before="80" w:after="0"/>
        <w:ind w:left="839" w:right="0" w:hanging="360"/>
        <w:jc w:val="both"/>
        <w:rPr>
          <w:sz w:val="22"/>
        </w:rPr>
      </w:pPr>
      <w:r>
        <w:rPr>
          <w:sz w:val="22"/>
        </w:rPr>
        <w:t>Have</w:t>
      </w:r>
      <w:r>
        <w:rPr>
          <w:spacing w:val="-4"/>
          <w:sz w:val="22"/>
        </w:rPr>
        <w:t> </w:t>
      </w:r>
      <w:r>
        <w:rPr>
          <w:sz w:val="22"/>
        </w:rPr>
        <w:t>received</w:t>
      </w:r>
      <w:r>
        <w:rPr>
          <w:spacing w:val="-6"/>
          <w:sz w:val="22"/>
        </w:rPr>
        <w:t> </w:t>
      </w:r>
      <w:r>
        <w:rPr>
          <w:sz w:val="22"/>
        </w:rPr>
        <w:t>an</w:t>
      </w:r>
      <w:r>
        <w:rPr>
          <w:spacing w:val="-4"/>
          <w:sz w:val="22"/>
        </w:rPr>
        <w:t> </w:t>
      </w:r>
      <w:r>
        <w:rPr>
          <w:sz w:val="22"/>
        </w:rPr>
        <w:t>exterior</w:t>
      </w:r>
      <w:r>
        <w:rPr>
          <w:spacing w:val="-2"/>
          <w:sz w:val="22"/>
        </w:rPr>
        <w:t> </w:t>
      </w:r>
      <w:r>
        <w:rPr>
          <w:sz w:val="22"/>
        </w:rPr>
        <w:t>notice</w:t>
      </w:r>
      <w:r>
        <w:rPr>
          <w:spacing w:val="-4"/>
          <w:sz w:val="22"/>
        </w:rPr>
        <w:t> </w:t>
      </w:r>
      <w:r>
        <w:rPr>
          <w:sz w:val="22"/>
        </w:rPr>
        <w:t>of</w:t>
      </w:r>
      <w:r>
        <w:rPr>
          <w:spacing w:val="-5"/>
          <w:sz w:val="22"/>
        </w:rPr>
        <w:t> </w:t>
      </w:r>
      <w:r>
        <w:rPr>
          <w:sz w:val="22"/>
        </w:rPr>
        <w:t>violation</w:t>
      </w:r>
      <w:r>
        <w:rPr>
          <w:spacing w:val="-6"/>
          <w:sz w:val="22"/>
        </w:rPr>
        <w:t> </w:t>
      </w:r>
      <w:r>
        <w:rPr>
          <w:sz w:val="22"/>
        </w:rPr>
        <w:t>from</w:t>
      </w:r>
      <w:r>
        <w:rPr>
          <w:spacing w:val="-5"/>
          <w:sz w:val="22"/>
        </w:rPr>
        <w:t> </w:t>
      </w:r>
      <w:r>
        <w:rPr>
          <w:sz w:val="22"/>
        </w:rPr>
        <w:t>a</w:t>
      </w:r>
      <w:r>
        <w:rPr>
          <w:spacing w:val="-4"/>
          <w:sz w:val="22"/>
        </w:rPr>
        <w:t> </w:t>
      </w:r>
      <w:r>
        <w:rPr>
          <w:sz w:val="22"/>
        </w:rPr>
        <w:t>code</w:t>
      </w:r>
      <w:r>
        <w:rPr>
          <w:spacing w:val="-4"/>
          <w:sz w:val="22"/>
        </w:rPr>
        <w:t> </w:t>
      </w:r>
      <w:r>
        <w:rPr>
          <w:sz w:val="22"/>
        </w:rPr>
        <w:t>officer</w:t>
      </w:r>
      <w:r>
        <w:rPr>
          <w:spacing w:val="-2"/>
          <w:sz w:val="22"/>
        </w:rPr>
        <w:t> </w:t>
      </w:r>
      <w:r>
        <w:rPr>
          <w:sz w:val="22"/>
        </w:rPr>
        <w:t>at</w:t>
      </w:r>
      <w:r>
        <w:rPr>
          <w:spacing w:val="-2"/>
          <w:sz w:val="22"/>
        </w:rPr>
        <w:t> </w:t>
      </w:r>
      <w:r>
        <w:rPr>
          <w:spacing w:val="-4"/>
          <w:sz w:val="22"/>
        </w:rPr>
        <w:t>DCC;</w:t>
      </w:r>
    </w:p>
    <w:p>
      <w:pPr>
        <w:pStyle w:val="ListParagraph"/>
        <w:numPr>
          <w:ilvl w:val="0"/>
          <w:numId w:val="15"/>
        </w:numPr>
        <w:tabs>
          <w:tab w:pos="840" w:val="left" w:leader="none"/>
        </w:tabs>
        <w:spacing w:line="240" w:lineRule="auto" w:before="0" w:after="0"/>
        <w:ind w:left="839" w:right="157" w:hanging="360"/>
        <w:jc w:val="both"/>
        <w:rPr>
          <w:sz w:val="22"/>
        </w:rPr>
      </w:pPr>
      <w:r>
        <w:rPr>
          <w:sz w:val="22"/>
        </w:rPr>
        <w:t>Have been found by the Dallas Tomorrow Fund administrator to be financially unable to comply with the notice of violation issued or financially unable to cover the cost of</w:t>
      </w:r>
      <w:r>
        <w:rPr>
          <w:spacing w:val="40"/>
          <w:sz w:val="22"/>
        </w:rPr>
        <w:t> </w:t>
      </w:r>
      <w:r>
        <w:rPr>
          <w:spacing w:val="-2"/>
          <w:sz w:val="22"/>
        </w:rPr>
        <w:t>repairs;</w:t>
      </w:r>
    </w:p>
    <w:p>
      <w:pPr>
        <w:pStyle w:val="ListParagraph"/>
        <w:numPr>
          <w:ilvl w:val="0"/>
          <w:numId w:val="15"/>
        </w:numPr>
        <w:tabs>
          <w:tab w:pos="840" w:val="left" w:leader="none"/>
        </w:tabs>
        <w:spacing w:line="240" w:lineRule="auto" w:before="1" w:after="0"/>
        <w:ind w:left="839" w:right="157" w:hanging="360"/>
        <w:jc w:val="both"/>
        <w:rPr>
          <w:sz w:val="22"/>
        </w:rPr>
      </w:pPr>
      <w:r>
        <w:rPr>
          <w:sz w:val="22"/>
        </w:rPr>
        <w:t>Have an income that does not exceed 80 percent of the Dallas Area Median Family Income as determined by the United States Department of Housing and Urban </w:t>
      </w:r>
      <w:r>
        <w:rPr>
          <w:spacing w:val="-2"/>
          <w:sz w:val="22"/>
        </w:rPr>
        <w:t>Development;</w:t>
      </w:r>
    </w:p>
    <w:p>
      <w:pPr>
        <w:pStyle w:val="ListParagraph"/>
        <w:numPr>
          <w:ilvl w:val="0"/>
          <w:numId w:val="15"/>
        </w:numPr>
        <w:tabs>
          <w:tab w:pos="840" w:val="left" w:leader="none"/>
        </w:tabs>
        <w:spacing w:line="240" w:lineRule="auto" w:before="0" w:after="0"/>
        <w:ind w:left="839" w:right="160" w:hanging="360"/>
        <w:jc w:val="both"/>
        <w:rPr>
          <w:sz w:val="22"/>
        </w:rPr>
      </w:pPr>
      <w:r>
        <w:rPr/>
        <w:pict>
          <v:shape style="position:absolute;margin-left:90.065002pt;margin-top:8.668063pt;width:395.3pt;height:419pt;mso-position-horizontal-relative:page;mso-position-vertical-relative:paragraph;z-index:-17717760" id="docshape58" coordorigin="1801,173" coordsize="7906,8380" path="m4498,7437l4492,7364,4477,7286,4455,7203,4432,7134,4403,7062,4367,6987,4325,6909,4276,6828,4237,6769,4200,6718,4200,7404,4197,7460,4186,7517,4167,7574,4138,7634,4097,7697,4044,7763,3979,7832,3674,8138,2216,6680,2517,6379,2598,6303,2672,6243,2740,6200,2801,6173,2868,6159,2941,6155,3020,6161,3105,6179,3195,6208,3255,6234,3317,6266,3380,6305,3446,6350,3514,6402,3584,6460,3656,6524,3729,6596,3789,6657,3845,6717,3896,6776,3943,6834,3986,6891,4025,6946,4059,7000,4101,7075,4136,7147,4163,7216,4183,7283,4196,7348,4200,7404,4200,6718,4194,6709,4148,6649,4098,6589,4045,6528,3989,6466,3929,6404,3865,6342,3801,6284,3737,6229,3673,6177,3643,6155,3609,6129,3546,6085,3482,6044,3419,6006,3346,5968,3274,5936,3203,5909,3132,5886,3062,5869,2992,5857,2923,5850,2850,5849,2779,5855,2709,5870,2642,5893,2577,5924,2528,5952,2476,5989,2420,6034,2359,6089,2294,6151,1801,6644,3710,8553,4124,8138,4226,8036,4287,7971,4341,7906,4386,7840,4424,7773,4454,7706,4476,7640,4491,7573,4498,7506,4498,7437xm6418,5844l6056,5716,5650,5573,5561,5544,5475,5520,5393,5501,5365,5496,5314,5487,5239,5477,5193,5475,5143,5478,5089,5485,5030,5496,5073,5426,5109,5357,5136,5288,5154,5219,5164,5150,5165,5082,5157,5014,5139,4936,5111,4860,5075,4786,5030,4713,4976,4642,4956,4619,4913,4573,4872,4535,4872,5093,4868,5148,4854,5203,4830,5259,4794,5318,4747,5379,4687,5443,4280,5850,3649,5219,4102,4766,4166,4709,4229,4665,4293,4636,4358,4621,4422,4619,4501,4635,4577,4664,4649,4709,4718,4769,4761,4816,4797,4867,4827,4921,4851,4977,4867,5036,4872,5093,4872,4535,4849,4514,4782,4461,4713,4416,4641,4377,4566,4345,4474,4317,4386,4304,4303,4306,4225,4322,4163,4347,4098,4384,4030,4432,3958,4491,3883,4562,3248,5197,5157,7105,5346,6916,4499,6069,4718,5850,4753,5815,4783,5788,4810,5767,4833,5752,4863,5739,4896,5728,4932,5720,4971,5716,5014,5716,5066,5721,5125,5732,5194,5748,5256,5766,5328,5786,5407,5811,5496,5841,6180,6082,6418,5844xm7780,4482l7415,4287,6555,3832,6555,4139,6070,4625,6030,4553,5989,4482,5748,4051,5708,3979,5668,3908,5629,3842,5590,3778,5550,3714,5509,3651,5467,3588,5424,3527,5380,3466,5436,3502,5498,3540,5564,3580,5635,3622,5792,3712,6555,4139,6555,3832,5862,3466,5286,3159,5082,3363,5277,3714,5316,3784,5701,4482,6207,5401,6441,5821,6642,5620,6565,5487,6298,5019,6221,4885,6481,4625,6820,4287,7173,4482,7565,4697,7780,4482xm8131,4131l7264,3264,7936,2592,7711,2367,7039,3039,6448,2448,7224,1672,6999,1447,6033,2412,7941,4321,8131,4131xm9707,2555l8024,872,8497,399,8272,173,7138,1308,7363,1533,7834,1062,9517,2745,9707,2555xe" filled="true" fillcolor="#c0c0c0" stroked="false">
            <v:path arrowok="t"/>
            <v:fill opacity="32896f" type="solid"/>
            <w10:wrap type="none"/>
          </v:shape>
        </w:pict>
      </w:r>
      <w:r>
        <w:rPr>
          <w:sz w:val="22"/>
        </w:rPr>
        <w:t>Voluntarily</w:t>
      </w:r>
      <w:r>
        <w:rPr>
          <w:spacing w:val="-5"/>
          <w:sz w:val="22"/>
        </w:rPr>
        <w:t> </w:t>
      </w:r>
      <w:r>
        <w:rPr>
          <w:sz w:val="22"/>
        </w:rPr>
        <w:t>fill</w:t>
      </w:r>
      <w:r>
        <w:rPr>
          <w:spacing w:val="-6"/>
          <w:sz w:val="22"/>
        </w:rPr>
        <w:t> </w:t>
      </w:r>
      <w:r>
        <w:rPr>
          <w:sz w:val="22"/>
        </w:rPr>
        <w:t>out</w:t>
      </w:r>
      <w:r>
        <w:rPr>
          <w:spacing w:val="-4"/>
          <w:sz w:val="22"/>
        </w:rPr>
        <w:t> </w:t>
      </w:r>
      <w:r>
        <w:rPr>
          <w:sz w:val="22"/>
        </w:rPr>
        <w:t>an</w:t>
      </w:r>
      <w:r>
        <w:rPr>
          <w:spacing w:val="-5"/>
          <w:sz w:val="22"/>
        </w:rPr>
        <w:t> </w:t>
      </w:r>
      <w:r>
        <w:rPr>
          <w:sz w:val="22"/>
        </w:rPr>
        <w:t>application</w:t>
      </w:r>
      <w:r>
        <w:rPr>
          <w:spacing w:val="-5"/>
          <w:sz w:val="22"/>
        </w:rPr>
        <w:t> </w:t>
      </w:r>
      <w:r>
        <w:rPr>
          <w:sz w:val="22"/>
        </w:rPr>
        <w:t>with</w:t>
      </w:r>
      <w:r>
        <w:rPr>
          <w:spacing w:val="-5"/>
          <w:sz w:val="22"/>
        </w:rPr>
        <w:t> </w:t>
      </w:r>
      <w:r>
        <w:rPr>
          <w:sz w:val="22"/>
        </w:rPr>
        <w:t>Housing</w:t>
      </w:r>
      <w:r>
        <w:rPr>
          <w:spacing w:val="-5"/>
          <w:sz w:val="22"/>
        </w:rPr>
        <w:t> </w:t>
      </w:r>
      <w:r>
        <w:rPr>
          <w:sz w:val="22"/>
        </w:rPr>
        <w:t>staff</w:t>
      </w:r>
      <w:r>
        <w:rPr>
          <w:spacing w:val="-6"/>
          <w:sz w:val="22"/>
        </w:rPr>
        <w:t> </w:t>
      </w:r>
      <w:r>
        <w:rPr>
          <w:sz w:val="22"/>
        </w:rPr>
        <w:t>for</w:t>
      </w:r>
      <w:r>
        <w:rPr>
          <w:spacing w:val="-6"/>
          <w:sz w:val="22"/>
        </w:rPr>
        <w:t> </w:t>
      </w:r>
      <w:r>
        <w:rPr>
          <w:sz w:val="22"/>
        </w:rPr>
        <w:t>the</w:t>
      </w:r>
      <w:r>
        <w:rPr>
          <w:spacing w:val="-5"/>
          <w:sz w:val="22"/>
        </w:rPr>
        <w:t> </w:t>
      </w:r>
      <w:r>
        <w:rPr>
          <w:sz w:val="22"/>
        </w:rPr>
        <w:t>purpose</w:t>
      </w:r>
      <w:r>
        <w:rPr>
          <w:spacing w:val="-5"/>
          <w:sz w:val="22"/>
        </w:rPr>
        <w:t> </w:t>
      </w:r>
      <w:r>
        <w:rPr>
          <w:sz w:val="22"/>
        </w:rPr>
        <w:t>of</w:t>
      </w:r>
      <w:r>
        <w:rPr>
          <w:spacing w:val="-6"/>
          <w:sz w:val="22"/>
        </w:rPr>
        <w:t> </w:t>
      </w:r>
      <w:r>
        <w:rPr>
          <w:sz w:val="22"/>
        </w:rPr>
        <w:t>rehabilitating</w:t>
      </w:r>
      <w:r>
        <w:rPr>
          <w:spacing w:val="-5"/>
          <w:sz w:val="22"/>
        </w:rPr>
        <w:t> </w:t>
      </w:r>
      <w:r>
        <w:rPr>
          <w:sz w:val="22"/>
        </w:rPr>
        <w:t>and/or repairing the person's property or premises until it complies with the notice of violation;</w:t>
      </w:r>
    </w:p>
    <w:p>
      <w:pPr>
        <w:pStyle w:val="ListParagraph"/>
        <w:numPr>
          <w:ilvl w:val="0"/>
          <w:numId w:val="15"/>
        </w:numPr>
        <w:tabs>
          <w:tab w:pos="840" w:val="left" w:leader="none"/>
        </w:tabs>
        <w:spacing w:line="240" w:lineRule="auto" w:before="0" w:after="0"/>
        <w:ind w:left="839" w:right="155" w:hanging="360"/>
        <w:jc w:val="both"/>
        <w:rPr>
          <w:sz w:val="22"/>
        </w:rPr>
      </w:pPr>
      <w:r>
        <w:rPr>
          <w:sz w:val="22"/>
        </w:rPr>
        <w:t>Have not have received funds from the Dallas Tomorrow Fund within the preceding 60 </w:t>
      </w:r>
      <w:r>
        <w:rPr>
          <w:spacing w:val="-2"/>
          <w:sz w:val="22"/>
        </w:rPr>
        <w:t>months;</w:t>
      </w:r>
    </w:p>
    <w:p>
      <w:pPr>
        <w:pStyle w:val="ListParagraph"/>
        <w:numPr>
          <w:ilvl w:val="0"/>
          <w:numId w:val="15"/>
        </w:numPr>
        <w:tabs>
          <w:tab w:pos="840" w:val="left" w:leader="none"/>
        </w:tabs>
        <w:spacing w:line="251" w:lineRule="exact" w:before="0" w:after="0"/>
        <w:ind w:left="839" w:right="0" w:hanging="361"/>
        <w:jc w:val="both"/>
        <w:rPr>
          <w:sz w:val="22"/>
        </w:rPr>
      </w:pPr>
      <w:r>
        <w:rPr>
          <w:sz w:val="22"/>
        </w:rPr>
        <w:t>address</w:t>
      </w:r>
      <w:r>
        <w:rPr>
          <w:spacing w:val="-6"/>
          <w:sz w:val="22"/>
        </w:rPr>
        <w:t> </w:t>
      </w:r>
      <w:r>
        <w:rPr>
          <w:sz w:val="22"/>
        </w:rPr>
        <w:t>only</w:t>
      </w:r>
      <w:r>
        <w:rPr>
          <w:spacing w:val="-7"/>
          <w:sz w:val="22"/>
        </w:rPr>
        <w:t> </w:t>
      </w:r>
      <w:r>
        <w:rPr>
          <w:sz w:val="22"/>
        </w:rPr>
        <w:t>the</w:t>
      </w:r>
      <w:r>
        <w:rPr>
          <w:spacing w:val="-6"/>
          <w:sz w:val="22"/>
        </w:rPr>
        <w:t> </w:t>
      </w:r>
      <w:r>
        <w:rPr>
          <w:sz w:val="22"/>
        </w:rPr>
        <w:t>external</w:t>
      </w:r>
      <w:r>
        <w:rPr>
          <w:spacing w:val="-5"/>
          <w:sz w:val="22"/>
        </w:rPr>
        <w:t> </w:t>
      </w:r>
      <w:r>
        <w:rPr>
          <w:sz w:val="22"/>
        </w:rPr>
        <w:t>DCC</w:t>
      </w:r>
      <w:r>
        <w:rPr>
          <w:spacing w:val="-4"/>
          <w:sz w:val="22"/>
        </w:rPr>
        <w:t> </w:t>
      </w:r>
      <w:r>
        <w:rPr>
          <w:sz w:val="22"/>
        </w:rPr>
        <w:t>Minimum</w:t>
      </w:r>
      <w:r>
        <w:rPr>
          <w:spacing w:val="-6"/>
          <w:sz w:val="22"/>
        </w:rPr>
        <w:t> </w:t>
      </w:r>
      <w:r>
        <w:rPr>
          <w:sz w:val="22"/>
        </w:rPr>
        <w:t>Property</w:t>
      </w:r>
      <w:r>
        <w:rPr>
          <w:spacing w:val="-6"/>
          <w:sz w:val="22"/>
        </w:rPr>
        <w:t> </w:t>
      </w:r>
      <w:r>
        <w:rPr>
          <w:sz w:val="22"/>
        </w:rPr>
        <w:t>Standard</w:t>
      </w:r>
      <w:r>
        <w:rPr>
          <w:spacing w:val="-6"/>
          <w:sz w:val="22"/>
        </w:rPr>
        <w:t> </w:t>
      </w:r>
      <w:r>
        <w:rPr>
          <w:spacing w:val="-2"/>
          <w:sz w:val="22"/>
        </w:rPr>
        <w:t>violations.</w:t>
      </w:r>
    </w:p>
    <w:p>
      <w:pPr>
        <w:pStyle w:val="BodyText"/>
      </w:pPr>
    </w:p>
    <w:p>
      <w:pPr>
        <w:spacing w:before="1"/>
        <w:ind w:left="254" w:right="0" w:firstLine="0"/>
        <w:jc w:val="left"/>
        <w:rPr>
          <w:b/>
          <w:sz w:val="22"/>
        </w:rPr>
      </w:pPr>
      <w:r>
        <w:rPr>
          <w:b/>
          <w:sz w:val="22"/>
          <w:u w:val="single"/>
        </w:rPr>
        <w:t>PROGRAM</w:t>
      </w:r>
      <w:r>
        <w:rPr>
          <w:b/>
          <w:spacing w:val="-5"/>
          <w:sz w:val="22"/>
          <w:u w:val="single"/>
        </w:rPr>
        <w:t> </w:t>
      </w:r>
      <w:r>
        <w:rPr>
          <w:b/>
          <w:spacing w:val="-2"/>
          <w:sz w:val="22"/>
          <w:u w:val="single"/>
        </w:rPr>
        <w:t>INELIGIBILITY</w:t>
      </w:r>
    </w:p>
    <w:p>
      <w:pPr>
        <w:pStyle w:val="BodyText"/>
        <w:spacing w:before="10"/>
        <w:rPr>
          <w:b/>
          <w:sz w:val="13"/>
        </w:rPr>
      </w:pPr>
    </w:p>
    <w:p>
      <w:pPr>
        <w:pStyle w:val="BodyText"/>
        <w:spacing w:before="94"/>
        <w:ind w:left="120"/>
      </w:pPr>
      <w:r>
        <w:rPr/>
        <w:t>A</w:t>
      </w:r>
      <w:r>
        <w:rPr>
          <w:spacing w:val="-5"/>
        </w:rPr>
        <w:t> </w:t>
      </w:r>
      <w:r>
        <w:rPr/>
        <w:t>person/property</w:t>
      </w:r>
      <w:r>
        <w:rPr>
          <w:spacing w:val="-7"/>
        </w:rPr>
        <w:t> </w:t>
      </w:r>
      <w:r>
        <w:rPr/>
        <w:t>is</w:t>
      </w:r>
      <w:r>
        <w:rPr>
          <w:spacing w:val="-4"/>
        </w:rPr>
        <w:t> </w:t>
      </w:r>
      <w:r>
        <w:rPr/>
        <w:t>ineligible</w:t>
      </w:r>
      <w:r>
        <w:rPr>
          <w:spacing w:val="-5"/>
        </w:rPr>
        <w:t> </w:t>
      </w:r>
      <w:r>
        <w:rPr/>
        <w:t>for</w:t>
      </w:r>
      <w:r>
        <w:rPr>
          <w:spacing w:val="-3"/>
        </w:rPr>
        <w:t> </w:t>
      </w:r>
      <w:r>
        <w:rPr/>
        <w:t>DTF</w:t>
      </w:r>
      <w:r>
        <w:rPr>
          <w:spacing w:val="-6"/>
        </w:rPr>
        <w:t> </w:t>
      </w:r>
      <w:r>
        <w:rPr>
          <w:spacing w:val="-5"/>
        </w:rPr>
        <w:t>if:</w:t>
      </w:r>
    </w:p>
    <w:p>
      <w:pPr>
        <w:pStyle w:val="ListParagraph"/>
        <w:numPr>
          <w:ilvl w:val="0"/>
          <w:numId w:val="16"/>
        </w:numPr>
        <w:tabs>
          <w:tab w:pos="841" w:val="left" w:leader="none"/>
        </w:tabs>
        <w:spacing w:line="252" w:lineRule="exact" w:before="1" w:after="0"/>
        <w:ind w:left="840" w:right="0" w:hanging="361"/>
        <w:jc w:val="left"/>
        <w:rPr>
          <w:sz w:val="22"/>
        </w:rPr>
      </w:pPr>
      <w:r>
        <w:rPr>
          <w:sz w:val="22"/>
        </w:rPr>
        <w:t>They</w:t>
      </w:r>
      <w:r>
        <w:rPr>
          <w:spacing w:val="-3"/>
          <w:sz w:val="22"/>
        </w:rPr>
        <w:t> </w:t>
      </w:r>
      <w:r>
        <w:rPr>
          <w:sz w:val="22"/>
        </w:rPr>
        <w:t>earn</w:t>
      </w:r>
      <w:r>
        <w:rPr>
          <w:spacing w:val="-5"/>
          <w:sz w:val="22"/>
        </w:rPr>
        <w:t> </w:t>
      </w:r>
      <w:r>
        <w:rPr>
          <w:sz w:val="22"/>
        </w:rPr>
        <w:t>more</w:t>
      </w:r>
      <w:r>
        <w:rPr>
          <w:spacing w:val="-5"/>
          <w:sz w:val="22"/>
        </w:rPr>
        <w:t> </w:t>
      </w:r>
      <w:r>
        <w:rPr>
          <w:sz w:val="22"/>
        </w:rPr>
        <w:t>than</w:t>
      </w:r>
      <w:r>
        <w:rPr>
          <w:spacing w:val="-5"/>
          <w:sz w:val="22"/>
        </w:rPr>
        <w:t> </w:t>
      </w:r>
      <w:r>
        <w:rPr>
          <w:sz w:val="22"/>
        </w:rPr>
        <w:t>80%</w:t>
      </w:r>
      <w:r>
        <w:rPr>
          <w:spacing w:val="-2"/>
          <w:sz w:val="22"/>
        </w:rPr>
        <w:t> </w:t>
      </w:r>
      <w:r>
        <w:rPr>
          <w:sz w:val="22"/>
        </w:rPr>
        <w:t>AMI;</w:t>
      </w:r>
      <w:r>
        <w:rPr>
          <w:spacing w:val="-1"/>
          <w:sz w:val="22"/>
        </w:rPr>
        <w:t> </w:t>
      </w:r>
      <w:r>
        <w:rPr>
          <w:spacing w:val="-5"/>
          <w:sz w:val="22"/>
        </w:rPr>
        <w:t>or</w:t>
      </w:r>
    </w:p>
    <w:p>
      <w:pPr>
        <w:pStyle w:val="ListParagraph"/>
        <w:numPr>
          <w:ilvl w:val="0"/>
          <w:numId w:val="16"/>
        </w:numPr>
        <w:tabs>
          <w:tab w:pos="841" w:val="left" w:leader="none"/>
        </w:tabs>
        <w:spacing w:line="240" w:lineRule="auto" w:before="0" w:after="0"/>
        <w:ind w:left="840" w:right="158" w:hanging="360"/>
        <w:jc w:val="left"/>
        <w:rPr>
          <w:sz w:val="22"/>
        </w:rPr>
      </w:pPr>
      <w:r>
        <w:rPr>
          <w:sz w:val="22"/>
        </w:rPr>
        <w:t>They</w:t>
      </w:r>
      <w:r>
        <w:rPr>
          <w:spacing w:val="40"/>
          <w:sz w:val="22"/>
        </w:rPr>
        <w:t> </w:t>
      </w:r>
      <w:r>
        <w:rPr>
          <w:sz w:val="22"/>
        </w:rPr>
        <w:t>qualified</w:t>
      </w:r>
      <w:r>
        <w:rPr>
          <w:spacing w:val="37"/>
          <w:sz w:val="22"/>
        </w:rPr>
        <w:t> </w:t>
      </w:r>
      <w:r>
        <w:rPr>
          <w:sz w:val="22"/>
        </w:rPr>
        <w:t>for</w:t>
      </w:r>
      <w:r>
        <w:rPr>
          <w:spacing w:val="38"/>
          <w:sz w:val="22"/>
        </w:rPr>
        <w:t> </w:t>
      </w:r>
      <w:r>
        <w:rPr>
          <w:sz w:val="22"/>
        </w:rPr>
        <w:t>other</w:t>
      </w:r>
      <w:r>
        <w:rPr>
          <w:spacing w:val="38"/>
          <w:sz w:val="22"/>
        </w:rPr>
        <w:t> </w:t>
      </w:r>
      <w:r>
        <w:rPr>
          <w:sz w:val="22"/>
        </w:rPr>
        <w:t>Department</w:t>
      </w:r>
      <w:r>
        <w:rPr>
          <w:spacing w:val="38"/>
          <w:sz w:val="22"/>
        </w:rPr>
        <w:t> </w:t>
      </w:r>
      <w:r>
        <w:rPr>
          <w:sz w:val="22"/>
        </w:rPr>
        <w:t>of</w:t>
      </w:r>
      <w:r>
        <w:rPr>
          <w:spacing w:val="38"/>
          <w:sz w:val="22"/>
        </w:rPr>
        <w:t> </w:t>
      </w:r>
      <w:r>
        <w:rPr>
          <w:sz w:val="22"/>
        </w:rPr>
        <w:t>Housing</w:t>
      </w:r>
      <w:r>
        <w:rPr>
          <w:spacing w:val="37"/>
          <w:sz w:val="22"/>
        </w:rPr>
        <w:t> </w:t>
      </w:r>
      <w:r>
        <w:rPr>
          <w:sz w:val="22"/>
        </w:rPr>
        <w:t>&amp;</w:t>
      </w:r>
      <w:r>
        <w:rPr>
          <w:spacing w:val="37"/>
          <w:sz w:val="22"/>
        </w:rPr>
        <w:t> </w:t>
      </w:r>
      <w:r>
        <w:rPr>
          <w:sz w:val="22"/>
        </w:rPr>
        <w:t>Neighborhood</w:t>
      </w:r>
      <w:r>
        <w:rPr>
          <w:spacing w:val="37"/>
          <w:sz w:val="22"/>
        </w:rPr>
        <w:t> </w:t>
      </w:r>
      <w:r>
        <w:rPr>
          <w:sz w:val="22"/>
        </w:rPr>
        <w:t>Revitalization</w:t>
      </w:r>
      <w:r>
        <w:rPr>
          <w:spacing w:val="39"/>
          <w:sz w:val="22"/>
        </w:rPr>
        <w:t> </w:t>
      </w:r>
      <w:r>
        <w:rPr>
          <w:sz w:val="22"/>
        </w:rPr>
        <w:t>rehab programs; or</w:t>
      </w:r>
    </w:p>
    <w:p>
      <w:pPr>
        <w:pStyle w:val="ListParagraph"/>
        <w:numPr>
          <w:ilvl w:val="0"/>
          <w:numId w:val="16"/>
        </w:numPr>
        <w:tabs>
          <w:tab w:pos="841" w:val="left" w:leader="none"/>
        </w:tabs>
        <w:spacing w:line="240" w:lineRule="auto" w:before="0" w:after="0"/>
        <w:ind w:left="840" w:right="157" w:hanging="360"/>
        <w:jc w:val="left"/>
        <w:rPr>
          <w:sz w:val="22"/>
        </w:rPr>
      </w:pPr>
      <w:r>
        <w:rPr>
          <w:sz w:val="22"/>
        </w:rPr>
        <w:t>The</w:t>
      </w:r>
      <w:r>
        <w:rPr>
          <w:spacing w:val="-10"/>
          <w:sz w:val="22"/>
        </w:rPr>
        <w:t> </w:t>
      </w:r>
      <w:r>
        <w:rPr>
          <w:sz w:val="22"/>
        </w:rPr>
        <w:t>cost</w:t>
      </w:r>
      <w:r>
        <w:rPr>
          <w:spacing w:val="-11"/>
          <w:sz w:val="22"/>
        </w:rPr>
        <w:t> </w:t>
      </w:r>
      <w:r>
        <w:rPr>
          <w:sz w:val="22"/>
        </w:rPr>
        <w:t>of</w:t>
      </w:r>
      <w:r>
        <w:rPr>
          <w:spacing w:val="-13"/>
          <w:sz w:val="22"/>
        </w:rPr>
        <w:t> </w:t>
      </w:r>
      <w:r>
        <w:rPr>
          <w:sz w:val="22"/>
        </w:rPr>
        <w:t>repairs</w:t>
      </w:r>
      <w:r>
        <w:rPr>
          <w:spacing w:val="-12"/>
          <w:sz w:val="22"/>
        </w:rPr>
        <w:t> </w:t>
      </w:r>
      <w:r>
        <w:rPr>
          <w:sz w:val="22"/>
        </w:rPr>
        <w:t>needed</w:t>
      </w:r>
      <w:r>
        <w:rPr>
          <w:spacing w:val="-10"/>
          <w:sz w:val="22"/>
        </w:rPr>
        <w:t> </w:t>
      </w:r>
      <w:r>
        <w:rPr>
          <w:sz w:val="22"/>
        </w:rPr>
        <w:t>exceeds</w:t>
      </w:r>
      <w:r>
        <w:rPr>
          <w:spacing w:val="-12"/>
          <w:sz w:val="22"/>
        </w:rPr>
        <w:t> </w:t>
      </w:r>
      <w:r>
        <w:rPr>
          <w:sz w:val="22"/>
        </w:rPr>
        <w:t>$20,000</w:t>
      </w:r>
      <w:r>
        <w:rPr>
          <w:spacing w:val="-12"/>
          <w:sz w:val="22"/>
        </w:rPr>
        <w:t> </w:t>
      </w:r>
      <w:r>
        <w:rPr>
          <w:sz w:val="22"/>
        </w:rPr>
        <w:t>and</w:t>
      </w:r>
      <w:r>
        <w:rPr>
          <w:spacing w:val="-15"/>
          <w:sz w:val="22"/>
        </w:rPr>
        <w:t> </w:t>
      </w:r>
      <w:r>
        <w:rPr>
          <w:sz w:val="22"/>
        </w:rPr>
        <w:t>the</w:t>
      </w:r>
      <w:r>
        <w:rPr>
          <w:spacing w:val="-12"/>
          <w:sz w:val="22"/>
        </w:rPr>
        <w:t> </w:t>
      </w:r>
      <w:r>
        <w:rPr>
          <w:sz w:val="22"/>
        </w:rPr>
        <w:t>applicant</w:t>
      </w:r>
      <w:r>
        <w:rPr>
          <w:spacing w:val="-11"/>
          <w:sz w:val="22"/>
        </w:rPr>
        <w:t> </w:t>
      </w:r>
      <w:r>
        <w:rPr>
          <w:sz w:val="22"/>
        </w:rPr>
        <w:t>declines</w:t>
      </w:r>
      <w:r>
        <w:rPr>
          <w:spacing w:val="-12"/>
          <w:sz w:val="22"/>
        </w:rPr>
        <w:t> </w:t>
      </w:r>
      <w:r>
        <w:rPr>
          <w:sz w:val="22"/>
        </w:rPr>
        <w:t>to</w:t>
      </w:r>
      <w:r>
        <w:rPr>
          <w:spacing w:val="-15"/>
          <w:sz w:val="22"/>
        </w:rPr>
        <w:t> </w:t>
      </w:r>
      <w:r>
        <w:rPr>
          <w:sz w:val="22"/>
        </w:rPr>
        <w:t>do</w:t>
      </w:r>
      <w:r>
        <w:rPr>
          <w:spacing w:val="-10"/>
          <w:sz w:val="22"/>
        </w:rPr>
        <w:t> </w:t>
      </w:r>
      <w:r>
        <w:rPr>
          <w:sz w:val="22"/>
        </w:rPr>
        <w:t>partial</w:t>
      </w:r>
      <w:r>
        <w:rPr>
          <w:spacing w:val="-10"/>
          <w:sz w:val="22"/>
        </w:rPr>
        <w:t> </w:t>
      </w:r>
      <w:r>
        <w:rPr>
          <w:sz w:val="22"/>
        </w:rPr>
        <w:t>work; </w:t>
      </w:r>
      <w:r>
        <w:rPr>
          <w:spacing w:val="-6"/>
          <w:sz w:val="22"/>
        </w:rPr>
        <w:t>or</w:t>
      </w:r>
    </w:p>
    <w:p>
      <w:pPr>
        <w:pStyle w:val="ListParagraph"/>
        <w:numPr>
          <w:ilvl w:val="0"/>
          <w:numId w:val="16"/>
        </w:numPr>
        <w:tabs>
          <w:tab w:pos="840" w:val="left" w:leader="none"/>
        </w:tabs>
        <w:spacing w:line="252" w:lineRule="exact" w:before="0" w:after="0"/>
        <w:ind w:left="839" w:right="0" w:hanging="361"/>
        <w:jc w:val="left"/>
        <w:rPr>
          <w:sz w:val="22"/>
        </w:rPr>
      </w:pPr>
      <w:r>
        <w:rPr>
          <w:sz w:val="22"/>
        </w:rPr>
        <w:t>It</w:t>
      </w:r>
      <w:r>
        <w:rPr>
          <w:spacing w:val="-4"/>
          <w:sz w:val="22"/>
        </w:rPr>
        <w:t> </w:t>
      </w:r>
      <w:r>
        <w:rPr>
          <w:sz w:val="22"/>
        </w:rPr>
        <w:t>is</w:t>
      </w:r>
      <w:r>
        <w:rPr>
          <w:spacing w:val="-2"/>
          <w:sz w:val="22"/>
        </w:rPr>
        <w:t> </w:t>
      </w:r>
      <w:r>
        <w:rPr>
          <w:sz w:val="22"/>
        </w:rPr>
        <w:t>vacant</w:t>
      </w:r>
      <w:r>
        <w:rPr>
          <w:spacing w:val="-2"/>
          <w:sz w:val="22"/>
        </w:rPr>
        <w:t> </w:t>
      </w:r>
      <w:r>
        <w:rPr>
          <w:sz w:val="22"/>
        </w:rPr>
        <w:t>land;</w:t>
      </w:r>
      <w:r>
        <w:rPr>
          <w:spacing w:val="-1"/>
          <w:sz w:val="22"/>
        </w:rPr>
        <w:t> </w:t>
      </w:r>
      <w:r>
        <w:rPr>
          <w:spacing w:val="-5"/>
          <w:sz w:val="22"/>
        </w:rPr>
        <w:t>or</w:t>
      </w:r>
    </w:p>
    <w:p>
      <w:pPr>
        <w:pStyle w:val="ListParagraph"/>
        <w:numPr>
          <w:ilvl w:val="0"/>
          <w:numId w:val="16"/>
        </w:numPr>
        <w:tabs>
          <w:tab w:pos="840" w:val="left" w:leader="none"/>
        </w:tabs>
        <w:spacing w:line="252" w:lineRule="exact" w:before="0" w:after="0"/>
        <w:ind w:left="839" w:right="0" w:hanging="361"/>
        <w:jc w:val="left"/>
        <w:rPr>
          <w:sz w:val="22"/>
        </w:rPr>
      </w:pPr>
      <w:r>
        <w:rPr>
          <w:sz w:val="22"/>
        </w:rPr>
        <w:t>It</w:t>
      </w:r>
      <w:r>
        <w:rPr>
          <w:spacing w:val="-5"/>
          <w:sz w:val="22"/>
        </w:rPr>
        <w:t> </w:t>
      </w:r>
      <w:r>
        <w:rPr>
          <w:sz w:val="22"/>
        </w:rPr>
        <w:t>is</w:t>
      </w:r>
      <w:r>
        <w:rPr>
          <w:spacing w:val="-3"/>
          <w:sz w:val="22"/>
        </w:rPr>
        <w:t> </w:t>
      </w:r>
      <w:r>
        <w:rPr>
          <w:sz w:val="22"/>
        </w:rPr>
        <w:t>rental</w:t>
      </w:r>
      <w:r>
        <w:rPr>
          <w:spacing w:val="-3"/>
          <w:sz w:val="22"/>
        </w:rPr>
        <w:t> </w:t>
      </w:r>
      <w:r>
        <w:rPr>
          <w:sz w:val="22"/>
        </w:rPr>
        <w:t>property;</w:t>
      </w:r>
      <w:r>
        <w:rPr>
          <w:spacing w:val="-2"/>
          <w:sz w:val="22"/>
        </w:rPr>
        <w:t> </w:t>
      </w:r>
      <w:r>
        <w:rPr>
          <w:spacing w:val="-5"/>
          <w:sz w:val="22"/>
        </w:rPr>
        <w:t>or</w:t>
      </w:r>
    </w:p>
    <w:p>
      <w:pPr>
        <w:pStyle w:val="ListParagraph"/>
        <w:numPr>
          <w:ilvl w:val="0"/>
          <w:numId w:val="16"/>
        </w:numPr>
        <w:tabs>
          <w:tab w:pos="840" w:val="left" w:leader="none"/>
        </w:tabs>
        <w:spacing w:line="252" w:lineRule="exact" w:before="0" w:after="0"/>
        <w:ind w:left="839" w:right="0" w:hanging="361"/>
        <w:jc w:val="left"/>
        <w:rPr>
          <w:sz w:val="22"/>
        </w:rPr>
      </w:pPr>
      <w:r>
        <w:rPr>
          <w:sz w:val="22"/>
        </w:rPr>
        <w:t>Property</w:t>
      </w:r>
      <w:r>
        <w:rPr>
          <w:spacing w:val="-5"/>
          <w:sz w:val="22"/>
        </w:rPr>
        <w:t> </w:t>
      </w:r>
      <w:r>
        <w:rPr>
          <w:sz w:val="22"/>
        </w:rPr>
        <w:t>is</w:t>
      </w:r>
      <w:r>
        <w:rPr>
          <w:spacing w:val="-3"/>
          <w:sz w:val="22"/>
        </w:rPr>
        <w:t> </w:t>
      </w:r>
      <w:r>
        <w:rPr>
          <w:sz w:val="22"/>
        </w:rPr>
        <w:t>listed</w:t>
      </w:r>
      <w:r>
        <w:rPr>
          <w:spacing w:val="-5"/>
          <w:sz w:val="22"/>
        </w:rPr>
        <w:t> </w:t>
      </w:r>
      <w:r>
        <w:rPr>
          <w:sz w:val="22"/>
        </w:rPr>
        <w:t>for</w:t>
      </w:r>
      <w:r>
        <w:rPr>
          <w:spacing w:val="-4"/>
          <w:sz w:val="22"/>
        </w:rPr>
        <w:t> sale.</w:t>
      </w:r>
    </w:p>
    <w:p>
      <w:pPr>
        <w:pStyle w:val="BodyText"/>
        <w:spacing w:before="1"/>
      </w:pPr>
    </w:p>
    <w:p>
      <w:pPr>
        <w:spacing w:before="0"/>
        <w:ind w:left="254" w:right="0" w:firstLine="0"/>
        <w:jc w:val="left"/>
        <w:rPr>
          <w:b/>
          <w:sz w:val="22"/>
        </w:rPr>
      </w:pPr>
      <w:r>
        <w:rPr>
          <w:b/>
          <w:sz w:val="22"/>
          <w:u w:val="single"/>
        </w:rPr>
        <w:t>ELIGIBLE</w:t>
      </w:r>
      <w:r>
        <w:rPr>
          <w:b/>
          <w:spacing w:val="-5"/>
          <w:sz w:val="22"/>
          <w:u w:val="single"/>
        </w:rPr>
        <w:t> </w:t>
      </w:r>
      <w:r>
        <w:rPr>
          <w:b/>
          <w:spacing w:val="-2"/>
          <w:sz w:val="22"/>
          <w:u w:val="single"/>
        </w:rPr>
        <w:t>REPAIRS</w:t>
      </w:r>
    </w:p>
    <w:p>
      <w:pPr>
        <w:pStyle w:val="BodyText"/>
        <w:spacing w:before="10"/>
        <w:rPr>
          <w:b/>
          <w:sz w:val="13"/>
        </w:rPr>
      </w:pPr>
    </w:p>
    <w:p>
      <w:pPr>
        <w:pStyle w:val="BodyText"/>
        <w:spacing w:before="94"/>
        <w:ind w:left="120"/>
      </w:pPr>
      <w:r>
        <w:rPr/>
        <w:t>Repairs to</w:t>
      </w:r>
      <w:r>
        <w:rPr>
          <w:spacing w:val="-2"/>
        </w:rPr>
        <w:t> </w:t>
      </w:r>
      <w:r>
        <w:rPr/>
        <w:t>be</w:t>
      </w:r>
      <w:r>
        <w:rPr>
          <w:spacing w:val="-2"/>
        </w:rPr>
        <w:t> </w:t>
      </w:r>
      <w:r>
        <w:rPr/>
        <w:t>provided</w:t>
      </w:r>
      <w:r>
        <w:rPr>
          <w:spacing w:val="-2"/>
        </w:rPr>
        <w:t> </w:t>
      </w:r>
      <w:r>
        <w:rPr/>
        <w:t>may</w:t>
      </w:r>
      <w:r>
        <w:rPr>
          <w:spacing w:val="-1"/>
        </w:rPr>
        <w:t> </w:t>
      </w:r>
      <w:r>
        <w:rPr/>
        <w:t>include but are</w:t>
      </w:r>
      <w:r>
        <w:rPr>
          <w:spacing w:val="-2"/>
        </w:rPr>
        <w:t> </w:t>
      </w:r>
      <w:r>
        <w:rPr/>
        <w:t>not limited</w:t>
      </w:r>
      <w:r>
        <w:rPr>
          <w:spacing w:val="-2"/>
        </w:rPr>
        <w:t> </w:t>
      </w:r>
      <w:r>
        <w:rPr/>
        <w:t>to</w:t>
      </w:r>
      <w:r>
        <w:rPr>
          <w:spacing w:val="-4"/>
        </w:rPr>
        <w:t> </w:t>
      </w:r>
      <w:r>
        <w:rPr/>
        <w:t>the</w:t>
      </w:r>
      <w:r>
        <w:rPr>
          <w:spacing w:val="-2"/>
        </w:rPr>
        <w:t> </w:t>
      </w:r>
      <w:r>
        <w:rPr/>
        <w:t>following items</w:t>
      </w:r>
      <w:r>
        <w:rPr>
          <w:spacing w:val="-1"/>
        </w:rPr>
        <w:t> </w:t>
      </w:r>
      <w:r>
        <w:rPr/>
        <w:t>that are</w:t>
      </w:r>
      <w:r>
        <w:rPr>
          <w:spacing w:val="-2"/>
        </w:rPr>
        <w:t> </w:t>
      </w:r>
      <w:r>
        <w:rPr/>
        <w:t>intended</w:t>
      </w:r>
      <w:r>
        <w:rPr>
          <w:spacing w:val="-2"/>
        </w:rPr>
        <w:t> </w:t>
      </w:r>
      <w:r>
        <w:rPr/>
        <w:t>to bring the property into compliance:</w:t>
      </w:r>
    </w:p>
    <w:p>
      <w:pPr>
        <w:pStyle w:val="ListParagraph"/>
        <w:numPr>
          <w:ilvl w:val="1"/>
          <w:numId w:val="16"/>
        </w:numPr>
        <w:tabs>
          <w:tab w:pos="839" w:val="left" w:leader="none"/>
          <w:tab w:pos="840" w:val="left" w:leader="none"/>
        </w:tabs>
        <w:spacing w:line="240" w:lineRule="auto" w:before="0" w:after="0"/>
        <w:ind w:left="840" w:right="157" w:hanging="360"/>
        <w:jc w:val="left"/>
        <w:rPr>
          <w:rFonts w:ascii="Symbol" w:hAnsi="Symbol"/>
          <w:sz w:val="20"/>
        </w:rPr>
      </w:pPr>
      <w:r>
        <w:rPr>
          <w:sz w:val="22"/>
        </w:rPr>
        <w:t>Correction</w:t>
      </w:r>
      <w:r>
        <w:rPr>
          <w:spacing w:val="-1"/>
          <w:sz w:val="22"/>
        </w:rPr>
        <w:t> </w:t>
      </w:r>
      <w:r>
        <w:rPr>
          <w:sz w:val="22"/>
        </w:rPr>
        <w:t>of exterior code violations</w:t>
      </w:r>
      <w:r>
        <w:rPr>
          <w:spacing w:val="-1"/>
          <w:sz w:val="22"/>
        </w:rPr>
        <w:t> </w:t>
      </w:r>
      <w:r>
        <w:rPr>
          <w:sz w:val="22"/>
        </w:rPr>
        <w:t>and</w:t>
      </w:r>
      <w:r>
        <w:rPr>
          <w:spacing w:val="-1"/>
          <w:sz w:val="22"/>
        </w:rPr>
        <w:t> </w:t>
      </w:r>
      <w:r>
        <w:rPr>
          <w:sz w:val="22"/>
        </w:rPr>
        <w:t>elimination of specific</w:t>
      </w:r>
      <w:r>
        <w:rPr>
          <w:spacing w:val="-1"/>
          <w:sz w:val="22"/>
        </w:rPr>
        <w:t> </w:t>
      </w:r>
      <w:r>
        <w:rPr>
          <w:sz w:val="22"/>
        </w:rPr>
        <w:t>conditions detrimental</w:t>
      </w:r>
      <w:r>
        <w:rPr>
          <w:spacing w:val="-2"/>
          <w:sz w:val="22"/>
        </w:rPr>
        <w:t> </w:t>
      </w:r>
      <w:r>
        <w:rPr>
          <w:sz w:val="22"/>
        </w:rPr>
        <w:t>to public health &amp; safety identified by the City that may include the following:</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Roofing</w:t>
      </w:r>
      <w:r>
        <w:rPr>
          <w:spacing w:val="-5"/>
          <w:sz w:val="22"/>
        </w:rPr>
        <w:t> </w:t>
      </w:r>
      <w:r>
        <w:rPr>
          <w:sz w:val="22"/>
        </w:rPr>
        <w:t>repair</w:t>
      </w:r>
      <w:r>
        <w:rPr>
          <w:spacing w:val="-6"/>
          <w:sz w:val="22"/>
        </w:rPr>
        <w:t> </w:t>
      </w:r>
      <w:r>
        <w:rPr>
          <w:sz w:val="22"/>
        </w:rPr>
        <w:t>/</w:t>
      </w:r>
      <w:r>
        <w:rPr>
          <w:spacing w:val="-4"/>
          <w:sz w:val="22"/>
        </w:rPr>
        <w:t> </w:t>
      </w:r>
      <w:r>
        <w:rPr>
          <w:sz w:val="22"/>
        </w:rPr>
        <w:t>replacement</w:t>
      </w:r>
      <w:r>
        <w:rPr>
          <w:spacing w:val="-6"/>
          <w:sz w:val="22"/>
        </w:rPr>
        <w:t> </w:t>
      </w:r>
      <w:r>
        <w:rPr>
          <w:sz w:val="22"/>
        </w:rPr>
        <w:t>/</w:t>
      </w:r>
      <w:r>
        <w:rPr>
          <w:spacing w:val="-4"/>
          <w:sz w:val="22"/>
        </w:rPr>
        <w:t> </w:t>
      </w:r>
      <w:r>
        <w:rPr>
          <w:spacing w:val="-2"/>
          <w:sz w:val="22"/>
        </w:rPr>
        <w:t>soffit;</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Exterior</w:t>
      </w:r>
      <w:r>
        <w:rPr>
          <w:spacing w:val="-5"/>
          <w:sz w:val="22"/>
        </w:rPr>
        <w:t> </w:t>
      </w:r>
      <w:r>
        <w:rPr>
          <w:sz w:val="22"/>
        </w:rPr>
        <w:t>entry</w:t>
      </w:r>
      <w:r>
        <w:rPr>
          <w:spacing w:val="-3"/>
          <w:sz w:val="22"/>
        </w:rPr>
        <w:t> </w:t>
      </w:r>
      <w:r>
        <w:rPr>
          <w:spacing w:val="-2"/>
          <w:sz w:val="22"/>
        </w:rPr>
        <w:t>doors;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Exterior</w:t>
      </w:r>
      <w:r>
        <w:rPr>
          <w:spacing w:val="-5"/>
          <w:sz w:val="22"/>
        </w:rPr>
        <w:t> </w:t>
      </w:r>
      <w:r>
        <w:rPr>
          <w:spacing w:val="-2"/>
          <w:sz w:val="22"/>
        </w:rPr>
        <w:t>windows;</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Exterior</w:t>
      </w:r>
      <w:r>
        <w:rPr>
          <w:spacing w:val="-10"/>
          <w:sz w:val="22"/>
        </w:rPr>
        <w:t> </w:t>
      </w:r>
      <w:r>
        <w:rPr>
          <w:sz w:val="22"/>
        </w:rPr>
        <w:t>material</w:t>
      </w:r>
      <w:r>
        <w:rPr>
          <w:spacing w:val="-9"/>
          <w:sz w:val="22"/>
        </w:rPr>
        <w:t> </w:t>
      </w:r>
      <w:r>
        <w:rPr>
          <w:sz w:val="22"/>
        </w:rPr>
        <w:t>repair</w:t>
      </w:r>
      <w:r>
        <w:rPr>
          <w:spacing w:val="-7"/>
          <w:sz w:val="22"/>
        </w:rPr>
        <w:t> </w:t>
      </w:r>
      <w:r>
        <w:rPr>
          <w:sz w:val="22"/>
        </w:rPr>
        <w:t>/</w:t>
      </w:r>
      <w:r>
        <w:rPr>
          <w:spacing w:val="-7"/>
          <w:sz w:val="22"/>
        </w:rPr>
        <w:t> </w:t>
      </w:r>
      <w:r>
        <w:rPr>
          <w:sz w:val="22"/>
        </w:rPr>
        <w:t>replacement</w:t>
      </w:r>
      <w:r>
        <w:rPr>
          <w:spacing w:val="-8"/>
          <w:sz w:val="22"/>
        </w:rPr>
        <w:t> </w:t>
      </w:r>
      <w:r>
        <w:rPr>
          <w:sz w:val="22"/>
        </w:rPr>
        <w:t>(siding,</w:t>
      </w:r>
      <w:r>
        <w:rPr>
          <w:spacing w:val="-7"/>
          <w:sz w:val="22"/>
        </w:rPr>
        <w:t> </w:t>
      </w:r>
      <w:r>
        <w:rPr>
          <w:sz w:val="22"/>
        </w:rPr>
        <w:t>repointing,</w:t>
      </w:r>
      <w:r>
        <w:rPr>
          <w:spacing w:val="-4"/>
          <w:sz w:val="22"/>
        </w:rPr>
        <w:t> </w:t>
      </w:r>
      <w:r>
        <w:rPr>
          <w:spacing w:val="-2"/>
          <w:sz w:val="22"/>
        </w:rPr>
        <w:t>painting);</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Gutters</w:t>
      </w:r>
      <w:r>
        <w:rPr>
          <w:spacing w:val="-4"/>
          <w:sz w:val="22"/>
        </w:rPr>
        <w:t> </w:t>
      </w:r>
      <w:r>
        <w:rPr>
          <w:sz w:val="22"/>
        </w:rPr>
        <w:t>and</w:t>
      </w:r>
      <w:r>
        <w:rPr>
          <w:spacing w:val="-4"/>
          <w:sz w:val="22"/>
        </w:rPr>
        <w:t> </w:t>
      </w:r>
      <w:r>
        <w:rPr>
          <w:spacing w:val="-2"/>
          <w:sz w:val="22"/>
        </w:rPr>
        <w:t>Downspouts;</w:t>
      </w:r>
    </w:p>
    <w:p>
      <w:pPr>
        <w:pStyle w:val="ListParagraph"/>
        <w:numPr>
          <w:ilvl w:val="1"/>
          <w:numId w:val="16"/>
        </w:numPr>
        <w:tabs>
          <w:tab w:pos="839" w:val="left" w:leader="none"/>
          <w:tab w:pos="840" w:val="left" w:leader="none"/>
        </w:tabs>
        <w:spacing w:line="252" w:lineRule="exact" w:before="2" w:after="0"/>
        <w:ind w:left="840" w:right="0" w:hanging="360"/>
        <w:jc w:val="left"/>
        <w:rPr>
          <w:rFonts w:ascii="Symbol" w:hAnsi="Symbol"/>
          <w:sz w:val="20"/>
        </w:rPr>
      </w:pPr>
      <w:r>
        <w:rPr>
          <w:sz w:val="22"/>
        </w:rPr>
        <w:t>Garage</w:t>
      </w:r>
      <w:r>
        <w:rPr>
          <w:spacing w:val="-4"/>
          <w:sz w:val="22"/>
        </w:rPr>
        <w:t> </w:t>
      </w:r>
      <w:r>
        <w:rPr>
          <w:spacing w:val="-2"/>
          <w:sz w:val="22"/>
        </w:rPr>
        <w:t>doors;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Accessibility</w:t>
      </w:r>
      <w:r>
        <w:rPr>
          <w:spacing w:val="-8"/>
          <w:sz w:val="22"/>
        </w:rPr>
        <w:t> </w:t>
      </w:r>
      <w:r>
        <w:rPr>
          <w:sz w:val="22"/>
        </w:rPr>
        <w:t>repairs</w:t>
      </w:r>
      <w:r>
        <w:rPr>
          <w:spacing w:val="-7"/>
          <w:sz w:val="22"/>
        </w:rPr>
        <w:t> </w:t>
      </w:r>
      <w:r>
        <w:rPr>
          <w:sz w:val="22"/>
        </w:rPr>
        <w:t>and</w:t>
      </w:r>
      <w:r>
        <w:rPr>
          <w:spacing w:val="-8"/>
          <w:sz w:val="22"/>
        </w:rPr>
        <w:t> </w:t>
      </w:r>
      <w:r>
        <w:rPr>
          <w:sz w:val="22"/>
        </w:rPr>
        <w:t>installation</w:t>
      </w:r>
      <w:r>
        <w:rPr>
          <w:spacing w:val="-6"/>
          <w:sz w:val="22"/>
        </w:rPr>
        <w:t> </w:t>
      </w:r>
      <w:r>
        <w:rPr>
          <w:sz w:val="22"/>
        </w:rPr>
        <w:t>such</w:t>
      </w:r>
      <w:r>
        <w:rPr>
          <w:spacing w:val="-6"/>
          <w:sz w:val="22"/>
        </w:rPr>
        <w:t> </w:t>
      </w:r>
      <w:r>
        <w:rPr>
          <w:sz w:val="22"/>
        </w:rPr>
        <w:t>as</w:t>
      </w:r>
      <w:r>
        <w:rPr>
          <w:spacing w:val="-8"/>
          <w:sz w:val="22"/>
        </w:rPr>
        <w:t> </w:t>
      </w:r>
      <w:r>
        <w:rPr>
          <w:sz w:val="22"/>
        </w:rPr>
        <w:t>ramps,</w:t>
      </w:r>
      <w:r>
        <w:rPr>
          <w:spacing w:val="-4"/>
          <w:sz w:val="22"/>
        </w:rPr>
        <w:t> </w:t>
      </w:r>
      <w:r>
        <w:rPr>
          <w:sz w:val="22"/>
        </w:rPr>
        <w:t>handrails</w:t>
      </w:r>
      <w:r>
        <w:rPr>
          <w:spacing w:val="-5"/>
          <w:sz w:val="22"/>
        </w:rPr>
        <w:t> </w:t>
      </w:r>
      <w:r>
        <w:rPr>
          <w:sz w:val="22"/>
        </w:rPr>
        <w:t>or</w:t>
      </w:r>
      <w:r>
        <w:rPr>
          <w:spacing w:val="-7"/>
          <w:sz w:val="22"/>
        </w:rPr>
        <w:t> </w:t>
      </w:r>
      <w:r>
        <w:rPr>
          <w:sz w:val="22"/>
        </w:rPr>
        <w:t>repairing</w:t>
      </w:r>
      <w:r>
        <w:rPr>
          <w:spacing w:val="-9"/>
          <w:sz w:val="22"/>
        </w:rPr>
        <w:t> </w:t>
      </w:r>
      <w:r>
        <w:rPr>
          <w:spacing w:val="-2"/>
          <w:sz w:val="22"/>
        </w:rPr>
        <w:t>walkways;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HVAC</w:t>
      </w:r>
      <w:r>
        <w:rPr>
          <w:spacing w:val="-4"/>
          <w:sz w:val="22"/>
        </w:rPr>
        <w:t> </w:t>
      </w:r>
      <w:r>
        <w:rPr>
          <w:sz w:val="22"/>
        </w:rPr>
        <w:t>repair</w:t>
      </w:r>
      <w:r>
        <w:rPr>
          <w:spacing w:val="-4"/>
          <w:sz w:val="22"/>
        </w:rPr>
        <w:t> </w:t>
      </w:r>
      <w:r>
        <w:rPr>
          <w:sz w:val="22"/>
        </w:rPr>
        <w:t>/</w:t>
      </w:r>
      <w:r>
        <w:rPr>
          <w:spacing w:val="-3"/>
          <w:sz w:val="22"/>
        </w:rPr>
        <w:t> </w:t>
      </w:r>
      <w:r>
        <w:rPr>
          <w:spacing w:val="-2"/>
          <w:sz w:val="22"/>
        </w:rPr>
        <w:t>replacement;</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Gas</w:t>
      </w:r>
      <w:r>
        <w:rPr>
          <w:spacing w:val="1"/>
          <w:sz w:val="22"/>
        </w:rPr>
        <w:t> </w:t>
      </w:r>
      <w:r>
        <w:rPr>
          <w:spacing w:val="-2"/>
          <w:sz w:val="22"/>
        </w:rPr>
        <w:t>lines;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Sewer</w:t>
      </w:r>
      <w:r>
        <w:rPr>
          <w:spacing w:val="-2"/>
          <w:sz w:val="22"/>
        </w:rPr>
        <w:t> Lines;</w:t>
      </w:r>
    </w:p>
    <w:p>
      <w:pPr>
        <w:pStyle w:val="ListParagraph"/>
        <w:numPr>
          <w:ilvl w:val="1"/>
          <w:numId w:val="16"/>
        </w:numPr>
        <w:tabs>
          <w:tab w:pos="839" w:val="left" w:leader="none"/>
          <w:tab w:pos="840" w:val="left" w:leader="none"/>
        </w:tabs>
        <w:spacing w:line="252" w:lineRule="exact" w:before="2" w:after="0"/>
        <w:ind w:left="840" w:right="0" w:hanging="360"/>
        <w:jc w:val="left"/>
        <w:rPr>
          <w:rFonts w:ascii="Symbol" w:hAnsi="Symbol"/>
          <w:sz w:val="20"/>
        </w:rPr>
      </w:pPr>
      <w:r>
        <w:rPr>
          <w:sz w:val="22"/>
        </w:rPr>
        <w:t>Water</w:t>
      </w:r>
      <w:r>
        <w:rPr>
          <w:spacing w:val="-2"/>
          <w:sz w:val="22"/>
        </w:rPr>
        <w:t> lines;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Water</w:t>
      </w:r>
      <w:r>
        <w:rPr>
          <w:spacing w:val="-2"/>
          <w:sz w:val="22"/>
        </w:rPr>
        <w:t> heater;</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Flooring</w:t>
      </w:r>
      <w:r>
        <w:rPr>
          <w:spacing w:val="-9"/>
          <w:sz w:val="22"/>
        </w:rPr>
        <w:t> </w:t>
      </w:r>
      <w:r>
        <w:rPr>
          <w:spacing w:val="-2"/>
          <w:sz w:val="22"/>
        </w:rPr>
        <w:t>repair;</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pacing w:val="-2"/>
          <w:sz w:val="22"/>
        </w:rPr>
        <w:t>Stairs;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Foundation</w:t>
      </w:r>
      <w:r>
        <w:rPr>
          <w:spacing w:val="-5"/>
          <w:sz w:val="22"/>
        </w:rPr>
        <w:t> </w:t>
      </w:r>
      <w:r>
        <w:rPr>
          <w:sz w:val="22"/>
        </w:rPr>
        <w:t>repair</w:t>
      </w:r>
      <w:r>
        <w:rPr>
          <w:spacing w:val="-5"/>
          <w:sz w:val="22"/>
        </w:rPr>
        <w:t> </w:t>
      </w:r>
      <w:r>
        <w:rPr>
          <w:sz w:val="22"/>
        </w:rPr>
        <w:t>/</w:t>
      </w:r>
      <w:r>
        <w:rPr>
          <w:spacing w:val="-4"/>
          <w:sz w:val="22"/>
        </w:rPr>
        <w:t> </w:t>
      </w:r>
      <w:r>
        <w:rPr>
          <w:spacing w:val="-2"/>
          <w:sz w:val="22"/>
        </w:rPr>
        <w:t>leveling;</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pacing w:val="-2"/>
          <w:sz w:val="22"/>
        </w:rPr>
        <w:t>Flatwork;</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pacing w:val="-2"/>
          <w:sz w:val="22"/>
        </w:rPr>
        <w:t>Electrical;</w:t>
      </w:r>
    </w:p>
    <w:p>
      <w:pPr>
        <w:spacing w:after="0" w:line="252" w:lineRule="exact"/>
        <w:jc w:val="left"/>
        <w:rPr>
          <w:rFonts w:ascii="Symbol" w:hAnsi="Symbol"/>
          <w:sz w:val="20"/>
        </w:rPr>
        <w:sectPr>
          <w:pgSz w:w="12240" w:h="15840"/>
          <w:pgMar w:header="0" w:footer="1738" w:top="1360" w:bottom="1920" w:left="1320" w:right="1280"/>
        </w:sectPr>
      </w:pPr>
    </w:p>
    <w:p>
      <w:pPr>
        <w:pStyle w:val="ListParagraph"/>
        <w:numPr>
          <w:ilvl w:val="1"/>
          <w:numId w:val="16"/>
        </w:numPr>
        <w:tabs>
          <w:tab w:pos="839" w:val="left" w:leader="none"/>
          <w:tab w:pos="840" w:val="left" w:leader="none"/>
        </w:tabs>
        <w:spacing w:line="252" w:lineRule="exact" w:before="80" w:after="0"/>
        <w:ind w:left="840" w:right="0" w:hanging="360"/>
        <w:jc w:val="left"/>
        <w:rPr>
          <w:rFonts w:ascii="Symbol" w:hAnsi="Symbol"/>
          <w:sz w:val="20"/>
        </w:rPr>
      </w:pPr>
      <w:r>
        <w:rPr>
          <w:sz w:val="22"/>
        </w:rPr>
        <w:t>Tree</w:t>
      </w:r>
      <w:r>
        <w:rPr>
          <w:spacing w:val="-8"/>
          <w:sz w:val="22"/>
        </w:rPr>
        <w:t> </w:t>
      </w:r>
      <w:r>
        <w:rPr>
          <w:sz w:val="22"/>
        </w:rPr>
        <w:t>trimming</w:t>
      </w:r>
      <w:r>
        <w:rPr>
          <w:spacing w:val="-6"/>
          <w:sz w:val="22"/>
        </w:rPr>
        <w:t> </w:t>
      </w:r>
      <w:r>
        <w:rPr>
          <w:sz w:val="22"/>
        </w:rPr>
        <w:t>/</w:t>
      </w:r>
      <w:r>
        <w:rPr>
          <w:spacing w:val="-5"/>
          <w:sz w:val="22"/>
        </w:rPr>
        <w:t> </w:t>
      </w:r>
      <w:r>
        <w:rPr>
          <w:sz w:val="22"/>
        </w:rPr>
        <w:t>removal</w:t>
      </w:r>
      <w:r>
        <w:rPr>
          <w:spacing w:val="-4"/>
          <w:sz w:val="22"/>
        </w:rPr>
        <w:t> </w:t>
      </w:r>
      <w:r>
        <w:rPr>
          <w:sz w:val="22"/>
        </w:rPr>
        <w:t>if</w:t>
      </w:r>
      <w:r>
        <w:rPr>
          <w:spacing w:val="-1"/>
          <w:sz w:val="22"/>
        </w:rPr>
        <w:t> </w:t>
      </w:r>
      <w:r>
        <w:rPr>
          <w:sz w:val="22"/>
        </w:rPr>
        <w:t>dangerous</w:t>
      </w:r>
      <w:r>
        <w:rPr>
          <w:spacing w:val="-6"/>
          <w:sz w:val="22"/>
        </w:rPr>
        <w:t> </w:t>
      </w:r>
      <w:r>
        <w:rPr>
          <w:sz w:val="22"/>
        </w:rPr>
        <w:t>to</w:t>
      </w:r>
      <w:r>
        <w:rPr>
          <w:spacing w:val="-4"/>
          <w:sz w:val="22"/>
        </w:rPr>
        <w:t> </w:t>
      </w:r>
      <w:r>
        <w:rPr>
          <w:sz w:val="22"/>
        </w:rPr>
        <w:t>public</w:t>
      </w:r>
      <w:r>
        <w:rPr>
          <w:spacing w:val="-3"/>
          <w:sz w:val="22"/>
        </w:rPr>
        <w:t> </w:t>
      </w:r>
      <w:r>
        <w:rPr>
          <w:sz w:val="22"/>
        </w:rPr>
        <w:t>health</w:t>
      </w:r>
      <w:r>
        <w:rPr>
          <w:spacing w:val="-4"/>
          <w:sz w:val="22"/>
        </w:rPr>
        <w:t> </w:t>
      </w:r>
      <w:r>
        <w:rPr>
          <w:sz w:val="22"/>
        </w:rPr>
        <w:t>or</w:t>
      </w:r>
      <w:r>
        <w:rPr>
          <w:spacing w:val="-4"/>
          <w:sz w:val="22"/>
        </w:rPr>
        <w:t> </w:t>
      </w:r>
      <w:r>
        <w:rPr>
          <w:spacing w:val="-2"/>
          <w:sz w:val="22"/>
        </w:rPr>
        <w:t>structure;</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pacing w:val="-2"/>
          <w:sz w:val="22"/>
        </w:rPr>
        <w:t>Fences;</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Light</w:t>
      </w:r>
      <w:r>
        <w:rPr>
          <w:spacing w:val="-4"/>
          <w:sz w:val="22"/>
        </w:rPr>
        <w:t> </w:t>
      </w:r>
      <w:r>
        <w:rPr>
          <w:sz w:val="22"/>
        </w:rPr>
        <w:t>demolition</w:t>
      </w:r>
      <w:r>
        <w:rPr>
          <w:spacing w:val="-5"/>
          <w:sz w:val="22"/>
        </w:rPr>
        <w:t> </w:t>
      </w:r>
      <w:r>
        <w:rPr>
          <w:sz w:val="22"/>
        </w:rPr>
        <w:t>–</w:t>
      </w:r>
      <w:r>
        <w:rPr>
          <w:spacing w:val="-6"/>
          <w:sz w:val="22"/>
        </w:rPr>
        <w:t> </w:t>
      </w:r>
      <w:r>
        <w:rPr>
          <w:sz w:val="22"/>
        </w:rPr>
        <w:t>accessory</w:t>
      </w:r>
      <w:r>
        <w:rPr>
          <w:spacing w:val="-6"/>
          <w:sz w:val="22"/>
        </w:rPr>
        <w:t> </w:t>
      </w:r>
      <w:r>
        <w:rPr>
          <w:spacing w:val="-2"/>
          <w:sz w:val="22"/>
        </w:rPr>
        <w:t>structures;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Any</w:t>
      </w:r>
      <w:r>
        <w:rPr>
          <w:spacing w:val="-4"/>
          <w:sz w:val="22"/>
        </w:rPr>
        <w:t> </w:t>
      </w:r>
      <w:r>
        <w:rPr>
          <w:sz w:val="22"/>
        </w:rPr>
        <w:t>item</w:t>
      </w:r>
      <w:r>
        <w:rPr>
          <w:spacing w:val="-6"/>
          <w:sz w:val="22"/>
        </w:rPr>
        <w:t> </w:t>
      </w:r>
      <w:r>
        <w:rPr>
          <w:sz w:val="22"/>
        </w:rPr>
        <w:t>determined</w:t>
      </w:r>
      <w:r>
        <w:rPr>
          <w:spacing w:val="-4"/>
          <w:sz w:val="22"/>
        </w:rPr>
        <w:t> </w:t>
      </w:r>
      <w:r>
        <w:rPr>
          <w:sz w:val="22"/>
        </w:rPr>
        <w:t>eligible</w:t>
      </w:r>
      <w:r>
        <w:rPr>
          <w:spacing w:val="-5"/>
          <w:sz w:val="22"/>
        </w:rPr>
        <w:t> </w:t>
      </w:r>
      <w:r>
        <w:rPr>
          <w:sz w:val="22"/>
        </w:rPr>
        <w:t>by</w:t>
      </w:r>
      <w:r>
        <w:rPr>
          <w:spacing w:val="-3"/>
          <w:sz w:val="22"/>
        </w:rPr>
        <w:t> </w:t>
      </w:r>
      <w:r>
        <w:rPr>
          <w:sz w:val="22"/>
        </w:rPr>
        <w:t>the</w:t>
      </w:r>
      <w:r>
        <w:rPr>
          <w:spacing w:val="-6"/>
          <w:sz w:val="22"/>
        </w:rPr>
        <w:t> </w:t>
      </w:r>
      <w:r>
        <w:rPr>
          <w:spacing w:val="-2"/>
          <w:sz w:val="22"/>
        </w:rPr>
        <w:t>Director.</w:t>
      </w:r>
    </w:p>
    <w:p>
      <w:pPr>
        <w:pStyle w:val="BodyText"/>
      </w:pPr>
    </w:p>
    <w:p>
      <w:pPr>
        <w:spacing w:before="1"/>
        <w:ind w:left="254" w:right="0" w:firstLine="0"/>
        <w:jc w:val="left"/>
        <w:rPr>
          <w:b/>
          <w:sz w:val="22"/>
        </w:rPr>
      </w:pPr>
      <w:r>
        <w:rPr>
          <w:b/>
          <w:sz w:val="22"/>
          <w:u w:val="single"/>
        </w:rPr>
        <w:t>INELIGIBLE</w:t>
      </w:r>
      <w:r>
        <w:rPr>
          <w:b/>
          <w:spacing w:val="-6"/>
          <w:sz w:val="22"/>
          <w:u w:val="single"/>
        </w:rPr>
        <w:t> </w:t>
      </w:r>
      <w:r>
        <w:rPr>
          <w:b/>
          <w:spacing w:val="-2"/>
          <w:sz w:val="22"/>
          <w:u w:val="single"/>
        </w:rPr>
        <w:t>REPAIRS</w:t>
      </w:r>
    </w:p>
    <w:p>
      <w:pPr>
        <w:pStyle w:val="BodyText"/>
        <w:spacing w:before="9"/>
        <w:rPr>
          <w:b/>
          <w:sz w:val="13"/>
        </w:rPr>
      </w:pPr>
    </w:p>
    <w:p>
      <w:pPr>
        <w:pStyle w:val="ListParagraph"/>
        <w:numPr>
          <w:ilvl w:val="1"/>
          <w:numId w:val="16"/>
        </w:numPr>
        <w:tabs>
          <w:tab w:pos="839" w:val="left" w:leader="none"/>
          <w:tab w:pos="840" w:val="left" w:leader="none"/>
        </w:tabs>
        <w:spacing w:line="252" w:lineRule="exact" w:before="95" w:after="0"/>
        <w:ind w:left="840" w:right="0" w:hanging="360"/>
        <w:jc w:val="left"/>
        <w:rPr>
          <w:rFonts w:ascii="Symbol" w:hAnsi="Symbol"/>
          <w:sz w:val="20"/>
        </w:rPr>
      </w:pPr>
      <w:r>
        <w:rPr/>
        <w:pict>
          <v:shape style="position:absolute;margin-left:90.065002pt;margin-top:13.398837pt;width:395.3pt;height:419pt;mso-position-horizontal-relative:page;mso-position-vertical-relative:paragraph;z-index:-17717248" id="docshape59" coordorigin="1801,268" coordsize="7906,8380" path="m4498,7532l4492,7458,4477,7380,4455,7297,4432,7228,4403,7156,4367,7081,4325,7003,4276,6922,4237,6863,4200,6813,4200,7498,4197,7555,4186,7611,4167,7669,4138,7729,4097,7791,4044,7857,3979,7927,3674,8232,2216,6775,2517,6474,2598,6398,2672,6338,2740,6294,2801,6268,2868,6253,2941,6249,3020,6256,3105,6274,3195,6303,3255,6329,3317,6361,3380,6399,3446,6445,3514,6496,3584,6554,3656,6619,3729,6690,3789,6752,3845,6812,3896,6871,3943,6929,3986,6985,4025,7041,4059,7095,4101,7169,4136,7241,4163,7311,4183,7378,4196,7442,4200,7498,4200,6813,4194,6804,4148,6744,4098,6683,4045,6622,3989,6561,3929,6499,3865,6437,3801,6378,3737,6323,3673,6272,3643,6249,3609,6224,3546,6179,3482,6138,3419,6100,3346,6063,3274,6030,3203,6003,3132,5981,3062,5964,2992,5952,2923,5945,2850,5943,2779,5950,2709,5965,2642,5988,2577,6018,2528,6046,2476,6083,2420,6129,2359,6183,2294,6246,1801,6739,3710,8647,4124,8232,4226,8131,4287,8065,4341,8000,4386,7934,4424,7868,4454,7801,4476,7735,4491,7668,4498,7600,4498,7532xm6418,5938l6056,5811,5650,5668,5561,5639,5475,5615,5393,5596,5365,5591,5314,5581,5239,5571,5193,5570,5143,5573,5089,5580,5030,5591,5073,5521,5109,5452,5136,5382,5154,5313,5164,5245,5165,5177,5157,5109,5139,5031,5111,4955,5075,4880,5030,4807,4976,4737,4956,4714,4913,4668,4872,4630,4872,5187,4868,5243,4854,5298,4830,5354,4794,5413,4747,5474,4687,5537,4280,5944,3649,5313,4102,4860,4166,4803,4229,4760,4293,4731,4358,4715,4422,4714,4501,4729,4577,4759,4649,4804,4718,4863,4761,4911,4797,4962,4827,5015,4851,5072,4867,5130,4872,5187,4872,4630,4849,4608,4782,4556,4713,4511,4641,4472,4566,4440,4474,4412,4386,4399,4303,4401,4225,4417,4163,4442,4098,4478,4030,4526,3958,4586,3883,4657,3248,5292,5157,7200,5346,7011,4499,6163,4718,5944,4753,5910,4783,5883,4810,5862,4833,5847,4863,5833,4896,5823,4932,5815,4971,5811,5014,5811,5066,5816,5125,5827,5194,5843,5256,5860,5328,5881,5407,5906,5496,5935,6180,6177,6418,5938xm7780,4576l7415,4381,6555,3927,6555,4234,6070,4719,6030,4648,5989,4576,5748,4146,5708,4074,5668,4002,5629,3937,5590,3872,5550,3808,5509,3745,5467,3683,5424,3621,5380,3561,5436,3597,5498,3634,5564,3674,5635,3716,5792,3807,6555,4234,6555,3927,5862,3561,5286,3254,5082,3458,5277,3808,5316,3879,5701,4576,6207,5495,6441,5916,6642,5715,6565,5581,6298,5113,6221,4980,6481,4719,6820,4381,7173,4576,7565,4792,7780,4576xm8131,4226l7264,3359,7936,2687,7711,2462,7039,3134,6448,2543,7224,1766,6999,1541,6033,2507,7941,4415,8131,4226xm9707,2650l8024,967,8497,493,8272,268,7138,1403,7363,1628,7834,1156,9517,2839,9707,2650xe" filled="true" fillcolor="#c0c0c0" stroked="false">
            <v:path arrowok="t"/>
            <v:fill opacity="32896f" type="solid"/>
            <w10:wrap type="none"/>
          </v:shape>
        </w:pict>
      </w:r>
      <w:r>
        <w:rPr>
          <w:sz w:val="22"/>
        </w:rPr>
        <w:t>Interior</w:t>
      </w:r>
      <w:r>
        <w:rPr>
          <w:spacing w:val="-7"/>
          <w:sz w:val="22"/>
        </w:rPr>
        <w:t> </w:t>
      </w:r>
      <w:r>
        <w:rPr>
          <w:spacing w:val="-2"/>
          <w:sz w:val="22"/>
        </w:rPr>
        <w:t>repairs;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Towing</w:t>
      </w:r>
      <w:r>
        <w:rPr>
          <w:spacing w:val="-6"/>
          <w:sz w:val="22"/>
        </w:rPr>
        <w:t> </w:t>
      </w:r>
      <w:r>
        <w:rPr>
          <w:spacing w:val="-2"/>
          <w:sz w:val="22"/>
        </w:rPr>
        <w:t>vehicles;</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Mowing</w:t>
      </w:r>
      <w:r>
        <w:rPr>
          <w:spacing w:val="-3"/>
          <w:sz w:val="22"/>
        </w:rPr>
        <w:t> </w:t>
      </w:r>
      <w:r>
        <w:rPr>
          <w:sz w:val="22"/>
        </w:rPr>
        <w:t>/</w:t>
      </w:r>
      <w:r>
        <w:rPr>
          <w:spacing w:val="-3"/>
          <w:sz w:val="22"/>
        </w:rPr>
        <w:t> </w:t>
      </w:r>
      <w:r>
        <w:rPr>
          <w:spacing w:val="-2"/>
          <w:sz w:val="22"/>
        </w:rPr>
        <w:t>weeding;</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Sidewalk</w:t>
      </w:r>
      <w:r>
        <w:rPr>
          <w:spacing w:val="-9"/>
          <w:sz w:val="22"/>
        </w:rPr>
        <w:t> </w:t>
      </w:r>
      <w:r>
        <w:rPr>
          <w:spacing w:val="-2"/>
          <w:sz w:val="22"/>
        </w:rPr>
        <w:t>repairs;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Junk</w:t>
      </w:r>
      <w:r>
        <w:rPr>
          <w:spacing w:val="-1"/>
          <w:sz w:val="22"/>
        </w:rPr>
        <w:t> </w:t>
      </w:r>
      <w:r>
        <w:rPr>
          <w:spacing w:val="-2"/>
          <w:sz w:val="22"/>
        </w:rPr>
        <w:t>removal;</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Citations</w:t>
      </w:r>
      <w:r>
        <w:rPr>
          <w:spacing w:val="-4"/>
          <w:sz w:val="22"/>
        </w:rPr>
        <w:t> </w:t>
      </w:r>
      <w:r>
        <w:rPr>
          <w:sz w:val="22"/>
        </w:rPr>
        <w:t>issued</w:t>
      </w:r>
      <w:r>
        <w:rPr>
          <w:spacing w:val="-5"/>
          <w:sz w:val="22"/>
        </w:rPr>
        <w:t> </w:t>
      </w:r>
      <w:r>
        <w:rPr>
          <w:sz w:val="22"/>
        </w:rPr>
        <w:t>by</w:t>
      </w:r>
      <w:r>
        <w:rPr>
          <w:spacing w:val="-4"/>
          <w:sz w:val="22"/>
        </w:rPr>
        <w:t> </w:t>
      </w:r>
      <w:r>
        <w:rPr>
          <w:sz w:val="22"/>
        </w:rPr>
        <w:t>DCC</w:t>
      </w:r>
      <w:r>
        <w:rPr>
          <w:spacing w:val="-7"/>
          <w:sz w:val="22"/>
        </w:rPr>
        <w:t> </w:t>
      </w:r>
      <w:r>
        <w:rPr>
          <w:sz w:val="22"/>
        </w:rPr>
        <w:t>requiring</w:t>
      </w:r>
      <w:r>
        <w:rPr>
          <w:spacing w:val="-5"/>
          <w:sz w:val="22"/>
        </w:rPr>
        <w:t> </w:t>
      </w:r>
      <w:r>
        <w:rPr>
          <w:sz w:val="22"/>
        </w:rPr>
        <w:t>a</w:t>
      </w:r>
      <w:r>
        <w:rPr>
          <w:spacing w:val="-5"/>
          <w:sz w:val="22"/>
        </w:rPr>
        <w:t> </w:t>
      </w:r>
      <w:r>
        <w:rPr>
          <w:sz w:val="22"/>
        </w:rPr>
        <w:t>48-hour</w:t>
      </w:r>
      <w:r>
        <w:rPr>
          <w:spacing w:val="-5"/>
          <w:sz w:val="22"/>
        </w:rPr>
        <w:t> </w:t>
      </w:r>
      <w:r>
        <w:rPr>
          <w:spacing w:val="-2"/>
          <w:sz w:val="22"/>
        </w:rPr>
        <w:t>response;</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Other</w:t>
      </w:r>
      <w:r>
        <w:rPr>
          <w:spacing w:val="-5"/>
          <w:sz w:val="22"/>
        </w:rPr>
        <w:t> </w:t>
      </w:r>
      <w:r>
        <w:rPr>
          <w:sz w:val="22"/>
        </w:rPr>
        <w:t>repairs</w:t>
      </w:r>
      <w:r>
        <w:rPr>
          <w:spacing w:val="-5"/>
          <w:sz w:val="22"/>
        </w:rPr>
        <w:t> </w:t>
      </w:r>
      <w:r>
        <w:rPr>
          <w:sz w:val="22"/>
        </w:rPr>
        <w:t>not</w:t>
      </w:r>
      <w:r>
        <w:rPr>
          <w:spacing w:val="-4"/>
          <w:sz w:val="22"/>
        </w:rPr>
        <w:t> </w:t>
      </w:r>
      <w:r>
        <w:rPr>
          <w:sz w:val="22"/>
        </w:rPr>
        <w:t>listed</w:t>
      </w:r>
      <w:r>
        <w:rPr>
          <w:spacing w:val="-3"/>
          <w:sz w:val="22"/>
        </w:rPr>
        <w:t> </w:t>
      </w:r>
      <w:r>
        <w:rPr>
          <w:sz w:val="22"/>
        </w:rPr>
        <w:t>on</w:t>
      </w:r>
      <w:r>
        <w:rPr>
          <w:spacing w:val="-3"/>
          <w:sz w:val="22"/>
        </w:rPr>
        <w:t> </w:t>
      </w:r>
      <w:r>
        <w:rPr>
          <w:spacing w:val="-2"/>
          <w:sz w:val="22"/>
        </w:rPr>
        <w:t>citation;</w:t>
      </w:r>
    </w:p>
    <w:p>
      <w:pPr>
        <w:pStyle w:val="ListParagraph"/>
        <w:numPr>
          <w:ilvl w:val="1"/>
          <w:numId w:val="16"/>
        </w:numPr>
        <w:tabs>
          <w:tab w:pos="839" w:val="left" w:leader="none"/>
          <w:tab w:pos="840" w:val="left" w:leader="none"/>
        </w:tabs>
        <w:spacing w:line="240" w:lineRule="auto" w:before="2" w:after="0"/>
        <w:ind w:left="840" w:right="0" w:hanging="360"/>
        <w:jc w:val="left"/>
        <w:rPr>
          <w:rFonts w:ascii="Symbol" w:hAnsi="Symbol"/>
          <w:sz w:val="20"/>
        </w:rPr>
      </w:pPr>
      <w:r>
        <w:rPr>
          <w:sz w:val="22"/>
        </w:rPr>
        <w:t>Chronic</w:t>
      </w:r>
      <w:r>
        <w:rPr>
          <w:spacing w:val="-4"/>
          <w:sz w:val="22"/>
        </w:rPr>
        <w:t> </w:t>
      </w:r>
      <w:r>
        <w:rPr>
          <w:sz w:val="22"/>
        </w:rPr>
        <w:t>code</w:t>
      </w:r>
      <w:r>
        <w:rPr>
          <w:spacing w:val="-6"/>
          <w:sz w:val="22"/>
        </w:rPr>
        <w:t> </w:t>
      </w:r>
      <w:r>
        <w:rPr>
          <w:spacing w:val="-2"/>
          <w:sz w:val="22"/>
        </w:rPr>
        <w:t>violators.</w:t>
      </w:r>
    </w:p>
    <w:p>
      <w:pPr>
        <w:spacing w:after="0" w:line="240" w:lineRule="auto"/>
        <w:jc w:val="left"/>
        <w:rPr>
          <w:rFonts w:ascii="Symbol" w:hAnsi="Symbol"/>
          <w:sz w:val="20"/>
        </w:rPr>
        <w:sectPr>
          <w:pgSz w:w="12240" w:h="15840"/>
          <w:pgMar w:header="0" w:footer="1738" w:top="1360" w:bottom="1920" w:left="1320" w:right="1280"/>
        </w:sectPr>
      </w:pPr>
    </w:p>
    <w:p>
      <w:pPr>
        <w:pStyle w:val="Heading3"/>
        <w:jc w:val="both"/>
      </w:pPr>
      <w:bookmarkStart w:name="Lead Hazard Reduction Demonstration Gran" w:id="40"/>
      <w:bookmarkEnd w:id="40"/>
      <w:r>
        <w:rPr/>
      </w:r>
      <w:bookmarkStart w:name="_bookmark12" w:id="41"/>
      <w:bookmarkEnd w:id="41"/>
      <w:r>
        <w:rPr/>
      </w:r>
      <w:r>
        <w:rPr>
          <w:color w:val="001F5F"/>
        </w:rPr>
        <w:t>Lead</w:t>
      </w:r>
      <w:r>
        <w:rPr>
          <w:color w:val="001F5F"/>
          <w:spacing w:val="-11"/>
        </w:rPr>
        <w:t> </w:t>
      </w:r>
      <w:r>
        <w:rPr>
          <w:color w:val="001F5F"/>
        </w:rPr>
        <w:t>Hazard</w:t>
      </w:r>
      <w:r>
        <w:rPr>
          <w:color w:val="001F5F"/>
          <w:spacing w:val="-10"/>
        </w:rPr>
        <w:t> </w:t>
      </w:r>
      <w:r>
        <w:rPr>
          <w:color w:val="001F5F"/>
        </w:rPr>
        <w:t>Reduction</w:t>
      </w:r>
      <w:r>
        <w:rPr>
          <w:color w:val="001F5F"/>
          <w:spacing w:val="-10"/>
        </w:rPr>
        <w:t> </w:t>
      </w:r>
      <w:r>
        <w:rPr>
          <w:color w:val="001F5F"/>
        </w:rPr>
        <w:t>Demonstration</w:t>
      </w:r>
      <w:r>
        <w:rPr>
          <w:color w:val="001F5F"/>
          <w:spacing w:val="-10"/>
        </w:rPr>
        <w:t> </w:t>
      </w:r>
      <w:r>
        <w:rPr>
          <w:color w:val="001F5F"/>
        </w:rPr>
        <w:t>Grant</w:t>
      </w:r>
      <w:r>
        <w:rPr>
          <w:color w:val="001F5F"/>
          <w:spacing w:val="30"/>
        </w:rPr>
        <w:t>  </w:t>
      </w:r>
      <w:r>
        <w:rPr>
          <w:color w:val="FF0000"/>
        </w:rPr>
        <w:t>Pillars</w:t>
      </w:r>
      <w:r>
        <w:rPr>
          <w:color w:val="FF0000"/>
          <w:spacing w:val="-8"/>
        </w:rPr>
        <w:t> </w:t>
      </w:r>
      <w:r>
        <w:rPr>
          <w:color w:val="FF0000"/>
        </w:rPr>
        <w:t>3,</w:t>
      </w:r>
      <w:r>
        <w:rPr>
          <w:color w:val="FF0000"/>
          <w:spacing w:val="-10"/>
        </w:rPr>
        <w:t> 6</w:t>
      </w:r>
    </w:p>
    <w:p>
      <w:pPr>
        <w:pStyle w:val="BodyText"/>
        <w:spacing w:before="10"/>
        <w:rPr>
          <w:sz w:val="28"/>
        </w:rPr>
      </w:pPr>
    </w:p>
    <w:p>
      <w:pPr>
        <w:pStyle w:val="BodyText"/>
        <w:spacing w:line="288" w:lineRule="auto" w:before="1"/>
        <w:ind w:left="119" w:right="156"/>
        <w:jc w:val="both"/>
      </w:pPr>
      <w:r>
        <w:rPr/>
        <w:t>HHLR</w:t>
      </w:r>
      <w:r>
        <w:rPr>
          <w:spacing w:val="-3"/>
        </w:rPr>
        <w:t> </w:t>
      </w:r>
      <w:r>
        <w:rPr/>
        <w:t>provides</w:t>
      </w:r>
      <w:r>
        <w:rPr>
          <w:spacing w:val="-7"/>
        </w:rPr>
        <w:t> </w:t>
      </w:r>
      <w:r>
        <w:rPr/>
        <w:t>lead</w:t>
      </w:r>
      <w:r>
        <w:rPr>
          <w:spacing w:val="-9"/>
        </w:rPr>
        <w:t> </w:t>
      </w:r>
      <w:r>
        <w:rPr/>
        <w:t>hazard</w:t>
      </w:r>
      <w:r>
        <w:rPr>
          <w:spacing w:val="-9"/>
        </w:rPr>
        <w:t> </w:t>
      </w:r>
      <w:r>
        <w:rPr/>
        <w:t>reduction</w:t>
      </w:r>
      <w:r>
        <w:rPr>
          <w:spacing w:val="-7"/>
        </w:rPr>
        <w:t> </w:t>
      </w:r>
      <w:r>
        <w:rPr/>
        <w:t>home</w:t>
      </w:r>
      <w:r>
        <w:rPr>
          <w:spacing w:val="-9"/>
        </w:rPr>
        <w:t> </w:t>
      </w:r>
      <w:r>
        <w:rPr/>
        <w:t>repair</w:t>
      </w:r>
      <w:r>
        <w:rPr>
          <w:spacing w:val="-9"/>
        </w:rPr>
        <w:t> </w:t>
      </w:r>
      <w:r>
        <w:rPr/>
        <w:t>services</w:t>
      </w:r>
      <w:r>
        <w:rPr>
          <w:spacing w:val="-11"/>
        </w:rPr>
        <w:t> </w:t>
      </w:r>
      <w:r>
        <w:rPr/>
        <w:t>to</w:t>
      </w:r>
      <w:r>
        <w:rPr>
          <w:spacing w:val="-9"/>
        </w:rPr>
        <w:t> </w:t>
      </w:r>
      <w:r>
        <w:rPr/>
        <w:t>create</w:t>
      </w:r>
      <w:r>
        <w:rPr>
          <w:spacing w:val="-9"/>
        </w:rPr>
        <w:t> </w:t>
      </w:r>
      <w:r>
        <w:rPr/>
        <w:t>a</w:t>
      </w:r>
      <w:r>
        <w:rPr>
          <w:spacing w:val="-9"/>
        </w:rPr>
        <w:t> </w:t>
      </w:r>
      <w:r>
        <w:rPr/>
        <w:t>lead-safe</w:t>
      </w:r>
      <w:r>
        <w:rPr>
          <w:spacing w:val="-9"/>
        </w:rPr>
        <w:t> </w:t>
      </w:r>
      <w:r>
        <w:rPr/>
        <w:t>environment</w:t>
      </w:r>
      <w:r>
        <w:rPr>
          <w:spacing w:val="-8"/>
        </w:rPr>
        <w:t> </w:t>
      </w:r>
      <w:r>
        <w:rPr/>
        <w:t>for the children of Dallas. HHLR also includes Healthy Homes Supplemental Funding for the identification and remediation of housing related health and safety hazards in homes.</w:t>
      </w:r>
    </w:p>
    <w:p>
      <w:pPr>
        <w:pStyle w:val="BodyText"/>
        <w:spacing w:before="4"/>
        <w:rPr>
          <w:sz w:val="26"/>
        </w:rPr>
      </w:pPr>
    </w:p>
    <w:p>
      <w:pPr>
        <w:pStyle w:val="BodyText"/>
        <w:spacing w:line="288" w:lineRule="auto"/>
        <w:ind w:left="120" w:right="157"/>
        <w:jc w:val="both"/>
      </w:pPr>
      <w:r>
        <w:rPr/>
        <w:pict>
          <v:shape style="position:absolute;margin-left:90.065002pt;margin-top:1.453646pt;width:395.3pt;height:419pt;mso-position-horizontal-relative:page;mso-position-vertical-relative:paragraph;z-index:-17716736" id="docshape60" coordorigin="1801,29" coordsize="7906,8380" path="m4498,7293l4492,7219,4477,7141,4455,7058,4432,6989,4403,6917,4367,6842,4325,6764,4276,6684,4237,6625,4200,6574,4200,7259,4197,7316,4186,7373,4167,7430,4138,7490,4097,7552,4044,7619,3979,7688,3674,7993,2216,6536,2517,6235,2598,6159,2672,6099,2740,6055,2801,6029,2868,6014,2941,6010,3020,6017,3105,6035,3195,6064,3255,6090,3317,6122,3380,6161,3446,6206,3514,6257,3584,6315,3656,6380,3729,6451,3789,6513,3845,6573,3896,6632,3943,6690,3986,6747,4025,6802,4059,6856,4101,6930,4136,7003,4163,7072,4183,7139,4196,7203,4200,7259,4200,6574,4194,6565,4148,6505,4098,6444,4045,6383,3989,6322,3929,6260,3865,6198,3801,6140,3737,6085,3673,6033,3643,6010,3609,5985,3546,5941,3482,5899,3419,5861,3346,5824,3274,5791,3203,5764,3132,5742,3062,5725,2992,5713,2923,5706,2850,5704,2779,5711,2709,5726,2642,5749,2577,5779,2528,5808,2476,5845,2420,5890,2359,5944,2294,6007,1801,6500,3710,8408,4124,7993,4226,7892,4287,7827,4341,7761,4386,7695,4424,7629,4454,7562,4476,7496,4491,7429,4498,7361,4498,7293xm6418,5700l6056,5572,5650,5429,5561,5400,5475,5376,5393,5357,5365,5352,5314,5343,5239,5333,5193,5331,5143,5334,5089,5341,5030,5352,5073,5282,5109,5213,5136,5143,5154,5075,5164,5006,5165,4938,5157,4870,5139,4792,5111,4716,5075,4641,5030,4569,4976,4498,4956,4475,4913,4429,4872,4391,4872,4948,4868,5004,4854,5059,4830,5115,4794,5174,4747,5235,4687,5298,4280,5705,3649,5074,4102,4621,4166,4564,4229,4521,4293,4492,4358,4476,4422,4475,4501,4490,4577,4520,4649,4565,4718,4624,4761,4672,4797,4723,4827,4776,4851,4833,4867,4891,4872,4948,4872,4391,4849,4370,4782,4317,4713,4272,4641,4233,4566,4201,4474,4173,4386,4160,4303,4162,4225,4178,4163,4203,4098,4239,4030,4288,3958,4347,3883,4418,3248,5053,5157,6961,5346,6772,4499,5924,4718,5705,4753,5671,4783,5644,4810,5623,4833,5608,4863,5595,4896,5584,4932,5576,4971,5572,5014,5572,5066,5577,5125,5588,5194,5604,5256,5621,5328,5642,5407,5667,5496,5696,6180,5938,6418,5700xm7780,4337l7415,4142,6555,3688,6555,3995,6070,4480,6030,4409,5989,4337,5748,3907,5708,3835,5668,3763,5629,3698,5590,3633,5550,3569,5509,3506,5467,3444,5424,3383,5380,3322,5436,3358,5498,3395,5564,3435,5635,3477,5792,3568,6555,3995,6555,3688,5862,3322,5286,3015,5082,3219,5277,3570,5316,3640,5701,4337,6207,5256,6441,5677,6642,5476,6565,5342,6298,4874,6221,4741,6481,4480,6820,4142,7173,4337,7565,4553,7780,4337xm8131,3987l7264,3120,7936,2448,7711,2223,7039,2895,6448,2304,7224,1528,6999,1302,6033,2268,7941,4176,8131,3987xm9707,2411l8024,728,8497,254,8272,29,7138,1164,7363,1389,7834,917,9517,2600,9707,2411xe" filled="true" fillcolor="#c0c0c0" stroked="false">
            <v:path arrowok="t"/>
            <v:fill opacity="32896f" type="solid"/>
            <w10:wrap type="none"/>
          </v:shape>
        </w:pict>
      </w:r>
      <w:r>
        <w:rPr/>
        <w:t>The program protects children from lead when they live or spend extended periods of time in a home with deteriorated lead-based paint. Participation in the program will require a paint inspection/risk assessment of the property to determine presence of lead-based paint hazards. For</w:t>
      </w:r>
      <w:r>
        <w:rPr>
          <w:spacing w:val="-16"/>
        </w:rPr>
        <w:t> </w:t>
      </w:r>
      <w:r>
        <w:rPr/>
        <w:t>qualifying</w:t>
      </w:r>
      <w:r>
        <w:rPr>
          <w:spacing w:val="-15"/>
        </w:rPr>
        <w:t> </w:t>
      </w:r>
      <w:r>
        <w:rPr/>
        <w:t>households,</w:t>
      </w:r>
      <w:r>
        <w:rPr>
          <w:spacing w:val="-15"/>
        </w:rPr>
        <w:t> </w:t>
      </w:r>
      <w:r>
        <w:rPr/>
        <w:t>the</w:t>
      </w:r>
      <w:r>
        <w:rPr>
          <w:spacing w:val="-16"/>
        </w:rPr>
        <w:t> </w:t>
      </w:r>
      <w:r>
        <w:rPr/>
        <w:t>program</w:t>
      </w:r>
      <w:r>
        <w:rPr>
          <w:spacing w:val="-13"/>
        </w:rPr>
        <w:t> </w:t>
      </w:r>
      <w:r>
        <w:rPr/>
        <w:t>will</w:t>
      </w:r>
      <w:r>
        <w:rPr>
          <w:spacing w:val="-15"/>
        </w:rPr>
        <w:t> </w:t>
      </w:r>
      <w:r>
        <w:rPr/>
        <w:t>identify,</w:t>
      </w:r>
      <w:r>
        <w:rPr>
          <w:spacing w:val="-16"/>
        </w:rPr>
        <w:t> </w:t>
      </w:r>
      <w:r>
        <w:rPr/>
        <w:t>remove,</w:t>
      </w:r>
      <w:r>
        <w:rPr>
          <w:spacing w:val="-13"/>
        </w:rPr>
        <w:t> </w:t>
      </w:r>
      <w:r>
        <w:rPr/>
        <w:t>or</w:t>
      </w:r>
      <w:r>
        <w:rPr>
          <w:spacing w:val="-16"/>
        </w:rPr>
        <w:t> </w:t>
      </w:r>
      <w:r>
        <w:rPr/>
        <w:t>stabilize</w:t>
      </w:r>
      <w:r>
        <w:rPr>
          <w:spacing w:val="-15"/>
        </w:rPr>
        <w:t> </w:t>
      </w:r>
      <w:r>
        <w:rPr/>
        <w:t>lead-based</w:t>
      </w:r>
      <w:r>
        <w:rPr>
          <w:spacing w:val="-15"/>
        </w:rPr>
        <w:t> </w:t>
      </w:r>
      <w:r>
        <w:rPr/>
        <w:t>paint</w:t>
      </w:r>
      <w:r>
        <w:rPr>
          <w:spacing w:val="-15"/>
        </w:rPr>
        <w:t> </w:t>
      </w:r>
      <w:r>
        <w:rPr/>
        <w:t>hazards at no cost to the homeowner.</w:t>
      </w:r>
    </w:p>
    <w:p>
      <w:pPr>
        <w:pStyle w:val="BodyText"/>
        <w:spacing w:before="5"/>
        <w:rPr>
          <w:sz w:val="26"/>
        </w:rPr>
      </w:pPr>
    </w:p>
    <w:p>
      <w:pPr>
        <w:spacing w:before="0"/>
        <w:ind w:left="120" w:right="0" w:firstLine="0"/>
        <w:jc w:val="left"/>
        <w:rPr>
          <w:b/>
          <w:sz w:val="22"/>
        </w:rPr>
      </w:pPr>
      <w:r>
        <w:rPr>
          <w:b/>
          <w:color w:val="222222"/>
          <w:sz w:val="22"/>
        </w:rPr>
        <w:t>Program</w:t>
      </w:r>
      <w:r>
        <w:rPr>
          <w:b/>
          <w:color w:val="222222"/>
          <w:spacing w:val="-5"/>
          <w:sz w:val="22"/>
        </w:rPr>
        <w:t> </w:t>
      </w:r>
      <w:r>
        <w:rPr>
          <w:b/>
          <w:color w:val="222222"/>
          <w:spacing w:val="-2"/>
          <w:sz w:val="22"/>
        </w:rPr>
        <w:t>Eligibility:</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color w:val="222222"/>
          <w:sz w:val="22"/>
        </w:rPr>
        <w:t>Single-family</w:t>
      </w:r>
      <w:r>
        <w:rPr>
          <w:color w:val="222222"/>
          <w:spacing w:val="-8"/>
          <w:sz w:val="22"/>
        </w:rPr>
        <w:t> </w:t>
      </w:r>
      <w:r>
        <w:rPr>
          <w:color w:val="222222"/>
          <w:sz w:val="22"/>
        </w:rPr>
        <w:t>home-owner</w:t>
      </w:r>
      <w:r>
        <w:rPr>
          <w:color w:val="222222"/>
          <w:spacing w:val="-5"/>
          <w:sz w:val="22"/>
        </w:rPr>
        <w:t> </w:t>
      </w:r>
      <w:r>
        <w:rPr>
          <w:color w:val="222222"/>
          <w:sz w:val="22"/>
        </w:rPr>
        <w:t>occupied</w:t>
      </w:r>
      <w:r>
        <w:rPr>
          <w:color w:val="222222"/>
          <w:spacing w:val="-8"/>
          <w:sz w:val="22"/>
        </w:rPr>
        <w:t> </w:t>
      </w:r>
      <w:r>
        <w:rPr>
          <w:color w:val="222222"/>
          <w:sz w:val="22"/>
        </w:rPr>
        <w:t>house</w:t>
      </w:r>
      <w:r>
        <w:rPr>
          <w:color w:val="222222"/>
          <w:spacing w:val="-7"/>
          <w:sz w:val="22"/>
        </w:rPr>
        <w:t> </w:t>
      </w:r>
      <w:r>
        <w:rPr>
          <w:color w:val="222222"/>
          <w:sz w:val="22"/>
        </w:rPr>
        <w:t>built</w:t>
      </w:r>
      <w:r>
        <w:rPr>
          <w:color w:val="222222"/>
          <w:spacing w:val="-6"/>
          <w:sz w:val="22"/>
        </w:rPr>
        <w:t> </w:t>
      </w:r>
      <w:r>
        <w:rPr>
          <w:color w:val="222222"/>
          <w:sz w:val="22"/>
        </w:rPr>
        <w:t>before</w:t>
      </w:r>
      <w:r>
        <w:rPr>
          <w:color w:val="222222"/>
          <w:spacing w:val="-9"/>
          <w:sz w:val="22"/>
        </w:rPr>
        <w:t> </w:t>
      </w:r>
      <w:r>
        <w:rPr>
          <w:color w:val="222222"/>
          <w:sz w:val="22"/>
        </w:rPr>
        <w:t>1978</w:t>
      </w:r>
      <w:r>
        <w:rPr>
          <w:color w:val="222222"/>
          <w:spacing w:val="-6"/>
          <w:sz w:val="22"/>
        </w:rPr>
        <w:t> </w:t>
      </w:r>
      <w:r>
        <w:rPr>
          <w:color w:val="222222"/>
          <w:sz w:val="22"/>
        </w:rPr>
        <w:t>within</w:t>
      </w:r>
      <w:r>
        <w:rPr>
          <w:color w:val="222222"/>
          <w:spacing w:val="-7"/>
          <w:sz w:val="22"/>
        </w:rPr>
        <w:t> </w:t>
      </w:r>
      <w:r>
        <w:rPr>
          <w:color w:val="222222"/>
          <w:sz w:val="22"/>
        </w:rPr>
        <w:t>Dallas</w:t>
      </w:r>
      <w:r>
        <w:rPr>
          <w:color w:val="222222"/>
          <w:spacing w:val="-8"/>
          <w:sz w:val="22"/>
        </w:rPr>
        <w:t> </w:t>
      </w:r>
      <w:r>
        <w:rPr>
          <w:color w:val="222222"/>
          <w:sz w:val="22"/>
        </w:rPr>
        <w:t>City</w:t>
      </w:r>
      <w:r>
        <w:rPr>
          <w:color w:val="222222"/>
          <w:spacing w:val="-5"/>
          <w:sz w:val="22"/>
        </w:rPr>
        <w:t> </w:t>
      </w:r>
      <w:r>
        <w:rPr>
          <w:color w:val="222222"/>
          <w:spacing w:val="-2"/>
          <w:sz w:val="22"/>
        </w:rPr>
        <w:t>Limits</w:t>
      </w:r>
    </w:p>
    <w:p>
      <w:pPr>
        <w:pStyle w:val="ListParagraph"/>
        <w:numPr>
          <w:ilvl w:val="2"/>
          <w:numId w:val="16"/>
        </w:numPr>
        <w:tabs>
          <w:tab w:pos="1559" w:val="left" w:leader="none"/>
          <w:tab w:pos="1560" w:val="left" w:leader="none"/>
        </w:tabs>
        <w:spacing w:line="288" w:lineRule="auto" w:before="52" w:after="0"/>
        <w:ind w:left="1560" w:right="162" w:hanging="360"/>
        <w:jc w:val="left"/>
        <w:rPr>
          <w:sz w:val="22"/>
        </w:rPr>
      </w:pPr>
      <w:r>
        <w:rPr>
          <w:color w:val="222222"/>
          <w:sz w:val="22"/>
        </w:rPr>
        <w:t>Child/children under the age of 6 resides in the home or stays for extend periods of time</w:t>
      </w:r>
    </w:p>
    <w:p>
      <w:pPr>
        <w:pStyle w:val="ListParagraph"/>
        <w:numPr>
          <w:ilvl w:val="2"/>
          <w:numId w:val="16"/>
        </w:numPr>
        <w:tabs>
          <w:tab w:pos="1559" w:val="left" w:leader="none"/>
          <w:tab w:pos="1560" w:val="left" w:leader="none"/>
        </w:tabs>
        <w:spacing w:line="240" w:lineRule="auto" w:before="0" w:after="0"/>
        <w:ind w:left="1560" w:right="0" w:hanging="360"/>
        <w:jc w:val="left"/>
        <w:rPr>
          <w:sz w:val="22"/>
        </w:rPr>
      </w:pPr>
      <w:r>
        <w:rPr>
          <w:color w:val="222222"/>
          <w:sz w:val="22"/>
        </w:rPr>
        <w:t>A</w:t>
      </w:r>
      <w:r>
        <w:rPr>
          <w:color w:val="222222"/>
          <w:spacing w:val="-4"/>
          <w:sz w:val="22"/>
        </w:rPr>
        <w:t> </w:t>
      </w:r>
      <w:r>
        <w:rPr>
          <w:color w:val="222222"/>
          <w:sz w:val="22"/>
        </w:rPr>
        <w:t>pregnant</w:t>
      </w:r>
      <w:r>
        <w:rPr>
          <w:color w:val="222222"/>
          <w:spacing w:val="-4"/>
          <w:sz w:val="22"/>
        </w:rPr>
        <w:t> </w:t>
      </w:r>
      <w:r>
        <w:rPr>
          <w:color w:val="222222"/>
          <w:sz w:val="22"/>
        </w:rPr>
        <w:t>woman</w:t>
      </w:r>
      <w:r>
        <w:rPr>
          <w:color w:val="222222"/>
          <w:spacing w:val="-5"/>
          <w:sz w:val="22"/>
        </w:rPr>
        <w:t> </w:t>
      </w:r>
      <w:r>
        <w:rPr>
          <w:color w:val="222222"/>
          <w:sz w:val="22"/>
        </w:rPr>
        <w:t>resides</w:t>
      </w:r>
      <w:r>
        <w:rPr>
          <w:color w:val="222222"/>
          <w:spacing w:val="-3"/>
          <w:sz w:val="22"/>
        </w:rPr>
        <w:t> </w:t>
      </w:r>
      <w:r>
        <w:rPr>
          <w:color w:val="222222"/>
          <w:sz w:val="22"/>
        </w:rPr>
        <w:t>in</w:t>
      </w:r>
      <w:r>
        <w:rPr>
          <w:color w:val="222222"/>
          <w:spacing w:val="-3"/>
          <w:sz w:val="22"/>
        </w:rPr>
        <w:t> </w:t>
      </w:r>
      <w:r>
        <w:rPr>
          <w:color w:val="222222"/>
          <w:sz w:val="22"/>
        </w:rPr>
        <w:t>the</w:t>
      </w:r>
      <w:r>
        <w:rPr>
          <w:color w:val="222222"/>
          <w:spacing w:val="-5"/>
          <w:sz w:val="22"/>
        </w:rPr>
        <w:t> </w:t>
      </w:r>
      <w:r>
        <w:rPr>
          <w:color w:val="222222"/>
          <w:spacing w:val="-4"/>
          <w:sz w:val="22"/>
        </w:rPr>
        <w:t>home</w:t>
      </w:r>
    </w:p>
    <w:p>
      <w:pPr>
        <w:pStyle w:val="ListParagraph"/>
        <w:numPr>
          <w:ilvl w:val="2"/>
          <w:numId w:val="16"/>
        </w:numPr>
        <w:tabs>
          <w:tab w:pos="1559" w:val="left" w:leader="none"/>
          <w:tab w:pos="1560" w:val="left" w:leader="none"/>
        </w:tabs>
        <w:spacing w:line="240" w:lineRule="auto" w:before="50" w:after="0"/>
        <w:ind w:left="1560" w:right="0" w:hanging="360"/>
        <w:jc w:val="left"/>
        <w:rPr>
          <w:sz w:val="22"/>
        </w:rPr>
      </w:pPr>
      <w:r>
        <w:rPr>
          <w:color w:val="222222"/>
          <w:sz w:val="22"/>
        </w:rPr>
        <w:t>Combined</w:t>
      </w:r>
      <w:r>
        <w:rPr>
          <w:color w:val="222222"/>
          <w:spacing w:val="-8"/>
          <w:sz w:val="22"/>
        </w:rPr>
        <w:t> </w:t>
      </w:r>
      <w:r>
        <w:rPr>
          <w:color w:val="222222"/>
          <w:sz w:val="22"/>
        </w:rPr>
        <w:t>household</w:t>
      </w:r>
      <w:r>
        <w:rPr>
          <w:color w:val="222222"/>
          <w:spacing w:val="-5"/>
          <w:sz w:val="22"/>
        </w:rPr>
        <w:t> </w:t>
      </w:r>
      <w:r>
        <w:rPr>
          <w:color w:val="222222"/>
          <w:sz w:val="22"/>
        </w:rPr>
        <w:t>income</w:t>
      </w:r>
      <w:r>
        <w:rPr>
          <w:color w:val="222222"/>
          <w:spacing w:val="-6"/>
          <w:sz w:val="22"/>
        </w:rPr>
        <w:t> </w:t>
      </w:r>
      <w:r>
        <w:rPr>
          <w:color w:val="222222"/>
          <w:sz w:val="22"/>
        </w:rPr>
        <w:t>at</w:t>
      </w:r>
      <w:r>
        <w:rPr>
          <w:color w:val="222222"/>
          <w:spacing w:val="-4"/>
          <w:sz w:val="22"/>
        </w:rPr>
        <w:t> </w:t>
      </w:r>
      <w:r>
        <w:rPr>
          <w:color w:val="222222"/>
          <w:sz w:val="22"/>
        </w:rPr>
        <w:t>or</w:t>
      </w:r>
      <w:r>
        <w:rPr>
          <w:color w:val="222222"/>
          <w:spacing w:val="-3"/>
          <w:sz w:val="22"/>
        </w:rPr>
        <w:t> </w:t>
      </w:r>
      <w:r>
        <w:rPr>
          <w:color w:val="222222"/>
          <w:sz w:val="22"/>
        </w:rPr>
        <w:t>below</w:t>
      </w:r>
      <w:r>
        <w:rPr>
          <w:color w:val="222222"/>
          <w:spacing w:val="-6"/>
          <w:sz w:val="22"/>
        </w:rPr>
        <w:t> </w:t>
      </w:r>
      <w:r>
        <w:rPr>
          <w:color w:val="222222"/>
          <w:sz w:val="22"/>
        </w:rPr>
        <w:t>80%</w:t>
      </w:r>
      <w:r>
        <w:rPr>
          <w:color w:val="222222"/>
          <w:spacing w:val="-4"/>
          <w:sz w:val="22"/>
        </w:rPr>
        <w:t> </w:t>
      </w:r>
      <w:r>
        <w:rPr>
          <w:color w:val="222222"/>
          <w:sz w:val="22"/>
        </w:rPr>
        <w:t>Area</w:t>
      </w:r>
      <w:r>
        <w:rPr>
          <w:color w:val="222222"/>
          <w:spacing w:val="-6"/>
          <w:sz w:val="22"/>
        </w:rPr>
        <w:t> </w:t>
      </w:r>
      <w:r>
        <w:rPr>
          <w:color w:val="222222"/>
          <w:sz w:val="22"/>
        </w:rPr>
        <w:t>Median</w:t>
      </w:r>
      <w:r>
        <w:rPr>
          <w:color w:val="222222"/>
          <w:spacing w:val="-7"/>
          <w:sz w:val="22"/>
        </w:rPr>
        <w:t> </w:t>
      </w:r>
      <w:r>
        <w:rPr>
          <w:color w:val="222222"/>
          <w:sz w:val="22"/>
        </w:rPr>
        <w:t>Income</w:t>
      </w:r>
      <w:r>
        <w:rPr>
          <w:color w:val="222222"/>
          <w:spacing w:val="-7"/>
          <w:sz w:val="22"/>
        </w:rPr>
        <w:t> </w:t>
      </w:r>
      <w:r>
        <w:rPr>
          <w:color w:val="222222"/>
          <w:spacing w:val="-2"/>
          <w:sz w:val="22"/>
        </w:rPr>
        <w:t>(AMI)</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color w:val="222222"/>
          <w:sz w:val="22"/>
        </w:rPr>
        <w:t>Multi-family</w:t>
      </w:r>
      <w:r>
        <w:rPr>
          <w:color w:val="222222"/>
          <w:spacing w:val="-9"/>
          <w:sz w:val="22"/>
        </w:rPr>
        <w:t> </w:t>
      </w:r>
      <w:r>
        <w:rPr>
          <w:color w:val="222222"/>
          <w:sz w:val="22"/>
        </w:rPr>
        <w:t>property-owner</w:t>
      </w:r>
      <w:r>
        <w:rPr>
          <w:color w:val="222222"/>
          <w:spacing w:val="-5"/>
          <w:sz w:val="22"/>
        </w:rPr>
        <w:t> </w:t>
      </w:r>
      <w:r>
        <w:rPr>
          <w:color w:val="222222"/>
          <w:sz w:val="22"/>
        </w:rPr>
        <w:t>built</w:t>
      </w:r>
      <w:r>
        <w:rPr>
          <w:color w:val="222222"/>
          <w:spacing w:val="-6"/>
          <w:sz w:val="22"/>
        </w:rPr>
        <w:t> </w:t>
      </w:r>
      <w:r>
        <w:rPr>
          <w:color w:val="222222"/>
          <w:sz w:val="22"/>
        </w:rPr>
        <w:t>before</w:t>
      </w:r>
      <w:r>
        <w:rPr>
          <w:color w:val="222222"/>
          <w:spacing w:val="-9"/>
          <w:sz w:val="22"/>
        </w:rPr>
        <w:t> </w:t>
      </w:r>
      <w:r>
        <w:rPr>
          <w:color w:val="222222"/>
          <w:sz w:val="22"/>
        </w:rPr>
        <w:t>1978</w:t>
      </w:r>
      <w:r>
        <w:rPr>
          <w:color w:val="222222"/>
          <w:spacing w:val="-9"/>
          <w:sz w:val="22"/>
        </w:rPr>
        <w:t> </w:t>
      </w:r>
      <w:r>
        <w:rPr>
          <w:color w:val="222222"/>
          <w:sz w:val="22"/>
        </w:rPr>
        <w:t>within</w:t>
      </w:r>
      <w:r>
        <w:rPr>
          <w:color w:val="222222"/>
          <w:spacing w:val="-7"/>
          <w:sz w:val="22"/>
        </w:rPr>
        <w:t> </w:t>
      </w:r>
      <w:r>
        <w:rPr>
          <w:color w:val="222222"/>
          <w:sz w:val="22"/>
        </w:rPr>
        <w:t>Dallas</w:t>
      </w:r>
      <w:r>
        <w:rPr>
          <w:color w:val="222222"/>
          <w:spacing w:val="-6"/>
          <w:sz w:val="22"/>
        </w:rPr>
        <w:t> </w:t>
      </w:r>
      <w:r>
        <w:rPr>
          <w:color w:val="222222"/>
          <w:sz w:val="22"/>
        </w:rPr>
        <w:t>City</w:t>
      </w:r>
      <w:r>
        <w:rPr>
          <w:color w:val="222222"/>
          <w:spacing w:val="-6"/>
          <w:sz w:val="22"/>
        </w:rPr>
        <w:t> </w:t>
      </w:r>
      <w:r>
        <w:rPr>
          <w:color w:val="222222"/>
          <w:spacing w:val="-2"/>
          <w:sz w:val="22"/>
        </w:rPr>
        <w:t>Limits</w:t>
      </w:r>
    </w:p>
    <w:p>
      <w:pPr>
        <w:pStyle w:val="BodyText"/>
        <w:spacing w:before="9"/>
        <w:rPr>
          <w:sz w:val="30"/>
        </w:rPr>
      </w:pPr>
    </w:p>
    <w:p>
      <w:pPr>
        <w:pStyle w:val="Heading5"/>
        <w:jc w:val="left"/>
      </w:pPr>
      <w:r>
        <w:rPr/>
        <w:t>Required</w:t>
      </w:r>
      <w:r>
        <w:rPr>
          <w:spacing w:val="-7"/>
        </w:rPr>
        <w:t> </w:t>
      </w:r>
      <w:r>
        <w:rPr/>
        <w:t>Supporting</w:t>
      </w:r>
      <w:r>
        <w:rPr>
          <w:spacing w:val="-8"/>
        </w:rPr>
        <w:t> </w:t>
      </w:r>
      <w:r>
        <w:rPr>
          <w:spacing w:val="-2"/>
        </w:rPr>
        <w:t>Information:</w:t>
      </w:r>
    </w:p>
    <w:p>
      <w:pPr>
        <w:pStyle w:val="BodyText"/>
        <w:spacing w:before="49"/>
        <w:ind w:left="120"/>
      </w:pPr>
      <w:r>
        <w:rPr>
          <w:u w:val="single"/>
        </w:rPr>
        <w:t>Homeowner(s)</w:t>
      </w:r>
      <w:r>
        <w:rPr>
          <w:spacing w:val="-7"/>
          <w:u w:val="single"/>
        </w:rPr>
        <w:t> </w:t>
      </w:r>
      <w:r>
        <w:rPr>
          <w:u w:val="single"/>
        </w:rPr>
        <w:t>or</w:t>
      </w:r>
      <w:r>
        <w:rPr>
          <w:spacing w:val="-5"/>
          <w:u w:val="single"/>
        </w:rPr>
        <w:t> </w:t>
      </w:r>
      <w:r>
        <w:rPr>
          <w:u w:val="single"/>
        </w:rPr>
        <w:t>property</w:t>
      </w:r>
      <w:r>
        <w:rPr>
          <w:spacing w:val="-5"/>
          <w:u w:val="single"/>
        </w:rPr>
        <w:t> </w:t>
      </w:r>
      <w:r>
        <w:rPr>
          <w:u w:val="single"/>
        </w:rPr>
        <w:t>owners</w:t>
      </w:r>
      <w:r>
        <w:rPr>
          <w:spacing w:val="-8"/>
          <w:u w:val="single"/>
        </w:rPr>
        <w:t> </w:t>
      </w:r>
      <w:r>
        <w:rPr>
          <w:u w:val="single"/>
        </w:rPr>
        <w:t>must</w:t>
      </w:r>
      <w:r>
        <w:rPr>
          <w:spacing w:val="-4"/>
          <w:u w:val="single"/>
        </w:rPr>
        <w:t> </w:t>
      </w:r>
      <w:r>
        <w:rPr>
          <w:spacing w:val="-2"/>
          <w:u w:val="single"/>
        </w:rPr>
        <w:t>supply:</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Application</w:t>
      </w:r>
      <w:r>
        <w:rPr>
          <w:spacing w:val="-5"/>
          <w:sz w:val="22"/>
        </w:rPr>
        <w:t> </w:t>
      </w:r>
      <w:r>
        <w:rPr>
          <w:sz w:val="22"/>
        </w:rPr>
        <w:t>form</w:t>
      </w:r>
      <w:r>
        <w:rPr>
          <w:spacing w:val="-5"/>
          <w:sz w:val="22"/>
        </w:rPr>
        <w:t> </w:t>
      </w:r>
      <w:r>
        <w:rPr>
          <w:sz w:val="22"/>
        </w:rPr>
        <w:t>fully</w:t>
      </w:r>
      <w:r>
        <w:rPr>
          <w:spacing w:val="-3"/>
          <w:sz w:val="22"/>
        </w:rPr>
        <w:t> </w:t>
      </w:r>
      <w:r>
        <w:rPr>
          <w:sz w:val="22"/>
        </w:rPr>
        <w:t>filled-out</w:t>
      </w:r>
      <w:r>
        <w:rPr>
          <w:spacing w:val="-5"/>
          <w:sz w:val="22"/>
        </w:rPr>
        <w:t> </w:t>
      </w:r>
      <w:r>
        <w:rPr>
          <w:sz w:val="22"/>
        </w:rPr>
        <w:t>and</w:t>
      </w:r>
      <w:r>
        <w:rPr>
          <w:spacing w:val="-4"/>
          <w:sz w:val="22"/>
        </w:rPr>
        <w:t> </w:t>
      </w:r>
      <w:r>
        <w:rPr>
          <w:sz w:val="22"/>
        </w:rPr>
        <w:t>signed</w:t>
      </w:r>
      <w:r>
        <w:rPr>
          <w:spacing w:val="-6"/>
          <w:sz w:val="22"/>
        </w:rPr>
        <w:t> </w:t>
      </w:r>
      <w:r>
        <w:rPr>
          <w:sz w:val="22"/>
        </w:rPr>
        <w:t>by</w:t>
      </w:r>
      <w:r>
        <w:rPr>
          <w:spacing w:val="-6"/>
          <w:sz w:val="22"/>
        </w:rPr>
        <w:t> </w:t>
      </w:r>
      <w:r>
        <w:rPr>
          <w:sz w:val="22"/>
        </w:rPr>
        <w:t>the</w:t>
      </w:r>
      <w:r>
        <w:rPr>
          <w:spacing w:val="-6"/>
          <w:sz w:val="22"/>
        </w:rPr>
        <w:t> </w:t>
      </w:r>
      <w:r>
        <w:rPr>
          <w:spacing w:val="-2"/>
          <w:sz w:val="22"/>
        </w:rPr>
        <w:t>homeowner</w:t>
      </w:r>
    </w:p>
    <w:p>
      <w:pPr>
        <w:pStyle w:val="ListParagraph"/>
        <w:numPr>
          <w:ilvl w:val="1"/>
          <w:numId w:val="16"/>
        </w:numPr>
        <w:tabs>
          <w:tab w:pos="839" w:val="left" w:leader="none"/>
          <w:tab w:pos="840" w:val="left" w:leader="none"/>
        </w:tabs>
        <w:spacing w:line="240" w:lineRule="auto" w:before="50" w:after="0"/>
        <w:ind w:left="840" w:right="0" w:hanging="360"/>
        <w:jc w:val="left"/>
        <w:rPr>
          <w:rFonts w:ascii="Symbol" w:hAnsi="Symbol"/>
          <w:sz w:val="20"/>
        </w:rPr>
      </w:pPr>
      <w:r>
        <w:rPr>
          <w:sz w:val="22"/>
        </w:rPr>
        <w:t>Current</w:t>
      </w:r>
      <w:r>
        <w:rPr>
          <w:spacing w:val="-8"/>
          <w:sz w:val="22"/>
        </w:rPr>
        <w:t> </w:t>
      </w:r>
      <w:r>
        <w:rPr>
          <w:sz w:val="22"/>
        </w:rPr>
        <w:t>mortgage</w:t>
      </w:r>
      <w:r>
        <w:rPr>
          <w:spacing w:val="-6"/>
          <w:sz w:val="22"/>
        </w:rPr>
        <w:t> </w:t>
      </w:r>
      <w:r>
        <w:rPr>
          <w:sz w:val="22"/>
        </w:rPr>
        <w:t>statement</w:t>
      </w:r>
      <w:r>
        <w:rPr>
          <w:spacing w:val="-7"/>
          <w:sz w:val="22"/>
        </w:rPr>
        <w:t> </w:t>
      </w:r>
      <w:r>
        <w:rPr>
          <w:sz w:val="22"/>
        </w:rPr>
        <w:t>(if</w:t>
      </w:r>
      <w:r>
        <w:rPr>
          <w:spacing w:val="-4"/>
          <w:sz w:val="22"/>
        </w:rPr>
        <w:t> </w:t>
      </w:r>
      <w:r>
        <w:rPr>
          <w:spacing w:val="-2"/>
          <w:sz w:val="22"/>
        </w:rPr>
        <w:t>applicable)</w:t>
      </w:r>
    </w:p>
    <w:p>
      <w:pPr>
        <w:pStyle w:val="ListParagraph"/>
        <w:numPr>
          <w:ilvl w:val="1"/>
          <w:numId w:val="16"/>
        </w:numPr>
        <w:tabs>
          <w:tab w:pos="839" w:val="left" w:leader="none"/>
          <w:tab w:pos="840" w:val="left" w:leader="none"/>
        </w:tabs>
        <w:spacing w:line="240" w:lineRule="auto" w:before="51" w:after="0"/>
        <w:ind w:left="840" w:right="0" w:hanging="360"/>
        <w:jc w:val="left"/>
        <w:rPr>
          <w:rFonts w:ascii="Symbol" w:hAnsi="Symbol"/>
          <w:sz w:val="20"/>
        </w:rPr>
      </w:pPr>
      <w:r>
        <w:rPr>
          <w:sz w:val="22"/>
        </w:rPr>
        <w:t>Copy</w:t>
      </w:r>
      <w:r>
        <w:rPr>
          <w:spacing w:val="-3"/>
          <w:sz w:val="22"/>
        </w:rPr>
        <w:t> </w:t>
      </w:r>
      <w:r>
        <w:rPr>
          <w:sz w:val="22"/>
        </w:rPr>
        <w:t>of</w:t>
      </w:r>
      <w:r>
        <w:rPr>
          <w:spacing w:val="-4"/>
          <w:sz w:val="22"/>
        </w:rPr>
        <w:t> </w:t>
      </w:r>
      <w:r>
        <w:rPr>
          <w:sz w:val="22"/>
        </w:rPr>
        <w:t>property</w:t>
      </w:r>
      <w:r>
        <w:rPr>
          <w:spacing w:val="-5"/>
          <w:sz w:val="22"/>
        </w:rPr>
        <w:t> </w:t>
      </w:r>
      <w:r>
        <w:rPr>
          <w:spacing w:val="-4"/>
          <w:sz w:val="22"/>
        </w:rPr>
        <w:t>deed</w:t>
      </w:r>
    </w:p>
    <w:p>
      <w:pPr>
        <w:pStyle w:val="BodyText"/>
        <w:spacing w:before="9"/>
        <w:rPr>
          <w:sz w:val="30"/>
        </w:rPr>
      </w:pPr>
    </w:p>
    <w:p>
      <w:pPr>
        <w:pStyle w:val="BodyText"/>
        <w:ind w:left="120"/>
      </w:pPr>
      <w:r>
        <w:rPr>
          <w:u w:val="single"/>
        </w:rPr>
        <w:t>All</w:t>
      </w:r>
      <w:r>
        <w:rPr>
          <w:spacing w:val="-5"/>
          <w:u w:val="single"/>
        </w:rPr>
        <w:t> </w:t>
      </w:r>
      <w:r>
        <w:rPr>
          <w:u w:val="single"/>
        </w:rPr>
        <w:t>household</w:t>
      </w:r>
      <w:r>
        <w:rPr>
          <w:spacing w:val="-4"/>
          <w:u w:val="single"/>
        </w:rPr>
        <w:t> </w:t>
      </w:r>
      <w:r>
        <w:rPr>
          <w:u w:val="single"/>
        </w:rPr>
        <w:t>members</w:t>
      </w:r>
      <w:r>
        <w:rPr>
          <w:spacing w:val="-6"/>
          <w:u w:val="single"/>
        </w:rPr>
        <w:t> </w:t>
      </w:r>
      <w:r>
        <w:rPr>
          <w:u w:val="single"/>
        </w:rPr>
        <w:t>or</w:t>
      </w:r>
      <w:r>
        <w:rPr>
          <w:spacing w:val="-5"/>
          <w:u w:val="single"/>
        </w:rPr>
        <w:t> </w:t>
      </w:r>
      <w:r>
        <w:rPr>
          <w:u w:val="single"/>
        </w:rPr>
        <w:t>tenants</w:t>
      </w:r>
      <w:r>
        <w:rPr>
          <w:spacing w:val="-5"/>
          <w:u w:val="single"/>
        </w:rPr>
        <w:t> </w:t>
      </w:r>
      <w:r>
        <w:rPr>
          <w:u w:val="single"/>
        </w:rPr>
        <w:t>must</w:t>
      </w:r>
      <w:r>
        <w:rPr>
          <w:spacing w:val="-4"/>
          <w:u w:val="single"/>
        </w:rPr>
        <w:t> </w:t>
      </w:r>
      <w:r>
        <w:rPr>
          <w:spacing w:val="-2"/>
          <w:u w:val="single"/>
        </w:rPr>
        <w:t>supply:</w:t>
      </w:r>
    </w:p>
    <w:p>
      <w:pPr>
        <w:pStyle w:val="ListParagraph"/>
        <w:numPr>
          <w:ilvl w:val="1"/>
          <w:numId w:val="16"/>
        </w:numPr>
        <w:tabs>
          <w:tab w:pos="839" w:val="left" w:leader="none"/>
          <w:tab w:pos="840" w:val="left" w:leader="none"/>
        </w:tabs>
        <w:spacing w:line="240" w:lineRule="auto" w:before="50" w:after="0"/>
        <w:ind w:left="840" w:right="0" w:hanging="360"/>
        <w:jc w:val="left"/>
        <w:rPr>
          <w:rFonts w:ascii="Symbol" w:hAnsi="Symbol"/>
          <w:sz w:val="20"/>
        </w:rPr>
      </w:pPr>
      <w:r>
        <w:rPr>
          <w:sz w:val="22"/>
        </w:rPr>
        <w:t>Driver’s</w:t>
      </w:r>
      <w:r>
        <w:rPr>
          <w:spacing w:val="-4"/>
          <w:sz w:val="22"/>
        </w:rPr>
        <w:t> </w:t>
      </w:r>
      <w:r>
        <w:rPr>
          <w:sz w:val="22"/>
        </w:rPr>
        <w:t>license</w:t>
      </w:r>
      <w:r>
        <w:rPr>
          <w:spacing w:val="-4"/>
          <w:sz w:val="22"/>
        </w:rPr>
        <w:t> </w:t>
      </w:r>
      <w:r>
        <w:rPr>
          <w:sz w:val="22"/>
        </w:rPr>
        <w:t>or</w:t>
      </w:r>
      <w:r>
        <w:rPr>
          <w:spacing w:val="-3"/>
          <w:sz w:val="22"/>
        </w:rPr>
        <w:t> </w:t>
      </w:r>
      <w:r>
        <w:rPr>
          <w:sz w:val="22"/>
        </w:rPr>
        <w:t>state</w:t>
      </w:r>
      <w:r>
        <w:rPr>
          <w:spacing w:val="-6"/>
          <w:sz w:val="22"/>
        </w:rPr>
        <w:t> </w:t>
      </w:r>
      <w:r>
        <w:rPr>
          <w:sz w:val="22"/>
        </w:rPr>
        <w:t>identification</w:t>
      </w:r>
      <w:r>
        <w:rPr>
          <w:spacing w:val="-4"/>
          <w:sz w:val="22"/>
        </w:rPr>
        <w:t> </w:t>
      </w:r>
      <w:r>
        <w:rPr>
          <w:sz w:val="22"/>
        </w:rPr>
        <w:t>card</w:t>
      </w:r>
      <w:r>
        <w:rPr>
          <w:spacing w:val="-6"/>
          <w:sz w:val="22"/>
        </w:rPr>
        <w:t> </w:t>
      </w:r>
      <w:r>
        <w:rPr>
          <w:sz w:val="22"/>
        </w:rPr>
        <w:t>for</w:t>
      </w:r>
      <w:r>
        <w:rPr>
          <w:spacing w:val="-5"/>
          <w:sz w:val="22"/>
        </w:rPr>
        <w:t> </w:t>
      </w:r>
      <w:r>
        <w:rPr>
          <w:sz w:val="22"/>
        </w:rPr>
        <w:t>18</w:t>
      </w:r>
      <w:r>
        <w:rPr>
          <w:spacing w:val="-8"/>
          <w:sz w:val="22"/>
        </w:rPr>
        <w:t> </w:t>
      </w:r>
      <w:r>
        <w:rPr>
          <w:sz w:val="22"/>
        </w:rPr>
        <w:t>and</w:t>
      </w:r>
      <w:r>
        <w:rPr>
          <w:spacing w:val="-4"/>
          <w:sz w:val="22"/>
        </w:rPr>
        <w:t> over</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Birth</w:t>
      </w:r>
      <w:r>
        <w:rPr>
          <w:spacing w:val="-3"/>
          <w:sz w:val="22"/>
        </w:rPr>
        <w:t> </w:t>
      </w:r>
      <w:r>
        <w:rPr>
          <w:sz w:val="22"/>
        </w:rPr>
        <w:t>certificate</w:t>
      </w:r>
      <w:r>
        <w:rPr>
          <w:spacing w:val="-5"/>
          <w:sz w:val="22"/>
        </w:rPr>
        <w:t> </w:t>
      </w:r>
      <w:r>
        <w:rPr>
          <w:sz w:val="22"/>
        </w:rPr>
        <w:t>for</w:t>
      </w:r>
      <w:r>
        <w:rPr>
          <w:spacing w:val="-4"/>
          <w:sz w:val="22"/>
        </w:rPr>
        <w:t> </w:t>
      </w:r>
      <w:r>
        <w:rPr>
          <w:sz w:val="22"/>
        </w:rPr>
        <w:t>17</w:t>
      </w:r>
      <w:r>
        <w:rPr>
          <w:spacing w:val="-3"/>
          <w:sz w:val="22"/>
        </w:rPr>
        <w:t> </w:t>
      </w:r>
      <w:r>
        <w:rPr>
          <w:sz w:val="22"/>
        </w:rPr>
        <w:t>and</w:t>
      </w:r>
      <w:r>
        <w:rPr>
          <w:spacing w:val="-2"/>
          <w:sz w:val="22"/>
        </w:rPr>
        <w:t> under</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Social</w:t>
      </w:r>
      <w:r>
        <w:rPr>
          <w:spacing w:val="-5"/>
          <w:sz w:val="22"/>
        </w:rPr>
        <w:t> </w:t>
      </w:r>
      <w:r>
        <w:rPr>
          <w:sz w:val="22"/>
        </w:rPr>
        <w:t>security</w:t>
      </w:r>
      <w:r>
        <w:rPr>
          <w:spacing w:val="-6"/>
          <w:sz w:val="22"/>
        </w:rPr>
        <w:t> </w:t>
      </w:r>
      <w:r>
        <w:rPr>
          <w:sz w:val="22"/>
        </w:rPr>
        <w:t>card</w:t>
      </w:r>
      <w:r>
        <w:rPr>
          <w:spacing w:val="-7"/>
          <w:sz w:val="22"/>
        </w:rPr>
        <w:t> </w:t>
      </w:r>
      <w:r>
        <w:rPr>
          <w:sz w:val="22"/>
        </w:rPr>
        <w:t>for</w:t>
      </w:r>
      <w:r>
        <w:rPr>
          <w:spacing w:val="-2"/>
          <w:sz w:val="22"/>
        </w:rPr>
        <w:t> </w:t>
      </w:r>
      <w:r>
        <w:rPr>
          <w:sz w:val="22"/>
        </w:rPr>
        <w:t>all</w:t>
      </w:r>
      <w:r>
        <w:rPr>
          <w:spacing w:val="-5"/>
          <w:sz w:val="22"/>
        </w:rPr>
        <w:t> </w:t>
      </w:r>
      <w:r>
        <w:rPr>
          <w:sz w:val="22"/>
        </w:rPr>
        <w:t>household</w:t>
      </w:r>
      <w:r>
        <w:rPr>
          <w:spacing w:val="-4"/>
          <w:sz w:val="22"/>
        </w:rPr>
        <w:t> </w:t>
      </w:r>
      <w:r>
        <w:rPr>
          <w:spacing w:val="-2"/>
          <w:sz w:val="22"/>
        </w:rPr>
        <w:t>members</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Divorce</w:t>
      </w:r>
      <w:r>
        <w:rPr>
          <w:spacing w:val="-4"/>
          <w:sz w:val="22"/>
        </w:rPr>
        <w:t> </w:t>
      </w:r>
      <w:r>
        <w:rPr>
          <w:sz w:val="22"/>
        </w:rPr>
        <w:t>decree</w:t>
      </w:r>
      <w:r>
        <w:rPr>
          <w:spacing w:val="-6"/>
          <w:sz w:val="22"/>
        </w:rPr>
        <w:t> </w:t>
      </w:r>
      <w:r>
        <w:rPr>
          <w:sz w:val="22"/>
        </w:rPr>
        <w:t>or</w:t>
      </w:r>
      <w:r>
        <w:rPr>
          <w:spacing w:val="-2"/>
          <w:sz w:val="22"/>
        </w:rPr>
        <w:t> </w:t>
      </w:r>
      <w:r>
        <w:rPr>
          <w:sz w:val="22"/>
        </w:rPr>
        <w:t>death</w:t>
      </w:r>
      <w:r>
        <w:rPr>
          <w:spacing w:val="-6"/>
          <w:sz w:val="22"/>
        </w:rPr>
        <w:t> </w:t>
      </w:r>
      <w:r>
        <w:rPr>
          <w:sz w:val="22"/>
        </w:rPr>
        <w:t>certificate</w:t>
      </w:r>
      <w:r>
        <w:rPr>
          <w:spacing w:val="-6"/>
          <w:sz w:val="22"/>
        </w:rPr>
        <w:t> </w:t>
      </w:r>
      <w:r>
        <w:rPr>
          <w:sz w:val="22"/>
        </w:rPr>
        <w:t>(if</w:t>
      </w:r>
      <w:r>
        <w:rPr>
          <w:spacing w:val="-1"/>
          <w:sz w:val="22"/>
        </w:rPr>
        <w:t> </w:t>
      </w:r>
      <w:r>
        <w:rPr>
          <w:spacing w:val="-2"/>
          <w:sz w:val="22"/>
        </w:rPr>
        <w:t>applicable)</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One</w:t>
      </w:r>
      <w:r>
        <w:rPr>
          <w:spacing w:val="-9"/>
          <w:sz w:val="22"/>
        </w:rPr>
        <w:t> </w:t>
      </w:r>
      <w:r>
        <w:rPr>
          <w:sz w:val="22"/>
        </w:rPr>
        <w:t>(1)</w:t>
      </w:r>
      <w:r>
        <w:rPr>
          <w:spacing w:val="-5"/>
          <w:sz w:val="22"/>
        </w:rPr>
        <w:t> </w:t>
      </w:r>
      <w:r>
        <w:rPr>
          <w:sz w:val="22"/>
        </w:rPr>
        <w:t>most</w:t>
      </w:r>
      <w:r>
        <w:rPr>
          <w:spacing w:val="-5"/>
          <w:sz w:val="22"/>
        </w:rPr>
        <w:t> </w:t>
      </w:r>
      <w:r>
        <w:rPr>
          <w:sz w:val="22"/>
        </w:rPr>
        <w:t>recent</w:t>
      </w:r>
      <w:r>
        <w:rPr>
          <w:spacing w:val="-5"/>
          <w:sz w:val="22"/>
        </w:rPr>
        <w:t> </w:t>
      </w:r>
      <w:r>
        <w:rPr>
          <w:sz w:val="22"/>
        </w:rPr>
        <w:t>checking/saving</w:t>
      </w:r>
      <w:r>
        <w:rPr>
          <w:spacing w:val="-5"/>
          <w:sz w:val="22"/>
        </w:rPr>
        <w:t> </w:t>
      </w:r>
      <w:r>
        <w:rPr>
          <w:sz w:val="22"/>
        </w:rPr>
        <w:t>bank</w:t>
      </w:r>
      <w:r>
        <w:rPr>
          <w:spacing w:val="-6"/>
          <w:sz w:val="22"/>
        </w:rPr>
        <w:t> </w:t>
      </w:r>
      <w:r>
        <w:rPr>
          <w:sz w:val="22"/>
        </w:rPr>
        <w:t>statements,</w:t>
      </w:r>
      <w:r>
        <w:rPr>
          <w:spacing w:val="-3"/>
          <w:sz w:val="22"/>
        </w:rPr>
        <w:t> </w:t>
      </w:r>
      <w:r>
        <w:rPr>
          <w:sz w:val="22"/>
        </w:rPr>
        <w:t>ALL</w:t>
      </w:r>
      <w:r>
        <w:rPr>
          <w:spacing w:val="-6"/>
          <w:sz w:val="22"/>
        </w:rPr>
        <w:t> </w:t>
      </w:r>
      <w:r>
        <w:rPr>
          <w:sz w:val="22"/>
        </w:rPr>
        <w:t>pages</w:t>
      </w:r>
      <w:r>
        <w:rPr>
          <w:spacing w:val="-6"/>
          <w:sz w:val="22"/>
        </w:rPr>
        <w:t> </w:t>
      </w:r>
      <w:r>
        <w:rPr>
          <w:sz w:val="22"/>
        </w:rPr>
        <w:t>for</w:t>
      </w:r>
      <w:r>
        <w:rPr>
          <w:spacing w:val="-3"/>
          <w:sz w:val="22"/>
        </w:rPr>
        <w:t> </w:t>
      </w:r>
      <w:r>
        <w:rPr>
          <w:sz w:val="22"/>
        </w:rPr>
        <w:t>each</w:t>
      </w:r>
      <w:r>
        <w:rPr>
          <w:spacing w:val="-4"/>
          <w:sz w:val="22"/>
        </w:rPr>
        <w:t> </w:t>
      </w:r>
      <w:r>
        <w:rPr>
          <w:spacing w:val="-2"/>
          <w:sz w:val="22"/>
        </w:rPr>
        <w:t>account</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One</w:t>
      </w:r>
      <w:r>
        <w:rPr>
          <w:spacing w:val="-8"/>
          <w:sz w:val="22"/>
        </w:rPr>
        <w:t> </w:t>
      </w:r>
      <w:r>
        <w:rPr>
          <w:sz w:val="22"/>
        </w:rPr>
        <w:t>(1)</w:t>
      </w:r>
      <w:r>
        <w:rPr>
          <w:spacing w:val="-4"/>
          <w:sz w:val="22"/>
        </w:rPr>
        <w:t> </w:t>
      </w:r>
      <w:r>
        <w:rPr>
          <w:sz w:val="22"/>
        </w:rPr>
        <w:t>month</w:t>
      </w:r>
      <w:r>
        <w:rPr>
          <w:spacing w:val="-4"/>
          <w:sz w:val="22"/>
        </w:rPr>
        <w:t> </w:t>
      </w:r>
      <w:r>
        <w:rPr>
          <w:sz w:val="22"/>
        </w:rPr>
        <w:t>of</w:t>
      </w:r>
      <w:r>
        <w:rPr>
          <w:spacing w:val="-3"/>
          <w:sz w:val="22"/>
        </w:rPr>
        <w:t> </w:t>
      </w:r>
      <w:r>
        <w:rPr>
          <w:sz w:val="22"/>
        </w:rPr>
        <w:t>most</w:t>
      </w:r>
      <w:r>
        <w:rPr>
          <w:spacing w:val="-5"/>
          <w:sz w:val="22"/>
        </w:rPr>
        <w:t> </w:t>
      </w:r>
      <w:r>
        <w:rPr>
          <w:sz w:val="22"/>
        </w:rPr>
        <w:t>recent</w:t>
      </w:r>
      <w:r>
        <w:rPr>
          <w:spacing w:val="-2"/>
          <w:sz w:val="22"/>
        </w:rPr>
        <w:t> </w:t>
      </w:r>
      <w:r>
        <w:rPr>
          <w:sz w:val="22"/>
        </w:rPr>
        <w:t>paycheck</w:t>
      </w:r>
      <w:r>
        <w:rPr>
          <w:spacing w:val="-5"/>
          <w:sz w:val="22"/>
        </w:rPr>
        <w:t> </w:t>
      </w:r>
      <w:r>
        <w:rPr>
          <w:sz w:val="22"/>
        </w:rPr>
        <w:t>stubs</w:t>
      </w:r>
      <w:r>
        <w:rPr>
          <w:spacing w:val="-5"/>
          <w:sz w:val="22"/>
        </w:rPr>
        <w:t> </w:t>
      </w:r>
      <w:r>
        <w:rPr>
          <w:sz w:val="22"/>
        </w:rPr>
        <w:t>(all</w:t>
      </w:r>
      <w:r>
        <w:rPr>
          <w:spacing w:val="-4"/>
          <w:sz w:val="22"/>
        </w:rPr>
        <w:t> </w:t>
      </w:r>
      <w:r>
        <w:rPr>
          <w:sz w:val="22"/>
        </w:rPr>
        <w:t>wage</w:t>
      </w:r>
      <w:r>
        <w:rPr>
          <w:spacing w:val="-3"/>
          <w:sz w:val="22"/>
        </w:rPr>
        <w:t> </w:t>
      </w:r>
      <w:r>
        <w:rPr>
          <w:spacing w:val="-2"/>
          <w:sz w:val="22"/>
        </w:rPr>
        <w:t>earners)</w:t>
      </w:r>
    </w:p>
    <w:p>
      <w:pPr>
        <w:pStyle w:val="ListParagraph"/>
        <w:numPr>
          <w:ilvl w:val="1"/>
          <w:numId w:val="16"/>
        </w:numPr>
        <w:tabs>
          <w:tab w:pos="839" w:val="left" w:leader="none"/>
          <w:tab w:pos="840" w:val="left" w:leader="none"/>
        </w:tabs>
        <w:spacing w:line="240" w:lineRule="auto" w:before="50" w:after="0"/>
        <w:ind w:left="840" w:right="0" w:hanging="360"/>
        <w:jc w:val="left"/>
        <w:rPr>
          <w:rFonts w:ascii="Symbol" w:hAnsi="Symbol"/>
          <w:sz w:val="20"/>
        </w:rPr>
      </w:pPr>
      <w:r>
        <w:rPr>
          <w:sz w:val="22"/>
        </w:rPr>
        <w:t>Two</w:t>
      </w:r>
      <w:r>
        <w:rPr>
          <w:spacing w:val="-7"/>
          <w:sz w:val="22"/>
        </w:rPr>
        <w:t> </w:t>
      </w:r>
      <w:r>
        <w:rPr>
          <w:sz w:val="22"/>
        </w:rPr>
        <w:t>(2)</w:t>
      </w:r>
      <w:r>
        <w:rPr>
          <w:spacing w:val="-6"/>
          <w:sz w:val="22"/>
        </w:rPr>
        <w:t> </w:t>
      </w:r>
      <w:r>
        <w:rPr>
          <w:sz w:val="22"/>
        </w:rPr>
        <w:t>years</w:t>
      </w:r>
      <w:r>
        <w:rPr>
          <w:spacing w:val="-3"/>
          <w:sz w:val="22"/>
        </w:rPr>
        <w:t> </w:t>
      </w:r>
      <w:r>
        <w:rPr>
          <w:sz w:val="22"/>
        </w:rPr>
        <w:t>of</w:t>
      </w:r>
      <w:r>
        <w:rPr>
          <w:spacing w:val="-6"/>
          <w:sz w:val="22"/>
        </w:rPr>
        <w:t> </w:t>
      </w:r>
      <w:r>
        <w:rPr>
          <w:sz w:val="22"/>
        </w:rPr>
        <w:t>most</w:t>
      </w:r>
      <w:r>
        <w:rPr>
          <w:spacing w:val="-6"/>
          <w:sz w:val="22"/>
        </w:rPr>
        <w:t> </w:t>
      </w:r>
      <w:r>
        <w:rPr>
          <w:sz w:val="22"/>
        </w:rPr>
        <w:t>recent</w:t>
      </w:r>
      <w:r>
        <w:rPr>
          <w:spacing w:val="-2"/>
          <w:sz w:val="22"/>
        </w:rPr>
        <w:t> </w:t>
      </w:r>
      <w:r>
        <w:rPr>
          <w:sz w:val="22"/>
        </w:rPr>
        <w:t>Self-Employed</w:t>
      </w:r>
      <w:r>
        <w:rPr>
          <w:spacing w:val="-7"/>
          <w:sz w:val="22"/>
        </w:rPr>
        <w:t> </w:t>
      </w:r>
      <w:r>
        <w:rPr>
          <w:sz w:val="22"/>
        </w:rPr>
        <w:t>Federal</w:t>
      </w:r>
      <w:r>
        <w:rPr>
          <w:spacing w:val="-4"/>
          <w:sz w:val="22"/>
        </w:rPr>
        <w:t> </w:t>
      </w:r>
      <w:r>
        <w:rPr>
          <w:sz w:val="22"/>
        </w:rPr>
        <w:t>Tax</w:t>
      </w:r>
      <w:r>
        <w:rPr>
          <w:spacing w:val="-4"/>
          <w:sz w:val="22"/>
        </w:rPr>
        <w:t> </w:t>
      </w:r>
      <w:r>
        <w:rPr>
          <w:sz w:val="22"/>
        </w:rPr>
        <w:t>Returns</w:t>
      </w:r>
      <w:r>
        <w:rPr>
          <w:spacing w:val="-7"/>
          <w:sz w:val="22"/>
        </w:rPr>
        <w:t> </w:t>
      </w:r>
      <w:r>
        <w:rPr>
          <w:sz w:val="22"/>
        </w:rPr>
        <w:t>(if</w:t>
      </w:r>
      <w:r>
        <w:rPr>
          <w:spacing w:val="-2"/>
          <w:sz w:val="22"/>
        </w:rPr>
        <w:t> applicable)</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Current</w:t>
      </w:r>
      <w:r>
        <w:rPr>
          <w:spacing w:val="-10"/>
          <w:sz w:val="22"/>
        </w:rPr>
        <w:t> </w:t>
      </w:r>
      <w:r>
        <w:rPr>
          <w:sz w:val="22"/>
        </w:rPr>
        <w:t>Social</w:t>
      </w:r>
      <w:r>
        <w:rPr>
          <w:spacing w:val="-9"/>
          <w:sz w:val="22"/>
        </w:rPr>
        <w:t> </w:t>
      </w:r>
      <w:r>
        <w:rPr>
          <w:sz w:val="22"/>
        </w:rPr>
        <w:t>Security/Disability</w:t>
      </w:r>
      <w:r>
        <w:rPr>
          <w:spacing w:val="-8"/>
          <w:sz w:val="22"/>
        </w:rPr>
        <w:t> </w:t>
      </w:r>
      <w:r>
        <w:rPr>
          <w:sz w:val="22"/>
        </w:rPr>
        <w:t>Award</w:t>
      </w:r>
      <w:r>
        <w:rPr>
          <w:spacing w:val="-9"/>
          <w:sz w:val="22"/>
        </w:rPr>
        <w:t> </w:t>
      </w:r>
      <w:r>
        <w:rPr>
          <w:spacing w:val="-2"/>
          <w:sz w:val="22"/>
        </w:rPr>
        <w:t>Letter</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Current</w:t>
      </w:r>
      <w:r>
        <w:rPr>
          <w:spacing w:val="-11"/>
          <w:sz w:val="22"/>
        </w:rPr>
        <w:t> </w:t>
      </w:r>
      <w:r>
        <w:rPr>
          <w:sz w:val="22"/>
        </w:rPr>
        <w:t>pension/annuity</w:t>
      </w:r>
      <w:r>
        <w:rPr>
          <w:spacing w:val="-9"/>
          <w:sz w:val="22"/>
        </w:rPr>
        <w:t> </w:t>
      </w:r>
      <w:r>
        <w:rPr>
          <w:spacing w:val="-2"/>
          <w:sz w:val="22"/>
        </w:rPr>
        <w:t>letter</w:t>
      </w:r>
    </w:p>
    <w:p>
      <w:pPr>
        <w:pStyle w:val="ListParagraph"/>
        <w:numPr>
          <w:ilvl w:val="1"/>
          <w:numId w:val="16"/>
        </w:numPr>
        <w:tabs>
          <w:tab w:pos="839" w:val="left" w:leader="none"/>
          <w:tab w:pos="840" w:val="left" w:leader="none"/>
        </w:tabs>
        <w:spacing w:line="288" w:lineRule="auto" w:before="52" w:after="0"/>
        <w:ind w:left="840" w:right="160" w:hanging="360"/>
        <w:jc w:val="left"/>
        <w:rPr>
          <w:rFonts w:ascii="Symbol" w:hAnsi="Symbol"/>
          <w:sz w:val="20"/>
        </w:rPr>
      </w:pPr>
      <w:r>
        <w:rPr>
          <w:sz w:val="22"/>
        </w:rPr>
        <w:t>School registration (for children attending college who reside in the home when not</w:t>
      </w:r>
      <w:r>
        <w:rPr>
          <w:spacing w:val="25"/>
          <w:sz w:val="22"/>
        </w:rPr>
        <w:t> </w:t>
      </w:r>
      <w:r>
        <w:rPr>
          <w:sz w:val="22"/>
        </w:rPr>
        <w:t>at</w:t>
      </w:r>
      <w:r>
        <w:rPr>
          <w:spacing w:val="80"/>
          <w:sz w:val="22"/>
        </w:rPr>
        <w:t> </w:t>
      </w:r>
      <w:r>
        <w:rPr>
          <w:spacing w:val="-2"/>
          <w:sz w:val="22"/>
        </w:rPr>
        <w:t>school)</w:t>
      </w:r>
    </w:p>
    <w:p>
      <w:pPr>
        <w:pStyle w:val="ListParagraph"/>
        <w:numPr>
          <w:ilvl w:val="1"/>
          <w:numId w:val="16"/>
        </w:numPr>
        <w:tabs>
          <w:tab w:pos="839" w:val="left" w:leader="none"/>
          <w:tab w:pos="840" w:val="left" w:leader="none"/>
        </w:tabs>
        <w:spacing w:line="240" w:lineRule="auto" w:before="0" w:after="0"/>
        <w:ind w:left="840" w:right="0" w:hanging="360"/>
        <w:jc w:val="left"/>
        <w:rPr>
          <w:rFonts w:ascii="Symbol" w:hAnsi="Symbol"/>
          <w:sz w:val="20"/>
        </w:rPr>
      </w:pPr>
      <w:r>
        <w:rPr>
          <w:sz w:val="22"/>
        </w:rPr>
        <w:t>Court</w:t>
      </w:r>
      <w:r>
        <w:rPr>
          <w:spacing w:val="-3"/>
          <w:sz w:val="22"/>
        </w:rPr>
        <w:t> </w:t>
      </w:r>
      <w:r>
        <w:rPr>
          <w:sz w:val="22"/>
        </w:rPr>
        <w:t>ordered</w:t>
      </w:r>
      <w:r>
        <w:rPr>
          <w:spacing w:val="-7"/>
          <w:sz w:val="22"/>
        </w:rPr>
        <w:t> </w:t>
      </w:r>
      <w:r>
        <w:rPr>
          <w:sz w:val="22"/>
        </w:rPr>
        <w:t>child</w:t>
      </w:r>
      <w:r>
        <w:rPr>
          <w:spacing w:val="-5"/>
          <w:sz w:val="22"/>
        </w:rPr>
        <w:t> </w:t>
      </w:r>
      <w:r>
        <w:rPr>
          <w:sz w:val="22"/>
        </w:rPr>
        <w:t>support</w:t>
      </w:r>
      <w:r>
        <w:rPr>
          <w:spacing w:val="-5"/>
          <w:sz w:val="22"/>
        </w:rPr>
        <w:t> </w:t>
      </w:r>
      <w:r>
        <w:rPr>
          <w:sz w:val="22"/>
        </w:rPr>
        <w:t>statement</w:t>
      </w:r>
      <w:r>
        <w:rPr>
          <w:spacing w:val="-5"/>
          <w:sz w:val="22"/>
        </w:rPr>
        <w:t> </w:t>
      </w:r>
      <w:r>
        <w:rPr>
          <w:sz w:val="22"/>
        </w:rPr>
        <w:t>(if</w:t>
      </w:r>
      <w:r>
        <w:rPr>
          <w:spacing w:val="-4"/>
          <w:sz w:val="22"/>
        </w:rPr>
        <w:t> </w:t>
      </w:r>
      <w:r>
        <w:rPr>
          <w:spacing w:val="-2"/>
          <w:sz w:val="22"/>
        </w:rPr>
        <w:t>applicable)</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Any</w:t>
      </w:r>
      <w:r>
        <w:rPr>
          <w:spacing w:val="-2"/>
          <w:sz w:val="22"/>
        </w:rPr>
        <w:t> </w:t>
      </w:r>
      <w:r>
        <w:rPr>
          <w:sz w:val="22"/>
        </w:rPr>
        <w:t>other</w:t>
      </w:r>
      <w:r>
        <w:rPr>
          <w:spacing w:val="-1"/>
          <w:sz w:val="22"/>
        </w:rPr>
        <w:t> </w:t>
      </w:r>
      <w:r>
        <w:rPr>
          <w:spacing w:val="-2"/>
          <w:sz w:val="22"/>
        </w:rPr>
        <w:t>income</w:t>
      </w:r>
    </w:p>
    <w:p>
      <w:pPr>
        <w:spacing w:after="0" w:line="240" w:lineRule="auto"/>
        <w:jc w:val="left"/>
        <w:rPr>
          <w:rFonts w:ascii="Symbol" w:hAnsi="Symbol"/>
          <w:sz w:val="20"/>
        </w:rPr>
        <w:sectPr>
          <w:pgSz w:w="12240" w:h="15840"/>
          <w:pgMar w:header="0" w:footer="1738" w:top="1380" w:bottom="1920" w:left="1320" w:right="1280"/>
        </w:sectPr>
      </w:pPr>
    </w:p>
    <w:p>
      <w:pPr>
        <w:pStyle w:val="Heading3"/>
      </w:pPr>
      <w:bookmarkStart w:name="Senior Home Rehabilitation Program  Pill" w:id="42"/>
      <w:bookmarkEnd w:id="42"/>
      <w:r>
        <w:rPr/>
      </w:r>
      <w:bookmarkStart w:name="_bookmark13" w:id="43"/>
      <w:bookmarkEnd w:id="43"/>
      <w:r>
        <w:rPr/>
      </w:r>
      <w:r>
        <w:rPr>
          <w:color w:val="001F5F"/>
        </w:rPr>
        <w:t>Senior</w:t>
      </w:r>
      <w:r>
        <w:rPr>
          <w:color w:val="001F5F"/>
          <w:spacing w:val="-10"/>
        </w:rPr>
        <w:t> </w:t>
      </w:r>
      <w:r>
        <w:rPr>
          <w:color w:val="001F5F"/>
        </w:rPr>
        <w:t>Home</w:t>
      </w:r>
      <w:r>
        <w:rPr>
          <w:color w:val="001F5F"/>
          <w:spacing w:val="-7"/>
        </w:rPr>
        <w:t> </w:t>
      </w:r>
      <w:r>
        <w:rPr>
          <w:color w:val="001F5F"/>
        </w:rPr>
        <w:t>Rehabilitation</w:t>
      </w:r>
      <w:r>
        <w:rPr>
          <w:color w:val="001F5F"/>
          <w:spacing w:val="-10"/>
        </w:rPr>
        <w:t> </w:t>
      </w:r>
      <w:r>
        <w:rPr>
          <w:color w:val="001F5F"/>
        </w:rPr>
        <w:t>Program</w:t>
      </w:r>
      <w:r>
        <w:rPr>
          <w:color w:val="001F5F"/>
          <w:spacing w:val="71"/>
        </w:rPr>
        <w:t> </w:t>
      </w:r>
      <w:r>
        <w:rPr>
          <w:color w:val="FF0000"/>
        </w:rPr>
        <w:t>Pillars</w:t>
      </w:r>
      <w:r>
        <w:rPr>
          <w:color w:val="FF0000"/>
          <w:spacing w:val="-8"/>
        </w:rPr>
        <w:t> </w:t>
      </w:r>
      <w:r>
        <w:rPr>
          <w:color w:val="FF0000"/>
        </w:rPr>
        <w:t>1,</w:t>
      </w:r>
      <w:r>
        <w:rPr>
          <w:color w:val="FF0000"/>
          <w:spacing w:val="-9"/>
        </w:rPr>
        <w:t> </w:t>
      </w:r>
      <w:r>
        <w:rPr>
          <w:color w:val="FF0000"/>
        </w:rPr>
        <w:t>3,</w:t>
      </w:r>
      <w:r>
        <w:rPr>
          <w:color w:val="FF0000"/>
          <w:spacing w:val="-10"/>
        </w:rPr>
        <w:t> 6</w:t>
      </w:r>
    </w:p>
    <w:p>
      <w:pPr>
        <w:pStyle w:val="BodyText"/>
        <w:spacing w:before="28"/>
        <w:ind w:left="120"/>
      </w:pPr>
      <w:r>
        <w:rPr/>
        <w:t>Approved</w:t>
      </w:r>
      <w:r>
        <w:rPr>
          <w:spacing w:val="-7"/>
        </w:rPr>
        <w:t> </w:t>
      </w:r>
      <w:r>
        <w:rPr/>
        <w:t>January</w:t>
      </w:r>
      <w:r>
        <w:rPr>
          <w:spacing w:val="-7"/>
        </w:rPr>
        <w:t> </w:t>
      </w:r>
      <w:r>
        <w:rPr/>
        <w:t>25,</w:t>
      </w:r>
      <w:r>
        <w:rPr>
          <w:spacing w:val="-7"/>
        </w:rPr>
        <w:t> </w:t>
      </w:r>
      <w:r>
        <w:rPr/>
        <w:t>2023</w:t>
      </w:r>
      <w:r>
        <w:rPr>
          <w:spacing w:val="-5"/>
        </w:rPr>
        <w:t> </w:t>
      </w:r>
      <w:r>
        <w:rPr/>
        <w:t>by</w:t>
      </w:r>
      <w:r>
        <w:rPr>
          <w:spacing w:val="-7"/>
        </w:rPr>
        <w:t> </w:t>
      </w:r>
      <w:r>
        <w:rPr/>
        <w:t>resolution</w:t>
      </w:r>
      <w:r>
        <w:rPr>
          <w:spacing w:val="-5"/>
        </w:rPr>
        <w:t> </w:t>
      </w:r>
      <w:r>
        <w:rPr/>
        <w:t>23-</w:t>
      </w:r>
      <w:r>
        <w:rPr>
          <w:spacing w:val="-4"/>
        </w:rPr>
        <w:t>0167</w:t>
      </w:r>
    </w:p>
    <w:p>
      <w:pPr>
        <w:pStyle w:val="BodyText"/>
        <w:spacing w:before="9"/>
        <w:rPr>
          <w:sz w:val="30"/>
        </w:rPr>
      </w:pPr>
    </w:p>
    <w:p>
      <w:pPr>
        <w:pStyle w:val="Heading5"/>
        <w:jc w:val="left"/>
      </w:pPr>
      <w:r>
        <w:rPr/>
        <w:t>Program</w:t>
      </w:r>
      <w:r>
        <w:rPr>
          <w:spacing w:val="-5"/>
        </w:rPr>
        <w:t> </w:t>
      </w:r>
      <w:r>
        <w:rPr>
          <w:spacing w:val="-2"/>
        </w:rPr>
        <w:t>Purpose</w:t>
      </w:r>
    </w:p>
    <w:p>
      <w:pPr>
        <w:pStyle w:val="BodyText"/>
        <w:spacing w:before="1"/>
        <w:ind w:left="119" w:right="155"/>
      </w:pPr>
      <w:r>
        <w:rPr/>
        <w:t>The Senior Home Rehabilitation Program provides home repair assistance to qualified low- to</w:t>
      </w:r>
      <w:r>
        <w:rPr>
          <w:spacing w:val="40"/>
        </w:rPr>
        <w:t> </w:t>
      </w:r>
      <w:r>
        <w:rPr/>
        <w:t>moderate-income senior citizens within the city limits of Dallas.</w:t>
      </w:r>
    </w:p>
    <w:p>
      <w:pPr>
        <w:pStyle w:val="BodyText"/>
        <w:spacing w:before="11"/>
        <w:rPr>
          <w:sz w:val="21"/>
        </w:rPr>
      </w:pPr>
    </w:p>
    <w:p>
      <w:pPr>
        <w:pStyle w:val="Heading5"/>
        <w:spacing w:line="253" w:lineRule="exact"/>
        <w:ind w:left="182"/>
        <w:jc w:val="left"/>
      </w:pPr>
      <w:r>
        <w:rPr/>
        <w:pict>
          <v:shape style="position:absolute;margin-left:90.065002pt;margin-top:-3.580595pt;width:395.3pt;height:419pt;mso-position-horizontal-relative:page;mso-position-vertical-relative:paragraph;z-index:-17716224" id="docshape61" coordorigin="1801,-72" coordsize="7906,8380" path="m4498,7192l4492,7119,4477,7041,4455,6958,4432,6889,4403,6817,4367,6742,4325,6664,4276,6583,4237,6524,4200,6473,4200,7159,4197,7215,4186,7272,4167,7329,4138,7389,4097,7452,4044,7518,3979,7587,3674,7893,2216,6435,2517,6134,2598,6058,2672,5998,2740,5955,2801,5928,2868,5914,2941,5910,3020,5916,3105,5934,3195,5963,3255,5989,3317,6021,3380,6060,3446,6105,3514,6157,3584,6215,3656,6279,3729,6351,3789,6412,3845,6472,3896,6531,3943,6589,3986,6646,4025,6701,4059,6755,4101,6830,4136,6902,4163,6971,4183,7038,4196,7103,4200,7159,4200,6473,4194,6464,4148,6404,4098,6344,4045,6283,3989,6221,3929,6159,3865,6097,3801,6039,3737,5984,3673,5932,3643,5910,3609,5884,3546,5840,3482,5799,3419,5761,3346,5723,3274,5691,3203,5664,3132,5641,3062,5624,2992,5612,2923,5605,2850,5604,2779,5610,2709,5625,2642,5648,2577,5679,2528,5707,2476,5744,2420,5789,2359,5844,2294,5906,1801,6399,3710,8308,4124,7893,4226,7791,4287,7726,4341,7661,4386,7595,4424,7528,4454,7462,4476,7395,4491,7328,4498,7261,4498,7192xm6418,5599l6056,5471,5650,5328,5561,5299,5475,5275,5393,5256,5365,5251,5314,5242,5239,5232,5193,5230,5143,5233,5089,5240,5030,5251,5073,5181,5109,5112,5136,5043,5154,4974,5164,4905,5165,4837,5157,4769,5139,4691,5111,4615,5075,4541,5030,4468,4976,4397,4956,4374,4913,4328,4872,4290,4872,4848,4868,4903,4854,4958,4830,5014,4794,5073,4747,5134,4687,5198,4280,5605,3649,4974,4102,4521,4166,4464,4229,4420,4293,4391,4358,4376,4422,4374,4501,4390,4577,4419,4649,4464,4718,4524,4761,4571,4797,4622,4827,4676,4851,4732,4867,4791,4872,4848,4872,4290,4849,4269,4782,4216,4713,4171,4641,4132,4566,4100,4474,4072,4386,4059,4303,4061,4225,4077,4163,4102,4098,4139,4030,4187,3958,4246,3883,4317,3248,4952,5157,6860,5346,6671,4499,5824,4718,5605,4753,5570,4783,5543,4810,5522,4833,5507,4863,5494,4896,5483,4932,5475,4971,5471,5014,5471,5066,5476,5125,5487,5194,5503,5256,5521,5328,5542,5407,5566,5496,5596,6180,5837,6418,5599xm7780,4237l7415,4042,6555,3587,6555,3894,6070,4380,6030,4308,5989,4237,5748,3806,5708,3734,5668,3663,5629,3597,5590,3533,5550,3469,5509,3406,5467,3343,5424,3282,5380,3221,5436,3257,5498,3295,5564,3335,5635,3377,5792,3467,6555,3894,6555,3587,5862,3221,5286,2914,5082,3118,5277,3469,5316,3539,5701,4237,6207,5156,6441,5576,6642,5375,6565,5242,6298,4774,6221,4640,6481,4380,6820,4042,7173,4237,7565,4452,7780,4237xm8131,3886l7264,3019,7936,2347,7711,2122,7039,2794,6448,2203,7224,1427,6999,1202,6033,2167,7941,4076,8131,3886xm9707,2310l8024,627,8497,154,8272,-72,7138,1063,7363,1288,7834,817,9517,2500,9707,2310xe" filled="true" fillcolor="#c0c0c0" stroked="false">
            <v:path arrowok="t"/>
            <v:fill opacity="32896f" type="solid"/>
            <w10:wrap type="none"/>
          </v:shape>
        </w:pict>
      </w:r>
      <w:r>
        <w:rPr/>
        <w:t>Eligible</w:t>
      </w:r>
      <w:r>
        <w:rPr>
          <w:spacing w:val="-5"/>
        </w:rPr>
        <w:t> </w:t>
      </w:r>
      <w:r>
        <w:rPr>
          <w:spacing w:val="-2"/>
        </w:rPr>
        <w:t>Repairs:</w:t>
      </w:r>
    </w:p>
    <w:p>
      <w:pPr>
        <w:pStyle w:val="ListParagraph"/>
        <w:numPr>
          <w:ilvl w:val="1"/>
          <w:numId w:val="16"/>
        </w:numPr>
        <w:tabs>
          <w:tab w:pos="839" w:val="left" w:leader="none"/>
          <w:tab w:pos="840" w:val="left" w:leader="none"/>
        </w:tabs>
        <w:spacing w:line="240" w:lineRule="auto" w:before="0" w:after="0"/>
        <w:ind w:left="840" w:right="157" w:hanging="360"/>
        <w:jc w:val="left"/>
        <w:rPr>
          <w:rFonts w:ascii="Symbol" w:hAnsi="Symbol"/>
          <w:sz w:val="20"/>
        </w:rPr>
      </w:pPr>
      <w:r>
        <w:rPr>
          <w:sz w:val="22"/>
        </w:rPr>
        <w:t>Correction of code violations and elimination of specific conditions detrimental to public health and safety</w:t>
      </w:r>
    </w:p>
    <w:p>
      <w:pPr>
        <w:pStyle w:val="ListParagraph"/>
        <w:numPr>
          <w:ilvl w:val="1"/>
          <w:numId w:val="16"/>
        </w:numPr>
        <w:tabs>
          <w:tab w:pos="839" w:val="left" w:leader="none"/>
          <w:tab w:pos="840" w:val="left" w:leader="none"/>
        </w:tabs>
        <w:spacing w:line="240" w:lineRule="auto" w:before="0" w:after="0"/>
        <w:ind w:left="840" w:right="0" w:hanging="360"/>
        <w:jc w:val="left"/>
        <w:rPr>
          <w:rFonts w:ascii="Symbol" w:hAnsi="Symbol"/>
          <w:sz w:val="20"/>
        </w:rPr>
      </w:pPr>
      <w:r>
        <w:rPr>
          <w:sz w:val="22"/>
        </w:rPr>
        <w:t>Correction</w:t>
      </w:r>
      <w:r>
        <w:rPr>
          <w:spacing w:val="-8"/>
          <w:sz w:val="22"/>
        </w:rPr>
        <w:t> </w:t>
      </w:r>
      <w:r>
        <w:rPr>
          <w:sz w:val="22"/>
        </w:rPr>
        <w:t>of</w:t>
      </w:r>
      <w:r>
        <w:rPr>
          <w:spacing w:val="-7"/>
          <w:sz w:val="22"/>
        </w:rPr>
        <w:t> </w:t>
      </w:r>
      <w:r>
        <w:rPr>
          <w:sz w:val="22"/>
        </w:rPr>
        <w:t>incipient</w:t>
      </w:r>
      <w:r>
        <w:rPr>
          <w:spacing w:val="-4"/>
          <w:sz w:val="22"/>
        </w:rPr>
        <w:t> </w:t>
      </w:r>
      <w:r>
        <w:rPr>
          <w:sz w:val="22"/>
        </w:rPr>
        <w:t>violations</w:t>
      </w:r>
      <w:r>
        <w:rPr>
          <w:spacing w:val="-5"/>
          <w:sz w:val="22"/>
        </w:rPr>
        <w:t> </w:t>
      </w:r>
      <w:r>
        <w:rPr>
          <w:sz w:val="22"/>
        </w:rPr>
        <w:t>of</w:t>
      </w:r>
      <w:r>
        <w:rPr>
          <w:spacing w:val="-6"/>
          <w:sz w:val="22"/>
        </w:rPr>
        <w:t> </w:t>
      </w:r>
      <w:r>
        <w:rPr>
          <w:sz w:val="22"/>
        </w:rPr>
        <w:t>the</w:t>
      </w:r>
      <w:r>
        <w:rPr>
          <w:spacing w:val="-8"/>
          <w:sz w:val="22"/>
        </w:rPr>
        <w:t> </w:t>
      </w:r>
      <w:r>
        <w:rPr>
          <w:sz w:val="22"/>
        </w:rPr>
        <w:t>City</w:t>
      </w:r>
      <w:r>
        <w:rPr>
          <w:spacing w:val="-5"/>
          <w:sz w:val="22"/>
        </w:rPr>
        <w:t> </w:t>
      </w:r>
      <w:r>
        <w:rPr>
          <w:sz w:val="22"/>
        </w:rPr>
        <w:t>of</w:t>
      </w:r>
      <w:r>
        <w:rPr>
          <w:spacing w:val="-4"/>
          <w:sz w:val="22"/>
        </w:rPr>
        <w:t> </w:t>
      </w:r>
      <w:r>
        <w:rPr>
          <w:sz w:val="22"/>
        </w:rPr>
        <w:t>Dallas</w:t>
      </w:r>
      <w:r>
        <w:rPr>
          <w:spacing w:val="-5"/>
          <w:sz w:val="22"/>
        </w:rPr>
        <w:t> </w:t>
      </w:r>
      <w:r>
        <w:rPr>
          <w:sz w:val="22"/>
        </w:rPr>
        <w:t>Building</w:t>
      </w:r>
      <w:r>
        <w:rPr>
          <w:spacing w:val="-5"/>
          <w:sz w:val="22"/>
        </w:rPr>
        <w:t> </w:t>
      </w:r>
      <w:r>
        <w:rPr>
          <w:spacing w:val="-4"/>
          <w:sz w:val="22"/>
        </w:rPr>
        <w:t>Code</w:t>
      </w:r>
    </w:p>
    <w:p>
      <w:pPr>
        <w:pStyle w:val="ListParagraph"/>
        <w:numPr>
          <w:ilvl w:val="1"/>
          <w:numId w:val="16"/>
        </w:numPr>
        <w:tabs>
          <w:tab w:pos="839" w:val="left" w:leader="none"/>
          <w:tab w:pos="840" w:val="left" w:leader="none"/>
        </w:tabs>
        <w:spacing w:line="240" w:lineRule="auto" w:before="2" w:after="0"/>
        <w:ind w:left="840" w:right="156" w:hanging="360"/>
        <w:jc w:val="left"/>
        <w:rPr>
          <w:rFonts w:ascii="Symbol" w:hAnsi="Symbol"/>
          <w:sz w:val="20"/>
        </w:rPr>
      </w:pPr>
      <w:r>
        <w:rPr>
          <w:sz w:val="22"/>
        </w:rPr>
        <w:t>Cost effective</w:t>
      </w:r>
      <w:r>
        <w:rPr>
          <w:spacing w:val="-4"/>
          <w:sz w:val="22"/>
        </w:rPr>
        <w:t> </w:t>
      </w:r>
      <w:r>
        <w:rPr>
          <w:sz w:val="22"/>
        </w:rPr>
        <w:t>energy</w:t>
      </w:r>
      <w:r>
        <w:rPr>
          <w:spacing w:val="-3"/>
          <w:sz w:val="22"/>
        </w:rPr>
        <w:t> </w:t>
      </w:r>
      <w:r>
        <w:rPr>
          <w:sz w:val="22"/>
        </w:rPr>
        <w:t>conservation</w:t>
      </w:r>
      <w:r>
        <w:rPr>
          <w:spacing w:val="-4"/>
          <w:sz w:val="22"/>
        </w:rPr>
        <w:t> </w:t>
      </w:r>
      <w:r>
        <w:rPr>
          <w:sz w:val="22"/>
        </w:rPr>
        <w:t>measures,</w:t>
      </w:r>
      <w:r>
        <w:rPr>
          <w:spacing w:val="-2"/>
          <w:sz w:val="22"/>
        </w:rPr>
        <w:t> </w:t>
      </w:r>
      <w:r>
        <w:rPr>
          <w:sz w:val="22"/>
        </w:rPr>
        <w:t>including</w:t>
      </w:r>
      <w:r>
        <w:rPr>
          <w:spacing w:val="-1"/>
          <w:sz w:val="22"/>
        </w:rPr>
        <w:t> </w:t>
      </w:r>
      <w:r>
        <w:rPr>
          <w:sz w:val="22"/>
        </w:rPr>
        <w:t>solar heating,</w:t>
      </w:r>
      <w:r>
        <w:rPr>
          <w:spacing w:val="-2"/>
          <w:sz w:val="22"/>
        </w:rPr>
        <w:t> </w:t>
      </w:r>
      <w:r>
        <w:rPr>
          <w:sz w:val="22"/>
        </w:rPr>
        <w:t>cooling, and</w:t>
      </w:r>
      <w:r>
        <w:rPr>
          <w:spacing w:val="-4"/>
          <w:sz w:val="22"/>
        </w:rPr>
        <w:t> </w:t>
      </w:r>
      <w:r>
        <w:rPr>
          <w:sz w:val="22"/>
        </w:rPr>
        <w:t>water systems permanently affixed to the home</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Testing</w:t>
      </w:r>
      <w:r>
        <w:rPr>
          <w:spacing w:val="-9"/>
          <w:sz w:val="22"/>
        </w:rPr>
        <w:t> </w:t>
      </w:r>
      <w:r>
        <w:rPr>
          <w:sz w:val="22"/>
        </w:rPr>
        <w:t>and</w:t>
      </w:r>
      <w:r>
        <w:rPr>
          <w:spacing w:val="-8"/>
          <w:sz w:val="22"/>
        </w:rPr>
        <w:t> </w:t>
      </w:r>
      <w:r>
        <w:rPr>
          <w:sz w:val="22"/>
        </w:rPr>
        <w:t>treatment/</w:t>
      </w:r>
      <w:r>
        <w:rPr>
          <w:spacing w:val="-8"/>
          <w:sz w:val="22"/>
        </w:rPr>
        <w:t> </w:t>
      </w:r>
      <w:r>
        <w:rPr>
          <w:sz w:val="22"/>
        </w:rPr>
        <w:t>removal</w:t>
      </w:r>
      <w:r>
        <w:rPr>
          <w:spacing w:val="-6"/>
          <w:sz w:val="22"/>
        </w:rPr>
        <w:t> </w:t>
      </w:r>
      <w:r>
        <w:rPr>
          <w:sz w:val="22"/>
        </w:rPr>
        <w:t>of</w:t>
      </w:r>
      <w:r>
        <w:rPr>
          <w:spacing w:val="-5"/>
          <w:sz w:val="22"/>
        </w:rPr>
        <w:t> </w:t>
      </w:r>
      <w:r>
        <w:rPr>
          <w:sz w:val="22"/>
        </w:rPr>
        <w:t>lead-based</w:t>
      </w:r>
      <w:r>
        <w:rPr>
          <w:spacing w:val="-8"/>
          <w:sz w:val="22"/>
        </w:rPr>
        <w:t> </w:t>
      </w:r>
      <w:r>
        <w:rPr>
          <w:sz w:val="22"/>
        </w:rPr>
        <w:t>paint/asbestos</w:t>
      </w:r>
      <w:r>
        <w:rPr>
          <w:spacing w:val="-5"/>
          <w:sz w:val="22"/>
        </w:rPr>
        <w:t> </w:t>
      </w:r>
      <w:r>
        <w:rPr>
          <w:spacing w:val="-2"/>
          <w:sz w:val="22"/>
        </w:rPr>
        <w:t>hazards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Removal</w:t>
      </w:r>
      <w:r>
        <w:rPr>
          <w:spacing w:val="-6"/>
          <w:sz w:val="22"/>
        </w:rPr>
        <w:t> </w:t>
      </w:r>
      <w:r>
        <w:rPr>
          <w:sz w:val="22"/>
        </w:rPr>
        <w:t>of</w:t>
      </w:r>
      <w:r>
        <w:rPr>
          <w:spacing w:val="-5"/>
          <w:sz w:val="22"/>
        </w:rPr>
        <w:t> </w:t>
      </w:r>
      <w:r>
        <w:rPr>
          <w:sz w:val="22"/>
        </w:rPr>
        <w:t>termites;</w:t>
      </w:r>
      <w:r>
        <w:rPr>
          <w:spacing w:val="-4"/>
          <w:sz w:val="22"/>
        </w:rPr>
        <w:t> </w:t>
      </w:r>
      <w:r>
        <w:rPr>
          <w:sz w:val="22"/>
        </w:rPr>
        <w:t>removal</w:t>
      </w:r>
      <w:r>
        <w:rPr>
          <w:spacing w:val="-4"/>
          <w:sz w:val="22"/>
        </w:rPr>
        <w:t> </w:t>
      </w:r>
      <w:r>
        <w:rPr>
          <w:sz w:val="22"/>
        </w:rPr>
        <w:t>of</w:t>
      </w:r>
      <w:r>
        <w:rPr>
          <w:spacing w:val="-5"/>
          <w:sz w:val="22"/>
        </w:rPr>
        <w:t> </w:t>
      </w:r>
      <w:r>
        <w:rPr>
          <w:sz w:val="22"/>
        </w:rPr>
        <w:t>rodents</w:t>
      </w:r>
      <w:r>
        <w:rPr>
          <w:spacing w:val="-6"/>
          <w:sz w:val="22"/>
        </w:rPr>
        <w:t> </w:t>
      </w:r>
      <w:r>
        <w:rPr>
          <w:sz w:val="22"/>
        </w:rPr>
        <w:t>and</w:t>
      </w:r>
      <w:r>
        <w:rPr>
          <w:spacing w:val="-6"/>
          <w:sz w:val="22"/>
        </w:rPr>
        <w:t> </w:t>
      </w:r>
      <w:r>
        <w:rPr>
          <w:sz w:val="22"/>
        </w:rPr>
        <w:t>roaches</w:t>
      </w:r>
      <w:r>
        <w:rPr>
          <w:spacing w:val="-3"/>
          <w:sz w:val="22"/>
        </w:rPr>
        <w:t> </w:t>
      </w:r>
      <w:r>
        <w:rPr>
          <w:sz w:val="22"/>
        </w:rPr>
        <w:t>(may</w:t>
      </w:r>
      <w:r>
        <w:rPr>
          <w:spacing w:val="-6"/>
          <w:sz w:val="22"/>
        </w:rPr>
        <w:t> </w:t>
      </w:r>
      <w:r>
        <w:rPr>
          <w:sz w:val="22"/>
        </w:rPr>
        <w:t>not</w:t>
      </w:r>
      <w:r>
        <w:rPr>
          <w:spacing w:val="-5"/>
          <w:sz w:val="22"/>
        </w:rPr>
        <w:t> </w:t>
      </w:r>
      <w:r>
        <w:rPr>
          <w:sz w:val="22"/>
        </w:rPr>
        <w:t>be</w:t>
      </w:r>
      <w:r>
        <w:rPr>
          <w:spacing w:val="-4"/>
          <w:sz w:val="22"/>
        </w:rPr>
        <w:t> </w:t>
      </w:r>
      <w:r>
        <w:rPr>
          <w:sz w:val="22"/>
        </w:rPr>
        <w:t>a</w:t>
      </w:r>
      <w:r>
        <w:rPr>
          <w:spacing w:val="-6"/>
          <w:sz w:val="22"/>
        </w:rPr>
        <w:t> </w:t>
      </w:r>
      <w:r>
        <w:rPr>
          <w:sz w:val="22"/>
        </w:rPr>
        <w:t>stand-alone</w:t>
      </w:r>
      <w:r>
        <w:rPr>
          <w:spacing w:val="-3"/>
          <w:sz w:val="22"/>
        </w:rPr>
        <w:t> </w:t>
      </w:r>
      <w:r>
        <w:rPr>
          <w:spacing w:val="-2"/>
          <w:sz w:val="22"/>
        </w:rPr>
        <w:t>cost)</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Replace/</w:t>
      </w:r>
      <w:r>
        <w:rPr>
          <w:spacing w:val="-6"/>
          <w:sz w:val="22"/>
        </w:rPr>
        <w:t> </w:t>
      </w:r>
      <w:r>
        <w:rPr>
          <w:sz w:val="22"/>
        </w:rPr>
        <w:t>repair</w:t>
      </w:r>
      <w:r>
        <w:rPr>
          <w:spacing w:val="-7"/>
          <w:sz w:val="22"/>
        </w:rPr>
        <w:t> </w:t>
      </w:r>
      <w:r>
        <w:rPr>
          <w:spacing w:val="-2"/>
          <w:sz w:val="22"/>
        </w:rPr>
        <w:t>roofing</w:t>
      </w:r>
    </w:p>
    <w:p>
      <w:pPr>
        <w:pStyle w:val="ListParagraph"/>
        <w:numPr>
          <w:ilvl w:val="1"/>
          <w:numId w:val="16"/>
        </w:numPr>
        <w:tabs>
          <w:tab w:pos="839" w:val="left" w:leader="none"/>
          <w:tab w:pos="840" w:val="left" w:leader="none"/>
        </w:tabs>
        <w:spacing w:line="252" w:lineRule="exact" w:before="2" w:after="0"/>
        <w:ind w:left="840" w:right="0" w:hanging="360"/>
        <w:jc w:val="left"/>
        <w:rPr>
          <w:rFonts w:ascii="Symbol" w:hAnsi="Symbol"/>
          <w:sz w:val="20"/>
        </w:rPr>
      </w:pPr>
      <w:r>
        <w:rPr>
          <w:sz w:val="22"/>
        </w:rPr>
        <w:t>Replace/</w:t>
      </w:r>
      <w:r>
        <w:rPr>
          <w:spacing w:val="-5"/>
          <w:sz w:val="22"/>
        </w:rPr>
        <w:t> </w:t>
      </w:r>
      <w:r>
        <w:rPr>
          <w:sz w:val="22"/>
        </w:rPr>
        <w:t>repair</w:t>
      </w:r>
      <w:r>
        <w:rPr>
          <w:spacing w:val="-7"/>
          <w:sz w:val="22"/>
        </w:rPr>
        <w:t> </w:t>
      </w:r>
      <w:r>
        <w:rPr>
          <w:sz w:val="22"/>
        </w:rPr>
        <w:t>HVAC</w:t>
      </w:r>
      <w:r>
        <w:rPr>
          <w:spacing w:val="-5"/>
          <w:sz w:val="22"/>
        </w:rPr>
        <w:t> </w:t>
      </w:r>
      <w:r>
        <w:rPr>
          <w:spacing w:val="-2"/>
          <w:sz w:val="22"/>
        </w:rPr>
        <w:t>systems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Replace/repair</w:t>
      </w:r>
      <w:r>
        <w:rPr>
          <w:spacing w:val="-8"/>
          <w:sz w:val="22"/>
        </w:rPr>
        <w:t> </w:t>
      </w:r>
      <w:r>
        <w:rPr>
          <w:sz w:val="22"/>
        </w:rPr>
        <w:t>window</w:t>
      </w:r>
      <w:r>
        <w:rPr>
          <w:spacing w:val="-8"/>
          <w:sz w:val="22"/>
        </w:rPr>
        <w:t> </w:t>
      </w:r>
      <w:r>
        <w:rPr>
          <w:sz w:val="22"/>
        </w:rPr>
        <w:t>and/or</w:t>
      </w:r>
      <w:r>
        <w:rPr>
          <w:spacing w:val="-8"/>
          <w:sz w:val="22"/>
        </w:rPr>
        <w:t> </w:t>
      </w:r>
      <w:r>
        <w:rPr>
          <w:sz w:val="22"/>
        </w:rPr>
        <w:t>door</w:t>
      </w:r>
      <w:r>
        <w:rPr>
          <w:spacing w:val="-8"/>
          <w:sz w:val="22"/>
        </w:rPr>
        <w:t> </w:t>
      </w:r>
      <w:r>
        <w:rPr>
          <w:spacing w:val="-2"/>
          <w:sz w:val="22"/>
        </w:rPr>
        <w:t>screens</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Install</w:t>
      </w:r>
      <w:r>
        <w:rPr>
          <w:spacing w:val="-4"/>
          <w:sz w:val="22"/>
        </w:rPr>
        <w:t> </w:t>
      </w:r>
      <w:r>
        <w:rPr>
          <w:sz w:val="22"/>
        </w:rPr>
        <w:t>new</w:t>
      </w:r>
      <w:r>
        <w:rPr>
          <w:spacing w:val="-6"/>
          <w:sz w:val="22"/>
        </w:rPr>
        <w:t> </w:t>
      </w:r>
      <w:r>
        <w:rPr>
          <w:sz w:val="22"/>
        </w:rPr>
        <w:t>smoke,</w:t>
      </w:r>
      <w:r>
        <w:rPr>
          <w:spacing w:val="-4"/>
          <w:sz w:val="22"/>
        </w:rPr>
        <w:t> </w:t>
      </w:r>
      <w:r>
        <w:rPr>
          <w:sz w:val="22"/>
        </w:rPr>
        <w:t>fire,</w:t>
      </w:r>
      <w:r>
        <w:rPr>
          <w:spacing w:val="-1"/>
          <w:sz w:val="22"/>
        </w:rPr>
        <w:t> </w:t>
      </w:r>
      <w:r>
        <w:rPr>
          <w:sz w:val="22"/>
        </w:rPr>
        <w:t>and</w:t>
      </w:r>
      <w:r>
        <w:rPr>
          <w:spacing w:val="-3"/>
          <w:sz w:val="22"/>
        </w:rPr>
        <w:t> </w:t>
      </w:r>
      <w:r>
        <w:rPr>
          <w:sz w:val="22"/>
        </w:rPr>
        <w:t>CO2</w:t>
      </w:r>
      <w:r>
        <w:rPr>
          <w:spacing w:val="-5"/>
          <w:sz w:val="22"/>
        </w:rPr>
        <w:t> </w:t>
      </w:r>
      <w:r>
        <w:rPr>
          <w:spacing w:val="-2"/>
          <w:sz w:val="22"/>
        </w:rPr>
        <w:t>alarms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Install</w:t>
      </w:r>
      <w:r>
        <w:rPr>
          <w:spacing w:val="-3"/>
          <w:sz w:val="22"/>
        </w:rPr>
        <w:t> </w:t>
      </w:r>
      <w:r>
        <w:rPr>
          <w:sz w:val="22"/>
        </w:rPr>
        <w:t>new</w:t>
      </w:r>
      <w:r>
        <w:rPr>
          <w:spacing w:val="-2"/>
          <w:sz w:val="22"/>
        </w:rPr>
        <w:t> insulation</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Replace/</w:t>
      </w:r>
      <w:r>
        <w:rPr>
          <w:spacing w:val="-5"/>
          <w:sz w:val="22"/>
        </w:rPr>
        <w:t> </w:t>
      </w:r>
      <w:r>
        <w:rPr>
          <w:sz w:val="22"/>
        </w:rPr>
        <w:t>repair</w:t>
      </w:r>
      <w:r>
        <w:rPr>
          <w:spacing w:val="-7"/>
          <w:sz w:val="22"/>
        </w:rPr>
        <w:t> </w:t>
      </w:r>
      <w:r>
        <w:rPr>
          <w:sz w:val="22"/>
        </w:rPr>
        <w:t>flooring</w:t>
      </w:r>
      <w:r>
        <w:rPr>
          <w:spacing w:val="-7"/>
          <w:sz w:val="22"/>
        </w:rPr>
        <w:t> </w:t>
      </w:r>
      <w:r>
        <w:rPr>
          <w:sz w:val="22"/>
        </w:rPr>
        <w:t>and</w:t>
      </w:r>
      <w:r>
        <w:rPr>
          <w:spacing w:val="-6"/>
          <w:sz w:val="22"/>
        </w:rPr>
        <w:t> </w:t>
      </w:r>
      <w:r>
        <w:rPr>
          <w:spacing w:val="-2"/>
          <w:sz w:val="22"/>
        </w:rPr>
        <w:t>carpeting</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Replace/</w:t>
      </w:r>
      <w:r>
        <w:rPr>
          <w:spacing w:val="-5"/>
          <w:sz w:val="22"/>
        </w:rPr>
        <w:t> </w:t>
      </w:r>
      <w:r>
        <w:rPr>
          <w:sz w:val="22"/>
        </w:rPr>
        <w:t>repair</w:t>
      </w:r>
      <w:r>
        <w:rPr>
          <w:spacing w:val="-8"/>
          <w:sz w:val="22"/>
        </w:rPr>
        <w:t> </w:t>
      </w:r>
      <w:r>
        <w:rPr>
          <w:sz w:val="22"/>
        </w:rPr>
        <w:t>water</w:t>
      </w:r>
      <w:r>
        <w:rPr>
          <w:spacing w:val="-4"/>
          <w:sz w:val="22"/>
        </w:rPr>
        <w:t> </w:t>
      </w:r>
      <w:r>
        <w:rPr>
          <w:spacing w:val="-2"/>
          <w:sz w:val="22"/>
        </w:rPr>
        <w:t>heaters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Replace/</w:t>
      </w:r>
      <w:r>
        <w:rPr>
          <w:spacing w:val="-7"/>
          <w:sz w:val="22"/>
        </w:rPr>
        <w:t> </w:t>
      </w:r>
      <w:r>
        <w:rPr>
          <w:sz w:val="22"/>
        </w:rPr>
        <w:t>repair</w:t>
      </w:r>
      <w:r>
        <w:rPr>
          <w:spacing w:val="-7"/>
          <w:sz w:val="22"/>
        </w:rPr>
        <w:t> </w:t>
      </w:r>
      <w:r>
        <w:rPr>
          <w:sz w:val="22"/>
        </w:rPr>
        <w:t>electrical</w:t>
      </w:r>
      <w:r>
        <w:rPr>
          <w:spacing w:val="-5"/>
          <w:sz w:val="22"/>
        </w:rPr>
        <w:t> </w:t>
      </w:r>
      <w:r>
        <w:rPr>
          <w:sz w:val="22"/>
        </w:rPr>
        <w:t>system</w:t>
      </w:r>
      <w:r>
        <w:rPr>
          <w:spacing w:val="-7"/>
          <w:sz w:val="22"/>
        </w:rPr>
        <w:t> </w:t>
      </w:r>
      <w:r>
        <w:rPr>
          <w:sz w:val="22"/>
        </w:rPr>
        <w:t>and</w:t>
      </w:r>
      <w:r>
        <w:rPr>
          <w:spacing w:val="-6"/>
          <w:sz w:val="22"/>
        </w:rPr>
        <w:t> </w:t>
      </w:r>
      <w:r>
        <w:rPr>
          <w:sz w:val="22"/>
        </w:rPr>
        <w:t>installation</w:t>
      </w:r>
      <w:r>
        <w:rPr>
          <w:spacing w:val="-8"/>
          <w:sz w:val="22"/>
        </w:rPr>
        <w:t> </w:t>
      </w:r>
      <w:r>
        <w:rPr>
          <w:sz w:val="22"/>
        </w:rPr>
        <w:t>of</w:t>
      </w:r>
      <w:r>
        <w:rPr>
          <w:spacing w:val="-7"/>
          <w:sz w:val="22"/>
        </w:rPr>
        <w:t> </w:t>
      </w:r>
      <w:r>
        <w:rPr>
          <w:sz w:val="22"/>
        </w:rPr>
        <w:t>fault</w:t>
      </w:r>
      <w:r>
        <w:rPr>
          <w:spacing w:val="-4"/>
          <w:sz w:val="22"/>
        </w:rPr>
        <w:t> </w:t>
      </w:r>
      <w:r>
        <w:rPr>
          <w:sz w:val="22"/>
        </w:rPr>
        <w:t>circuit</w:t>
      </w:r>
      <w:r>
        <w:rPr>
          <w:spacing w:val="-2"/>
          <w:sz w:val="22"/>
        </w:rPr>
        <w:t> interrupters</w:t>
      </w:r>
    </w:p>
    <w:p>
      <w:pPr>
        <w:pStyle w:val="ListParagraph"/>
        <w:numPr>
          <w:ilvl w:val="1"/>
          <w:numId w:val="16"/>
        </w:numPr>
        <w:tabs>
          <w:tab w:pos="839" w:val="left" w:leader="none"/>
          <w:tab w:pos="840" w:val="left" w:leader="none"/>
        </w:tabs>
        <w:spacing w:line="252" w:lineRule="exact" w:before="2" w:after="0"/>
        <w:ind w:left="840" w:right="0" w:hanging="360"/>
        <w:jc w:val="left"/>
        <w:rPr>
          <w:rFonts w:ascii="Symbol" w:hAnsi="Symbol"/>
          <w:sz w:val="20"/>
        </w:rPr>
      </w:pPr>
      <w:r>
        <w:rPr>
          <w:sz w:val="22"/>
        </w:rPr>
        <w:t>Replace/</w:t>
      </w:r>
      <w:r>
        <w:rPr>
          <w:spacing w:val="-6"/>
          <w:sz w:val="22"/>
        </w:rPr>
        <w:t> </w:t>
      </w:r>
      <w:r>
        <w:rPr>
          <w:sz w:val="22"/>
        </w:rPr>
        <w:t>repair</w:t>
      </w:r>
      <w:r>
        <w:rPr>
          <w:spacing w:val="-7"/>
          <w:sz w:val="22"/>
        </w:rPr>
        <w:t> </w:t>
      </w:r>
      <w:r>
        <w:rPr>
          <w:spacing w:val="-2"/>
          <w:sz w:val="22"/>
        </w:rPr>
        <w:t>windows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Replace/</w:t>
      </w:r>
      <w:r>
        <w:rPr>
          <w:spacing w:val="-5"/>
          <w:sz w:val="22"/>
        </w:rPr>
        <w:t> </w:t>
      </w:r>
      <w:r>
        <w:rPr>
          <w:sz w:val="22"/>
        </w:rPr>
        <w:t>repair</w:t>
      </w:r>
      <w:r>
        <w:rPr>
          <w:spacing w:val="-8"/>
          <w:sz w:val="22"/>
        </w:rPr>
        <w:t> </w:t>
      </w:r>
      <w:r>
        <w:rPr>
          <w:sz w:val="22"/>
        </w:rPr>
        <w:t>plaster,</w:t>
      </w:r>
      <w:r>
        <w:rPr>
          <w:spacing w:val="-6"/>
          <w:sz w:val="22"/>
        </w:rPr>
        <w:t> </w:t>
      </w:r>
      <w:r>
        <w:rPr>
          <w:sz w:val="22"/>
        </w:rPr>
        <w:t>siding,</w:t>
      </w:r>
      <w:r>
        <w:rPr>
          <w:spacing w:val="-5"/>
          <w:sz w:val="22"/>
        </w:rPr>
        <w:t> </w:t>
      </w:r>
      <w:r>
        <w:rPr>
          <w:sz w:val="22"/>
        </w:rPr>
        <w:t>and</w:t>
      </w:r>
      <w:r>
        <w:rPr>
          <w:spacing w:val="-6"/>
          <w:sz w:val="22"/>
        </w:rPr>
        <w:t> </w:t>
      </w:r>
      <w:r>
        <w:rPr>
          <w:spacing w:val="-2"/>
          <w:sz w:val="22"/>
        </w:rPr>
        <w:t>stucco</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Painting</w:t>
      </w:r>
      <w:r>
        <w:rPr>
          <w:spacing w:val="-6"/>
          <w:sz w:val="22"/>
        </w:rPr>
        <w:t> </w:t>
      </w:r>
      <w:r>
        <w:rPr>
          <w:sz w:val="22"/>
        </w:rPr>
        <w:t>(inside</w:t>
      </w:r>
      <w:r>
        <w:rPr>
          <w:spacing w:val="-6"/>
          <w:sz w:val="22"/>
        </w:rPr>
        <w:t> </w:t>
      </w:r>
      <w:r>
        <w:rPr>
          <w:sz w:val="22"/>
        </w:rPr>
        <w:t>and</w:t>
      </w:r>
      <w:r>
        <w:rPr>
          <w:spacing w:val="-5"/>
          <w:sz w:val="22"/>
        </w:rPr>
        <w:t> </w:t>
      </w:r>
      <w:r>
        <w:rPr>
          <w:spacing w:val="-2"/>
          <w:sz w:val="22"/>
        </w:rPr>
        <w:t>outside)</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Install</w:t>
      </w:r>
      <w:r>
        <w:rPr>
          <w:spacing w:val="-7"/>
          <w:sz w:val="22"/>
        </w:rPr>
        <w:t> </w:t>
      </w:r>
      <w:r>
        <w:rPr>
          <w:sz w:val="22"/>
        </w:rPr>
        <w:t>new</w:t>
      </w:r>
      <w:r>
        <w:rPr>
          <w:spacing w:val="-5"/>
          <w:sz w:val="22"/>
        </w:rPr>
        <w:t> </w:t>
      </w:r>
      <w:r>
        <w:rPr>
          <w:sz w:val="22"/>
        </w:rPr>
        <w:t>deadbolt</w:t>
      </w:r>
      <w:r>
        <w:rPr>
          <w:spacing w:val="-3"/>
          <w:sz w:val="22"/>
        </w:rPr>
        <w:t> </w:t>
      </w:r>
      <w:r>
        <w:rPr>
          <w:spacing w:val="-4"/>
          <w:sz w:val="22"/>
        </w:rPr>
        <w:t>locks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Replace/</w:t>
      </w:r>
      <w:r>
        <w:rPr>
          <w:spacing w:val="-4"/>
          <w:sz w:val="22"/>
        </w:rPr>
        <w:t> </w:t>
      </w:r>
      <w:r>
        <w:rPr>
          <w:sz w:val="22"/>
        </w:rPr>
        <w:t>repair</w:t>
      </w:r>
      <w:r>
        <w:rPr>
          <w:spacing w:val="-5"/>
          <w:sz w:val="22"/>
        </w:rPr>
        <w:t> </w:t>
      </w:r>
      <w:r>
        <w:rPr>
          <w:sz w:val="22"/>
        </w:rPr>
        <w:t>kitchen</w:t>
      </w:r>
      <w:r>
        <w:rPr>
          <w:spacing w:val="-7"/>
          <w:sz w:val="22"/>
        </w:rPr>
        <w:t> </w:t>
      </w:r>
      <w:r>
        <w:rPr>
          <w:sz w:val="22"/>
        </w:rPr>
        <w:t>or</w:t>
      </w:r>
      <w:r>
        <w:rPr>
          <w:spacing w:val="-3"/>
          <w:sz w:val="22"/>
        </w:rPr>
        <w:t> </w:t>
      </w:r>
      <w:r>
        <w:rPr>
          <w:sz w:val="22"/>
        </w:rPr>
        <w:t>bath</w:t>
      </w:r>
      <w:r>
        <w:rPr>
          <w:spacing w:val="-5"/>
          <w:sz w:val="22"/>
        </w:rPr>
        <w:t> </w:t>
      </w:r>
      <w:r>
        <w:rPr>
          <w:sz w:val="22"/>
        </w:rPr>
        <w:t>cabinets</w:t>
      </w:r>
      <w:r>
        <w:rPr>
          <w:spacing w:val="-4"/>
          <w:sz w:val="22"/>
        </w:rPr>
        <w:t> </w:t>
      </w:r>
      <w:r>
        <w:rPr>
          <w:sz w:val="22"/>
        </w:rPr>
        <w:t>and</w:t>
      </w:r>
      <w:r>
        <w:rPr>
          <w:spacing w:val="-6"/>
          <w:sz w:val="22"/>
        </w:rPr>
        <w:t> </w:t>
      </w:r>
      <w:r>
        <w:rPr>
          <w:spacing w:val="-2"/>
          <w:sz w:val="22"/>
        </w:rPr>
        <w:t>countertops</w:t>
      </w:r>
    </w:p>
    <w:p>
      <w:pPr>
        <w:pStyle w:val="ListParagraph"/>
        <w:numPr>
          <w:ilvl w:val="1"/>
          <w:numId w:val="16"/>
        </w:numPr>
        <w:tabs>
          <w:tab w:pos="839" w:val="left" w:leader="none"/>
          <w:tab w:pos="840" w:val="left" w:leader="none"/>
        </w:tabs>
        <w:spacing w:line="252" w:lineRule="exact" w:before="2" w:after="0"/>
        <w:ind w:left="840" w:right="0" w:hanging="360"/>
        <w:jc w:val="left"/>
        <w:rPr>
          <w:rFonts w:ascii="Symbol" w:hAnsi="Symbol"/>
          <w:sz w:val="20"/>
        </w:rPr>
      </w:pPr>
      <w:r>
        <w:rPr>
          <w:sz w:val="22"/>
        </w:rPr>
        <w:t>Replace/repair</w:t>
      </w:r>
      <w:r>
        <w:rPr>
          <w:spacing w:val="-9"/>
          <w:sz w:val="22"/>
        </w:rPr>
        <w:t> </w:t>
      </w:r>
      <w:r>
        <w:rPr>
          <w:sz w:val="22"/>
        </w:rPr>
        <w:t>garage</w:t>
      </w:r>
      <w:r>
        <w:rPr>
          <w:spacing w:val="-9"/>
          <w:sz w:val="22"/>
        </w:rPr>
        <w:t> </w:t>
      </w:r>
      <w:r>
        <w:rPr>
          <w:spacing w:val="-4"/>
          <w:sz w:val="22"/>
        </w:rPr>
        <w:t>doors</w:t>
      </w:r>
    </w:p>
    <w:p>
      <w:pPr>
        <w:pStyle w:val="ListParagraph"/>
        <w:numPr>
          <w:ilvl w:val="1"/>
          <w:numId w:val="16"/>
        </w:numPr>
        <w:tabs>
          <w:tab w:pos="839" w:val="left" w:leader="none"/>
          <w:tab w:pos="840" w:val="left" w:leader="none"/>
        </w:tabs>
        <w:spacing w:line="240" w:lineRule="auto" w:before="0" w:after="0"/>
        <w:ind w:left="840" w:right="157" w:hanging="360"/>
        <w:jc w:val="left"/>
        <w:rPr>
          <w:rFonts w:ascii="Symbol" w:hAnsi="Symbol"/>
          <w:sz w:val="20"/>
        </w:rPr>
      </w:pPr>
      <w:r>
        <w:rPr>
          <w:sz w:val="22"/>
        </w:rPr>
        <w:t>Structural</w:t>
      </w:r>
      <w:r>
        <w:rPr>
          <w:spacing w:val="-3"/>
          <w:sz w:val="22"/>
        </w:rPr>
        <w:t> </w:t>
      </w:r>
      <w:r>
        <w:rPr>
          <w:sz w:val="22"/>
        </w:rPr>
        <w:t>repairs/</w:t>
      </w:r>
      <w:r>
        <w:rPr>
          <w:spacing w:val="-1"/>
          <w:sz w:val="22"/>
        </w:rPr>
        <w:t> </w:t>
      </w:r>
      <w:r>
        <w:rPr>
          <w:sz w:val="22"/>
        </w:rPr>
        <w:t>modifications</w:t>
      </w:r>
      <w:r>
        <w:rPr>
          <w:spacing w:val="-2"/>
          <w:sz w:val="22"/>
        </w:rPr>
        <w:t> </w:t>
      </w:r>
      <w:r>
        <w:rPr>
          <w:sz w:val="22"/>
        </w:rPr>
        <w:t>(only</w:t>
      </w:r>
      <w:r>
        <w:rPr>
          <w:spacing w:val="-2"/>
          <w:sz w:val="22"/>
        </w:rPr>
        <w:t> </w:t>
      </w:r>
      <w:r>
        <w:rPr>
          <w:sz w:val="22"/>
        </w:rPr>
        <w:t>to</w:t>
      </w:r>
      <w:r>
        <w:rPr>
          <w:spacing w:val="-3"/>
          <w:sz w:val="22"/>
        </w:rPr>
        <w:t> </w:t>
      </w:r>
      <w:r>
        <w:rPr>
          <w:sz w:val="22"/>
        </w:rPr>
        <w:t>correct existing structural</w:t>
      </w:r>
      <w:r>
        <w:rPr>
          <w:spacing w:val="-3"/>
          <w:sz w:val="22"/>
        </w:rPr>
        <w:t> </w:t>
      </w:r>
      <w:r>
        <w:rPr>
          <w:sz w:val="22"/>
        </w:rPr>
        <w:t>code</w:t>
      </w:r>
      <w:r>
        <w:rPr>
          <w:spacing w:val="-3"/>
          <w:sz w:val="22"/>
        </w:rPr>
        <w:t> </w:t>
      </w:r>
      <w:r>
        <w:rPr>
          <w:sz w:val="22"/>
        </w:rPr>
        <w:t>deficiencies or</w:t>
      </w:r>
      <w:r>
        <w:rPr>
          <w:spacing w:val="-4"/>
          <w:sz w:val="22"/>
        </w:rPr>
        <w:t> </w:t>
      </w:r>
      <w:r>
        <w:rPr>
          <w:sz w:val="22"/>
        </w:rPr>
        <w:t>to provide accessibility to disabled persons)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Foundation</w:t>
      </w:r>
      <w:r>
        <w:rPr>
          <w:spacing w:val="-8"/>
          <w:sz w:val="22"/>
        </w:rPr>
        <w:t> </w:t>
      </w:r>
      <w:r>
        <w:rPr>
          <w:spacing w:val="-2"/>
          <w:sz w:val="22"/>
        </w:rPr>
        <w:t>repairs</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Replace/repair</w:t>
      </w:r>
      <w:r>
        <w:rPr>
          <w:spacing w:val="-15"/>
          <w:sz w:val="22"/>
        </w:rPr>
        <w:t> </w:t>
      </w:r>
      <w:r>
        <w:rPr>
          <w:spacing w:val="-2"/>
          <w:sz w:val="22"/>
        </w:rPr>
        <w:t>fences</w:t>
      </w:r>
    </w:p>
    <w:p>
      <w:pPr>
        <w:pStyle w:val="ListParagraph"/>
        <w:numPr>
          <w:ilvl w:val="1"/>
          <w:numId w:val="16"/>
        </w:numPr>
        <w:tabs>
          <w:tab w:pos="839" w:val="left" w:leader="none"/>
          <w:tab w:pos="840" w:val="left" w:leader="none"/>
        </w:tabs>
        <w:spacing w:line="240" w:lineRule="auto" w:before="1" w:after="0"/>
        <w:ind w:left="840" w:right="155" w:hanging="360"/>
        <w:jc w:val="left"/>
        <w:rPr>
          <w:rFonts w:ascii="Symbol" w:hAnsi="Symbol"/>
          <w:sz w:val="20"/>
        </w:rPr>
      </w:pPr>
      <w:r>
        <w:rPr>
          <w:sz w:val="22"/>
        </w:rPr>
        <w:t>Landscaping-</w:t>
      </w:r>
      <w:r>
        <w:rPr>
          <w:spacing w:val="38"/>
          <w:sz w:val="22"/>
        </w:rPr>
        <w:t> </w:t>
      </w:r>
      <w:r>
        <w:rPr>
          <w:sz w:val="22"/>
        </w:rPr>
        <w:t>modest</w:t>
      </w:r>
      <w:r>
        <w:rPr>
          <w:spacing w:val="37"/>
          <w:sz w:val="22"/>
        </w:rPr>
        <w:t> </w:t>
      </w:r>
      <w:r>
        <w:rPr>
          <w:sz w:val="22"/>
        </w:rPr>
        <w:t>improvements</w:t>
      </w:r>
      <w:r>
        <w:rPr>
          <w:spacing w:val="38"/>
          <w:sz w:val="22"/>
        </w:rPr>
        <w:t> </w:t>
      </w:r>
      <w:r>
        <w:rPr>
          <w:sz w:val="22"/>
        </w:rPr>
        <w:t>consistent</w:t>
      </w:r>
      <w:r>
        <w:rPr>
          <w:spacing w:val="37"/>
          <w:sz w:val="22"/>
        </w:rPr>
        <w:t> </w:t>
      </w:r>
      <w:r>
        <w:rPr>
          <w:sz w:val="22"/>
        </w:rPr>
        <w:t>with</w:t>
      </w:r>
      <w:r>
        <w:rPr>
          <w:spacing w:val="38"/>
          <w:sz w:val="22"/>
        </w:rPr>
        <w:t> </w:t>
      </w:r>
      <w:r>
        <w:rPr>
          <w:sz w:val="22"/>
        </w:rPr>
        <w:t>the</w:t>
      </w:r>
      <w:r>
        <w:rPr>
          <w:spacing w:val="36"/>
          <w:sz w:val="22"/>
        </w:rPr>
        <w:t> </w:t>
      </w:r>
      <w:r>
        <w:rPr>
          <w:sz w:val="22"/>
        </w:rPr>
        <w:t>neighborhood</w:t>
      </w:r>
      <w:r>
        <w:rPr>
          <w:spacing w:val="33"/>
          <w:sz w:val="22"/>
        </w:rPr>
        <w:t> </w:t>
      </w:r>
      <w:r>
        <w:rPr>
          <w:sz w:val="22"/>
        </w:rPr>
        <w:t>(may</w:t>
      </w:r>
      <w:r>
        <w:rPr>
          <w:spacing w:val="36"/>
          <w:sz w:val="22"/>
        </w:rPr>
        <w:t> </w:t>
      </w:r>
      <w:r>
        <w:rPr>
          <w:sz w:val="22"/>
        </w:rPr>
        <w:t>not</w:t>
      </w:r>
      <w:r>
        <w:rPr>
          <w:spacing w:val="37"/>
          <w:sz w:val="22"/>
        </w:rPr>
        <w:t> </w:t>
      </w:r>
      <w:r>
        <w:rPr>
          <w:sz w:val="22"/>
        </w:rPr>
        <w:t>be</w:t>
      </w:r>
      <w:r>
        <w:rPr>
          <w:spacing w:val="38"/>
          <w:sz w:val="22"/>
        </w:rPr>
        <w:t> </w:t>
      </w:r>
      <w:r>
        <w:rPr>
          <w:sz w:val="22"/>
        </w:rPr>
        <w:t>a stand-alone cost)</w:t>
      </w:r>
    </w:p>
    <w:p>
      <w:pPr>
        <w:pStyle w:val="ListParagraph"/>
        <w:numPr>
          <w:ilvl w:val="1"/>
          <w:numId w:val="16"/>
        </w:numPr>
        <w:tabs>
          <w:tab w:pos="839" w:val="left" w:leader="none"/>
          <w:tab w:pos="840" w:val="left" w:leader="none"/>
        </w:tabs>
        <w:spacing w:line="251" w:lineRule="exact" w:before="0" w:after="0"/>
        <w:ind w:left="840" w:right="0" w:hanging="360"/>
        <w:jc w:val="left"/>
        <w:rPr>
          <w:rFonts w:ascii="Symbol" w:hAnsi="Symbol"/>
          <w:sz w:val="20"/>
        </w:rPr>
      </w:pPr>
      <w:r>
        <w:rPr>
          <w:sz w:val="22"/>
        </w:rPr>
        <w:t>Any</w:t>
      </w:r>
      <w:r>
        <w:rPr>
          <w:spacing w:val="-6"/>
          <w:sz w:val="22"/>
        </w:rPr>
        <w:t> </w:t>
      </w:r>
      <w:r>
        <w:rPr>
          <w:sz w:val="22"/>
        </w:rPr>
        <w:t>items</w:t>
      </w:r>
      <w:r>
        <w:rPr>
          <w:spacing w:val="-6"/>
          <w:sz w:val="22"/>
        </w:rPr>
        <w:t> </w:t>
      </w:r>
      <w:r>
        <w:rPr>
          <w:sz w:val="22"/>
        </w:rPr>
        <w:t>related</w:t>
      </w:r>
      <w:r>
        <w:rPr>
          <w:spacing w:val="-6"/>
          <w:sz w:val="22"/>
        </w:rPr>
        <w:t> </w:t>
      </w:r>
      <w:r>
        <w:rPr>
          <w:sz w:val="22"/>
        </w:rPr>
        <w:t>to</w:t>
      </w:r>
      <w:r>
        <w:rPr>
          <w:spacing w:val="-4"/>
          <w:sz w:val="22"/>
        </w:rPr>
        <w:t> </w:t>
      </w:r>
      <w:r>
        <w:rPr>
          <w:sz w:val="22"/>
        </w:rPr>
        <w:t>home</w:t>
      </w:r>
      <w:r>
        <w:rPr>
          <w:spacing w:val="-5"/>
          <w:sz w:val="22"/>
        </w:rPr>
        <w:t> </w:t>
      </w:r>
      <w:r>
        <w:rPr>
          <w:sz w:val="22"/>
        </w:rPr>
        <w:t>repair</w:t>
      </w:r>
      <w:r>
        <w:rPr>
          <w:spacing w:val="-5"/>
          <w:sz w:val="22"/>
        </w:rPr>
        <w:t> </w:t>
      </w:r>
      <w:r>
        <w:rPr>
          <w:sz w:val="22"/>
        </w:rPr>
        <w:t>determined</w:t>
      </w:r>
      <w:r>
        <w:rPr>
          <w:spacing w:val="-6"/>
          <w:sz w:val="22"/>
        </w:rPr>
        <w:t> </w:t>
      </w:r>
      <w:r>
        <w:rPr>
          <w:sz w:val="22"/>
        </w:rPr>
        <w:t>eligible</w:t>
      </w:r>
      <w:r>
        <w:rPr>
          <w:spacing w:val="-4"/>
          <w:sz w:val="22"/>
        </w:rPr>
        <w:t> </w:t>
      </w:r>
      <w:r>
        <w:rPr>
          <w:sz w:val="22"/>
        </w:rPr>
        <w:t>by</w:t>
      </w:r>
      <w:r>
        <w:rPr>
          <w:spacing w:val="-3"/>
          <w:sz w:val="22"/>
        </w:rPr>
        <w:t> </w:t>
      </w:r>
      <w:r>
        <w:rPr>
          <w:sz w:val="22"/>
        </w:rPr>
        <w:t>the</w:t>
      </w:r>
      <w:r>
        <w:rPr>
          <w:spacing w:val="-6"/>
          <w:sz w:val="22"/>
        </w:rPr>
        <w:t> </w:t>
      </w:r>
      <w:r>
        <w:rPr>
          <w:spacing w:val="-2"/>
          <w:sz w:val="22"/>
        </w:rPr>
        <w:t>Director</w:t>
      </w:r>
    </w:p>
    <w:p>
      <w:pPr>
        <w:pStyle w:val="BodyText"/>
      </w:pPr>
    </w:p>
    <w:p>
      <w:pPr>
        <w:pStyle w:val="Heading5"/>
        <w:ind w:left="119"/>
      </w:pPr>
      <w:r>
        <w:rPr/>
        <w:t>Eligible</w:t>
      </w:r>
      <w:r>
        <w:rPr>
          <w:spacing w:val="-3"/>
        </w:rPr>
        <w:t> </w:t>
      </w:r>
      <w:r>
        <w:rPr>
          <w:spacing w:val="-2"/>
        </w:rPr>
        <w:t>Participants</w:t>
      </w:r>
    </w:p>
    <w:p>
      <w:pPr>
        <w:pStyle w:val="BodyText"/>
        <w:spacing w:before="2"/>
        <w:ind w:left="120" w:right="156"/>
        <w:jc w:val="both"/>
      </w:pPr>
      <w:r>
        <w:rPr/>
        <w:t>To be eligible, participants must be: 1) Homeowners with their primary residence within the City of Dallas, 2) with household income at or below 80% of the area median income (AMI), and 3) senior citizens (age 65 and older).</w:t>
      </w:r>
    </w:p>
    <w:p>
      <w:pPr>
        <w:pStyle w:val="BodyText"/>
        <w:spacing w:before="9"/>
        <w:rPr>
          <w:sz w:val="21"/>
        </w:rPr>
      </w:pPr>
    </w:p>
    <w:p>
      <w:pPr>
        <w:pStyle w:val="Heading5"/>
      </w:pPr>
      <w:r>
        <w:rPr/>
        <w:t>Eligible</w:t>
      </w:r>
      <w:r>
        <w:rPr>
          <w:spacing w:val="-5"/>
        </w:rPr>
        <w:t> </w:t>
      </w:r>
      <w:r>
        <w:rPr>
          <w:spacing w:val="-2"/>
        </w:rPr>
        <w:t>Property</w:t>
      </w:r>
    </w:p>
    <w:p>
      <w:pPr>
        <w:pStyle w:val="BodyText"/>
        <w:spacing w:before="2"/>
        <w:ind w:left="120" w:right="156"/>
        <w:jc w:val="both"/>
      </w:pPr>
      <w:r>
        <w:rPr/>
        <w:t>To be eligible, a property must be the homeowner-applicant’s primary residence and must be located within city of Dallas limits.</w:t>
      </w:r>
    </w:p>
    <w:p>
      <w:pPr>
        <w:pStyle w:val="BodyText"/>
        <w:spacing w:before="10"/>
        <w:rPr>
          <w:sz w:val="21"/>
        </w:rPr>
      </w:pPr>
    </w:p>
    <w:p>
      <w:pPr>
        <w:pStyle w:val="Heading5"/>
        <w:spacing w:before="1"/>
      </w:pPr>
      <w:r>
        <w:rPr/>
        <w:t>Ineligible</w:t>
      </w:r>
      <w:r>
        <w:rPr>
          <w:spacing w:val="-4"/>
        </w:rPr>
        <w:t> </w:t>
      </w:r>
      <w:r>
        <w:rPr>
          <w:spacing w:val="-2"/>
        </w:rPr>
        <w:t>Participants</w:t>
      </w:r>
    </w:p>
    <w:p>
      <w:pPr>
        <w:spacing w:after="0"/>
        <w:sectPr>
          <w:pgSz w:w="12240" w:h="15840"/>
          <w:pgMar w:header="0" w:footer="1738" w:top="1380" w:bottom="1920" w:left="1320" w:right="1280"/>
        </w:sectPr>
      </w:pPr>
    </w:p>
    <w:p>
      <w:pPr>
        <w:pStyle w:val="ListParagraph"/>
        <w:numPr>
          <w:ilvl w:val="1"/>
          <w:numId w:val="16"/>
        </w:numPr>
        <w:tabs>
          <w:tab w:pos="840" w:val="left" w:leader="none"/>
        </w:tabs>
        <w:spacing w:line="252" w:lineRule="exact" w:before="80" w:after="0"/>
        <w:ind w:left="840" w:right="0" w:hanging="360"/>
        <w:jc w:val="both"/>
        <w:rPr>
          <w:rFonts w:ascii="Symbol" w:hAnsi="Symbol"/>
          <w:sz w:val="20"/>
        </w:rPr>
      </w:pPr>
      <w:r>
        <w:rPr>
          <w:sz w:val="22"/>
        </w:rPr>
        <w:t>Those</w:t>
      </w:r>
      <w:r>
        <w:rPr>
          <w:spacing w:val="-3"/>
          <w:sz w:val="22"/>
        </w:rPr>
        <w:t> </w:t>
      </w:r>
      <w:r>
        <w:rPr>
          <w:sz w:val="22"/>
        </w:rPr>
        <w:t>who</w:t>
      </w:r>
      <w:r>
        <w:rPr>
          <w:spacing w:val="-3"/>
          <w:sz w:val="22"/>
        </w:rPr>
        <w:t> </w:t>
      </w:r>
      <w:r>
        <w:rPr>
          <w:sz w:val="22"/>
        </w:rPr>
        <w:t>do</w:t>
      </w:r>
      <w:r>
        <w:rPr>
          <w:spacing w:val="-4"/>
          <w:sz w:val="22"/>
        </w:rPr>
        <w:t> </w:t>
      </w:r>
      <w:r>
        <w:rPr>
          <w:sz w:val="22"/>
        </w:rPr>
        <w:t>not</w:t>
      </w:r>
      <w:r>
        <w:rPr>
          <w:spacing w:val="-4"/>
          <w:sz w:val="22"/>
        </w:rPr>
        <w:t> </w:t>
      </w:r>
      <w:r>
        <w:rPr>
          <w:sz w:val="22"/>
        </w:rPr>
        <w:t>own</w:t>
      </w:r>
      <w:r>
        <w:rPr>
          <w:spacing w:val="-4"/>
          <w:sz w:val="22"/>
        </w:rPr>
        <w:t> </w:t>
      </w:r>
      <w:r>
        <w:rPr>
          <w:sz w:val="22"/>
        </w:rPr>
        <w:t>the</w:t>
      </w:r>
      <w:r>
        <w:rPr>
          <w:spacing w:val="-2"/>
          <w:sz w:val="22"/>
        </w:rPr>
        <w:t> </w:t>
      </w:r>
      <w:r>
        <w:rPr>
          <w:spacing w:val="-4"/>
          <w:sz w:val="22"/>
        </w:rPr>
        <w:t>home</w:t>
      </w:r>
    </w:p>
    <w:p>
      <w:pPr>
        <w:pStyle w:val="ListParagraph"/>
        <w:numPr>
          <w:ilvl w:val="1"/>
          <w:numId w:val="16"/>
        </w:numPr>
        <w:tabs>
          <w:tab w:pos="840" w:val="left" w:leader="none"/>
        </w:tabs>
        <w:spacing w:line="252" w:lineRule="exact" w:before="0" w:after="0"/>
        <w:ind w:left="840" w:right="0" w:hanging="360"/>
        <w:jc w:val="both"/>
        <w:rPr>
          <w:rFonts w:ascii="Symbol" w:hAnsi="Symbol"/>
          <w:sz w:val="20"/>
        </w:rPr>
      </w:pPr>
      <w:r>
        <w:rPr>
          <w:spacing w:val="-2"/>
          <w:sz w:val="22"/>
        </w:rPr>
        <w:t>Landlords</w:t>
      </w:r>
    </w:p>
    <w:p>
      <w:pPr>
        <w:pStyle w:val="ListParagraph"/>
        <w:numPr>
          <w:ilvl w:val="1"/>
          <w:numId w:val="16"/>
        </w:numPr>
        <w:tabs>
          <w:tab w:pos="840" w:val="left" w:leader="none"/>
        </w:tabs>
        <w:spacing w:line="240" w:lineRule="auto" w:before="1" w:after="0"/>
        <w:ind w:left="840" w:right="158" w:hanging="360"/>
        <w:jc w:val="both"/>
        <w:rPr>
          <w:rFonts w:ascii="Symbol" w:hAnsi="Symbol"/>
          <w:sz w:val="20"/>
        </w:rPr>
      </w:pPr>
      <w:r>
        <w:rPr>
          <w:sz w:val="22"/>
        </w:rPr>
        <w:t>Applicants who have received home repair or reconstruction assistance through City of Dallas Housing programs within the last three years</w:t>
      </w:r>
    </w:p>
    <w:p>
      <w:pPr>
        <w:pStyle w:val="ListParagraph"/>
        <w:numPr>
          <w:ilvl w:val="1"/>
          <w:numId w:val="16"/>
        </w:numPr>
        <w:tabs>
          <w:tab w:pos="840" w:val="left" w:leader="none"/>
        </w:tabs>
        <w:spacing w:line="240" w:lineRule="auto" w:before="1" w:after="0"/>
        <w:ind w:left="840" w:right="161" w:hanging="360"/>
        <w:jc w:val="both"/>
        <w:rPr>
          <w:rFonts w:ascii="Symbol" w:hAnsi="Symbol"/>
          <w:sz w:val="20"/>
        </w:rPr>
      </w:pPr>
      <w:r>
        <w:rPr>
          <w:sz w:val="22"/>
        </w:rPr>
        <w:t>Homeowners who have or will receive funds for the same repairs/replacement, including but not limited to insurance proceeds</w:t>
      </w:r>
    </w:p>
    <w:p>
      <w:pPr>
        <w:pStyle w:val="ListParagraph"/>
        <w:numPr>
          <w:ilvl w:val="1"/>
          <w:numId w:val="16"/>
        </w:numPr>
        <w:tabs>
          <w:tab w:pos="840" w:val="left" w:leader="none"/>
        </w:tabs>
        <w:spacing w:line="240" w:lineRule="auto" w:before="0" w:after="0"/>
        <w:ind w:left="840" w:right="159" w:hanging="360"/>
        <w:jc w:val="both"/>
        <w:rPr>
          <w:rFonts w:ascii="Symbol" w:hAnsi="Symbol"/>
          <w:sz w:val="20"/>
        </w:rPr>
      </w:pPr>
      <w:r>
        <w:rPr/>
        <w:pict>
          <v:shape style="position:absolute;margin-left:90.065002pt;margin-top:21.368868pt;width:395.3pt;height:419pt;mso-position-horizontal-relative:page;mso-position-vertical-relative:paragraph;z-index:-17715712" id="docshape62" coordorigin="1801,427" coordsize="7906,8380" path="m4498,7691l4492,7618,4477,7540,4455,7457,4432,7388,4403,7316,4367,7241,4325,7163,4276,7082,4237,7023,4200,6972,4200,7658,4197,7714,4186,7771,4167,7828,4138,7888,4097,7951,4044,8017,3979,8086,3674,8392,2216,6934,2517,6633,2598,6557,2672,6497,2740,6454,2801,6427,2868,6413,2941,6409,3020,6415,3105,6433,3195,6462,3255,6488,3317,6520,3380,6559,3446,6604,3514,6656,3584,6714,3656,6778,3729,6850,3789,6911,3845,6971,3896,7030,3943,7088,3986,7145,4025,7200,4059,7254,4101,7329,4136,7401,4163,7470,4183,7537,4196,7602,4200,7658,4200,6972,4194,6963,4148,6903,4098,6843,4045,6782,3989,6720,3929,6658,3865,6596,3801,6538,3737,6483,3673,6431,3643,6409,3609,6383,3546,6339,3482,6298,3419,6260,3346,6222,3274,6190,3203,6163,3132,6140,3062,6123,2992,6111,2923,6104,2850,6103,2779,6109,2709,6124,2642,6147,2577,6178,2528,6206,2476,6243,2420,6288,2359,6343,2294,6405,1801,6898,3710,8807,4124,8392,4226,8290,4287,8225,4341,8160,4386,8094,4424,8027,4454,7960,4476,7894,4491,7827,4498,7760,4498,7691xm6418,6098l6056,5970,5650,5827,5561,5798,5475,5774,5393,5755,5365,5750,5314,5741,5239,5731,5193,5729,5143,5732,5089,5739,5030,5750,5073,5680,5109,5611,5136,5542,5154,5473,5164,5404,5165,5336,5157,5268,5139,5190,5111,5114,5075,5040,5030,4967,4976,4896,4956,4873,4913,4827,4872,4789,4872,5347,4868,5402,4854,5457,4830,5513,4794,5572,4747,5633,4687,5697,4280,6104,3649,5473,4102,5020,4166,4963,4229,4919,4293,4890,4358,4875,4422,4873,4501,4889,4577,4918,4649,4963,4718,5023,4761,5070,4797,5121,4827,5175,4851,5231,4867,5290,4872,5347,4872,4789,4849,4768,4782,4715,4713,4670,4641,4631,4566,4599,4474,4571,4386,4558,4303,4560,4225,4576,4163,4601,4098,4638,4030,4686,3958,4745,3883,4816,3248,5451,5157,7359,5346,7170,4499,6323,4718,6104,4753,6069,4783,6042,4810,6021,4833,6006,4863,5993,4896,5982,4932,5974,4971,5970,5014,5970,5066,5975,5125,5986,5194,6002,5256,6020,5328,6040,5407,6065,5496,6095,6180,6336,6418,6098xm7780,4736l7415,4541,6555,4086,6555,4393,6070,4879,6030,4807,5989,4736,5748,4305,5708,4233,5668,4162,5629,4096,5590,4032,5550,3968,5509,3905,5467,3842,5424,3781,5380,3720,5436,3756,5498,3794,5564,3834,5635,3876,5792,3966,6555,4393,6555,4086,5862,3720,5286,3413,5082,3617,5277,3968,5316,4038,5701,4736,6207,5655,6441,6075,6642,5874,6565,5741,6298,5273,6221,5139,6481,4879,6820,4541,7173,4736,7565,4951,7780,4736xm8131,4385l7264,3518,7936,2846,7711,2621,7039,3293,6448,2702,7224,1926,6999,1701,6033,2666,7941,4575,8131,4385xm9707,2809l8024,1126,8497,653,8272,427,7138,1562,7363,1787,7834,1316,9517,2999,9707,2809xe" filled="true" fillcolor="#c0c0c0" stroked="false">
            <v:path arrowok="t"/>
            <v:fill opacity="32896f" type="solid"/>
            <w10:wrap type="none"/>
          </v:shape>
        </w:pict>
      </w:r>
      <w:r>
        <w:rPr>
          <w:sz w:val="22"/>
        </w:rPr>
        <w:t>City</w:t>
      </w:r>
      <w:r>
        <w:rPr>
          <w:spacing w:val="-9"/>
          <w:sz w:val="22"/>
        </w:rPr>
        <w:t> </w:t>
      </w:r>
      <w:r>
        <w:rPr>
          <w:sz w:val="22"/>
        </w:rPr>
        <w:t>Council</w:t>
      </w:r>
      <w:r>
        <w:rPr>
          <w:spacing w:val="-10"/>
          <w:sz w:val="22"/>
        </w:rPr>
        <w:t> </w:t>
      </w:r>
      <w:r>
        <w:rPr>
          <w:sz w:val="22"/>
        </w:rPr>
        <w:t>members,</w:t>
      </w:r>
      <w:r>
        <w:rPr>
          <w:spacing w:val="-8"/>
          <w:sz w:val="22"/>
        </w:rPr>
        <w:t> </w:t>
      </w:r>
      <w:r>
        <w:rPr>
          <w:sz w:val="22"/>
        </w:rPr>
        <w:t>Department</w:t>
      </w:r>
      <w:r>
        <w:rPr>
          <w:spacing w:val="-10"/>
          <w:sz w:val="22"/>
        </w:rPr>
        <w:t> </w:t>
      </w:r>
      <w:r>
        <w:rPr>
          <w:sz w:val="22"/>
        </w:rPr>
        <w:t>of</w:t>
      </w:r>
      <w:r>
        <w:rPr>
          <w:spacing w:val="-10"/>
          <w:sz w:val="22"/>
        </w:rPr>
        <w:t> </w:t>
      </w:r>
      <w:r>
        <w:rPr>
          <w:sz w:val="22"/>
        </w:rPr>
        <w:t>Housing</w:t>
      </w:r>
      <w:r>
        <w:rPr>
          <w:spacing w:val="-9"/>
          <w:sz w:val="22"/>
        </w:rPr>
        <w:t> </w:t>
      </w:r>
      <w:r>
        <w:rPr>
          <w:sz w:val="22"/>
        </w:rPr>
        <w:t>&amp;</w:t>
      </w:r>
      <w:r>
        <w:rPr>
          <w:spacing w:val="-12"/>
          <w:sz w:val="22"/>
        </w:rPr>
        <w:t> </w:t>
      </w:r>
      <w:r>
        <w:rPr>
          <w:sz w:val="22"/>
        </w:rPr>
        <w:t>Neighborhood</w:t>
      </w:r>
      <w:r>
        <w:rPr>
          <w:spacing w:val="-9"/>
          <w:sz w:val="22"/>
        </w:rPr>
        <w:t> </w:t>
      </w:r>
      <w:r>
        <w:rPr>
          <w:sz w:val="22"/>
        </w:rPr>
        <w:t>Revitalization</w:t>
      </w:r>
      <w:r>
        <w:rPr>
          <w:spacing w:val="-9"/>
          <w:sz w:val="22"/>
        </w:rPr>
        <w:t> </w:t>
      </w:r>
      <w:r>
        <w:rPr>
          <w:sz w:val="22"/>
        </w:rPr>
        <w:t>employees and any employee, official or agent of the City who exercises any policy or program decision-making function in connection with the program</w:t>
      </w:r>
    </w:p>
    <w:p>
      <w:pPr>
        <w:pStyle w:val="BodyText"/>
        <w:spacing w:before="10"/>
        <w:rPr>
          <w:sz w:val="21"/>
        </w:rPr>
      </w:pPr>
    </w:p>
    <w:p>
      <w:pPr>
        <w:pStyle w:val="Heading5"/>
        <w:jc w:val="left"/>
      </w:pPr>
      <w:r>
        <w:rPr>
          <w:spacing w:val="-2"/>
        </w:rPr>
        <w:t>Assistance</w:t>
      </w:r>
    </w:p>
    <w:p>
      <w:pPr>
        <w:pStyle w:val="BodyText"/>
        <w:rPr>
          <w:b/>
        </w:rPr>
      </w:pPr>
    </w:p>
    <w:p>
      <w:pPr>
        <w:pStyle w:val="BodyText"/>
        <w:ind w:left="119" w:right="153"/>
        <w:jc w:val="both"/>
      </w:pPr>
      <w:r>
        <w:rPr/>
        <w:t>This program may </w:t>
      </w:r>
      <w:r>
        <w:rPr>
          <w:b/>
        </w:rPr>
        <w:t>1) </w:t>
      </w:r>
      <w:r>
        <w:rPr/>
        <w:t>utilize contractors to administer the program; </w:t>
      </w:r>
      <w:r>
        <w:rPr>
          <w:b/>
        </w:rPr>
        <w:t>2) </w:t>
      </w:r>
      <w:r>
        <w:rPr/>
        <w:t>utilize a</w:t>
      </w:r>
      <w:r>
        <w:rPr>
          <w:spacing w:val="-2"/>
        </w:rPr>
        <w:t> </w:t>
      </w:r>
      <w:r>
        <w:rPr/>
        <w:t>rebate program to reimburse homeowners, pending available funds; and/or </w:t>
      </w:r>
      <w:r>
        <w:rPr>
          <w:b/>
        </w:rPr>
        <w:t>3) </w:t>
      </w:r>
      <w:r>
        <w:rPr/>
        <w:t>be directly administered by staff. Details on which method is available will be posted on the Department of Housing and Neighborhood Revitalization website.</w:t>
      </w:r>
    </w:p>
    <w:p>
      <w:pPr>
        <w:pStyle w:val="BodyText"/>
      </w:pPr>
    </w:p>
    <w:p>
      <w:pPr>
        <w:pStyle w:val="ListParagraph"/>
        <w:numPr>
          <w:ilvl w:val="1"/>
          <w:numId w:val="16"/>
        </w:numPr>
        <w:tabs>
          <w:tab w:pos="840" w:val="left" w:leader="none"/>
        </w:tabs>
        <w:spacing w:line="240" w:lineRule="auto" w:before="0" w:after="0"/>
        <w:ind w:left="840" w:right="153" w:hanging="360"/>
        <w:jc w:val="both"/>
        <w:rPr>
          <w:rFonts w:ascii="Symbol" w:hAnsi="Symbol"/>
          <w:sz w:val="20"/>
        </w:rPr>
      </w:pPr>
      <w:r>
        <w:rPr>
          <w:sz w:val="22"/>
        </w:rPr>
        <w:t>For</w:t>
      </w:r>
      <w:r>
        <w:rPr>
          <w:spacing w:val="-11"/>
          <w:sz w:val="22"/>
        </w:rPr>
        <w:t> </w:t>
      </w:r>
      <w:r>
        <w:rPr>
          <w:sz w:val="22"/>
        </w:rPr>
        <w:t>City</w:t>
      </w:r>
      <w:r>
        <w:rPr>
          <w:spacing w:val="-14"/>
          <w:sz w:val="22"/>
        </w:rPr>
        <w:t> </w:t>
      </w:r>
      <w:r>
        <w:rPr>
          <w:sz w:val="22"/>
        </w:rPr>
        <w:t>administration</w:t>
      </w:r>
      <w:r>
        <w:rPr>
          <w:spacing w:val="-15"/>
          <w:sz w:val="22"/>
        </w:rPr>
        <w:t> </w:t>
      </w:r>
      <w:r>
        <w:rPr>
          <w:sz w:val="22"/>
        </w:rPr>
        <w:t>of</w:t>
      </w:r>
      <w:r>
        <w:rPr>
          <w:spacing w:val="-13"/>
          <w:sz w:val="22"/>
        </w:rPr>
        <w:t> </w:t>
      </w:r>
      <w:r>
        <w:rPr>
          <w:sz w:val="22"/>
        </w:rPr>
        <w:t>the</w:t>
      </w:r>
      <w:r>
        <w:rPr>
          <w:spacing w:val="-15"/>
          <w:sz w:val="22"/>
        </w:rPr>
        <w:t> </w:t>
      </w:r>
      <w:r>
        <w:rPr>
          <w:sz w:val="22"/>
        </w:rPr>
        <w:t>program,</w:t>
      </w:r>
      <w:r>
        <w:rPr>
          <w:spacing w:val="-13"/>
          <w:sz w:val="22"/>
        </w:rPr>
        <w:t> </w:t>
      </w:r>
      <w:r>
        <w:rPr>
          <w:sz w:val="22"/>
        </w:rPr>
        <w:t>funding</w:t>
      </w:r>
      <w:r>
        <w:rPr>
          <w:spacing w:val="-12"/>
          <w:sz w:val="22"/>
        </w:rPr>
        <w:t> </w:t>
      </w:r>
      <w:r>
        <w:rPr>
          <w:sz w:val="22"/>
        </w:rPr>
        <w:t>will</w:t>
      </w:r>
      <w:r>
        <w:rPr>
          <w:spacing w:val="-13"/>
          <w:sz w:val="22"/>
        </w:rPr>
        <w:t> </w:t>
      </w:r>
      <w:r>
        <w:rPr>
          <w:sz w:val="22"/>
        </w:rPr>
        <w:t>be</w:t>
      </w:r>
      <w:r>
        <w:rPr>
          <w:spacing w:val="-12"/>
          <w:sz w:val="22"/>
        </w:rPr>
        <w:t> </w:t>
      </w:r>
      <w:r>
        <w:rPr>
          <w:sz w:val="22"/>
        </w:rPr>
        <w:t>provided</w:t>
      </w:r>
      <w:r>
        <w:rPr>
          <w:spacing w:val="-12"/>
          <w:sz w:val="22"/>
        </w:rPr>
        <w:t> </w:t>
      </w:r>
      <w:r>
        <w:rPr>
          <w:sz w:val="22"/>
        </w:rPr>
        <w:t>directly</w:t>
      </w:r>
      <w:r>
        <w:rPr>
          <w:spacing w:val="-14"/>
          <w:sz w:val="22"/>
        </w:rPr>
        <w:t> </w:t>
      </w:r>
      <w:r>
        <w:rPr>
          <w:sz w:val="22"/>
        </w:rPr>
        <w:t>to</w:t>
      </w:r>
      <w:r>
        <w:rPr>
          <w:spacing w:val="-15"/>
          <w:sz w:val="22"/>
        </w:rPr>
        <w:t> </w:t>
      </w:r>
      <w:r>
        <w:rPr>
          <w:sz w:val="22"/>
        </w:rPr>
        <w:t>the</w:t>
      </w:r>
      <w:r>
        <w:rPr>
          <w:spacing w:val="-12"/>
          <w:sz w:val="22"/>
        </w:rPr>
        <w:t> </w:t>
      </w:r>
      <w:r>
        <w:rPr>
          <w:sz w:val="22"/>
        </w:rPr>
        <w:t>city-selected contractor on a reimbursement basis after all approved work has been completed as agreed upon by City staff, the homeowner, and the contractor.</w:t>
      </w:r>
    </w:p>
    <w:p>
      <w:pPr>
        <w:pStyle w:val="ListParagraph"/>
        <w:numPr>
          <w:ilvl w:val="1"/>
          <w:numId w:val="16"/>
        </w:numPr>
        <w:tabs>
          <w:tab w:pos="840" w:val="left" w:leader="none"/>
        </w:tabs>
        <w:spacing w:line="240" w:lineRule="auto" w:before="0" w:after="0"/>
        <w:ind w:left="840" w:right="157" w:hanging="360"/>
        <w:jc w:val="both"/>
        <w:rPr>
          <w:rFonts w:ascii="Symbol" w:hAnsi="Symbol"/>
          <w:sz w:val="20"/>
        </w:rPr>
      </w:pPr>
      <w:r>
        <w:rPr>
          <w:sz w:val="22"/>
        </w:rPr>
        <w:t>For administration agreement(s) for the program, funding will be reimbursed to the administrator after work has been completed, adequate documentation has been submitted, and the City has been invoiced.</w:t>
      </w:r>
    </w:p>
    <w:p>
      <w:pPr>
        <w:pStyle w:val="ListParagraph"/>
        <w:numPr>
          <w:ilvl w:val="1"/>
          <w:numId w:val="16"/>
        </w:numPr>
        <w:tabs>
          <w:tab w:pos="840" w:val="left" w:leader="none"/>
        </w:tabs>
        <w:spacing w:line="240" w:lineRule="auto" w:before="0" w:after="0"/>
        <w:ind w:left="840" w:right="152" w:hanging="360"/>
        <w:jc w:val="both"/>
        <w:rPr>
          <w:rFonts w:ascii="Symbol" w:hAnsi="Symbol"/>
          <w:sz w:val="20"/>
        </w:rPr>
      </w:pPr>
      <w:r>
        <w:rPr>
          <w:sz w:val="22"/>
        </w:rPr>
        <w:t>Funding</w:t>
      </w:r>
      <w:r>
        <w:rPr>
          <w:spacing w:val="-16"/>
          <w:sz w:val="22"/>
        </w:rPr>
        <w:t> </w:t>
      </w:r>
      <w:r>
        <w:rPr>
          <w:sz w:val="22"/>
        </w:rPr>
        <w:t>through</w:t>
      </w:r>
      <w:r>
        <w:rPr>
          <w:spacing w:val="-15"/>
          <w:sz w:val="22"/>
        </w:rPr>
        <w:t> </w:t>
      </w:r>
      <w:r>
        <w:rPr>
          <w:sz w:val="22"/>
        </w:rPr>
        <w:t>rebate</w:t>
      </w:r>
      <w:r>
        <w:rPr>
          <w:spacing w:val="-15"/>
          <w:sz w:val="22"/>
        </w:rPr>
        <w:t> </w:t>
      </w:r>
      <w:r>
        <w:rPr>
          <w:sz w:val="22"/>
        </w:rPr>
        <w:t>will</w:t>
      </w:r>
      <w:r>
        <w:rPr>
          <w:spacing w:val="-16"/>
          <w:sz w:val="22"/>
        </w:rPr>
        <w:t> </w:t>
      </w:r>
      <w:r>
        <w:rPr>
          <w:sz w:val="22"/>
        </w:rPr>
        <w:t>be</w:t>
      </w:r>
      <w:r>
        <w:rPr>
          <w:spacing w:val="-15"/>
          <w:sz w:val="22"/>
        </w:rPr>
        <w:t> </w:t>
      </w:r>
      <w:r>
        <w:rPr>
          <w:sz w:val="22"/>
        </w:rPr>
        <w:t>made</w:t>
      </w:r>
      <w:r>
        <w:rPr>
          <w:spacing w:val="-15"/>
          <w:sz w:val="22"/>
        </w:rPr>
        <w:t> </w:t>
      </w:r>
      <w:r>
        <w:rPr>
          <w:sz w:val="22"/>
        </w:rPr>
        <w:t>directly</w:t>
      </w:r>
      <w:r>
        <w:rPr>
          <w:spacing w:val="-15"/>
          <w:sz w:val="22"/>
        </w:rPr>
        <w:t> </w:t>
      </w:r>
      <w:r>
        <w:rPr>
          <w:sz w:val="22"/>
        </w:rPr>
        <w:t>to</w:t>
      </w:r>
      <w:r>
        <w:rPr>
          <w:spacing w:val="-16"/>
          <w:sz w:val="22"/>
        </w:rPr>
        <w:t> </w:t>
      </w:r>
      <w:r>
        <w:rPr>
          <w:sz w:val="22"/>
        </w:rPr>
        <w:t>the</w:t>
      </w:r>
      <w:r>
        <w:rPr>
          <w:spacing w:val="-15"/>
          <w:sz w:val="22"/>
        </w:rPr>
        <w:t> </w:t>
      </w:r>
      <w:r>
        <w:rPr>
          <w:sz w:val="22"/>
        </w:rPr>
        <w:t>homeowner</w:t>
      </w:r>
      <w:r>
        <w:rPr>
          <w:spacing w:val="-15"/>
          <w:sz w:val="22"/>
        </w:rPr>
        <w:t> </w:t>
      </w:r>
      <w:r>
        <w:rPr>
          <w:sz w:val="22"/>
        </w:rPr>
        <w:t>upon</w:t>
      </w:r>
      <w:r>
        <w:rPr>
          <w:spacing w:val="-16"/>
          <w:sz w:val="22"/>
        </w:rPr>
        <w:t> </w:t>
      </w:r>
      <w:r>
        <w:rPr>
          <w:sz w:val="22"/>
        </w:rPr>
        <w:t>homeowner</w:t>
      </w:r>
      <w:r>
        <w:rPr>
          <w:spacing w:val="-15"/>
          <w:sz w:val="22"/>
        </w:rPr>
        <w:t> </w:t>
      </w:r>
      <w:r>
        <w:rPr>
          <w:sz w:val="22"/>
        </w:rPr>
        <w:t>verifying that a licensed contractor conducted the repairs in accordance with this program statement and submission of adequate documentation, including but not limited to contractor invoices, proof of contractor payment, and both before and after photos of the work done. Work may not have been completed before program approval by City </w:t>
      </w:r>
      <w:r>
        <w:rPr>
          <w:spacing w:val="-2"/>
          <w:sz w:val="22"/>
        </w:rPr>
        <w:t>Council.</w:t>
      </w:r>
    </w:p>
    <w:p>
      <w:pPr>
        <w:pStyle w:val="BodyText"/>
        <w:spacing w:before="11"/>
        <w:rPr>
          <w:sz w:val="21"/>
        </w:rPr>
      </w:pPr>
    </w:p>
    <w:p>
      <w:pPr>
        <w:pStyle w:val="BodyText"/>
        <w:ind w:left="120" w:right="156"/>
        <w:jc w:val="both"/>
      </w:pPr>
      <w:r>
        <w:rPr/>
        <w:t>The amount of assistance provided for repair or replacement of recommended repairs under all three options of funding allocation will be provided as a grant on behalf of the homeowner in an amount not to exceed $10,000.00 per home.</w:t>
      </w:r>
    </w:p>
    <w:p>
      <w:pPr>
        <w:pStyle w:val="BodyText"/>
      </w:pPr>
    </w:p>
    <w:p>
      <w:pPr>
        <w:pStyle w:val="BodyText"/>
        <w:ind w:left="120" w:right="155"/>
        <w:jc w:val="both"/>
      </w:pPr>
      <w:r>
        <w:rPr/>
        <w:t>Department</w:t>
      </w:r>
      <w:r>
        <w:rPr>
          <w:spacing w:val="-9"/>
        </w:rPr>
        <w:t> </w:t>
      </w:r>
      <w:r>
        <w:rPr/>
        <w:t>of</w:t>
      </w:r>
      <w:r>
        <w:rPr>
          <w:spacing w:val="-9"/>
        </w:rPr>
        <w:t> </w:t>
      </w:r>
      <w:r>
        <w:rPr/>
        <w:t>Housing</w:t>
      </w:r>
      <w:r>
        <w:rPr>
          <w:spacing w:val="-8"/>
        </w:rPr>
        <w:t> </w:t>
      </w:r>
      <w:r>
        <w:rPr/>
        <w:t>and</w:t>
      </w:r>
      <w:r>
        <w:rPr>
          <w:spacing w:val="-8"/>
        </w:rPr>
        <w:t> </w:t>
      </w:r>
      <w:r>
        <w:rPr/>
        <w:t>Neighborhood</w:t>
      </w:r>
      <w:r>
        <w:rPr>
          <w:spacing w:val="-8"/>
        </w:rPr>
        <w:t> </w:t>
      </w:r>
      <w:r>
        <w:rPr/>
        <w:t>Revitalization</w:t>
      </w:r>
      <w:r>
        <w:rPr>
          <w:spacing w:val="-8"/>
        </w:rPr>
        <w:t> </w:t>
      </w:r>
      <w:r>
        <w:rPr/>
        <w:t>staff</w:t>
      </w:r>
      <w:r>
        <w:rPr>
          <w:spacing w:val="-9"/>
        </w:rPr>
        <w:t> </w:t>
      </w:r>
      <w:r>
        <w:rPr/>
        <w:t>will</w:t>
      </w:r>
      <w:r>
        <w:rPr>
          <w:spacing w:val="-9"/>
        </w:rPr>
        <w:t> </w:t>
      </w:r>
      <w:r>
        <w:rPr/>
        <w:t>determine</w:t>
      </w:r>
      <w:r>
        <w:rPr>
          <w:spacing w:val="-8"/>
        </w:rPr>
        <w:t> </w:t>
      </w:r>
      <w:r>
        <w:rPr/>
        <w:t>the</w:t>
      </w:r>
      <w:r>
        <w:rPr>
          <w:spacing w:val="-10"/>
        </w:rPr>
        <w:t> </w:t>
      </w:r>
      <w:r>
        <w:rPr/>
        <w:t>manner</w:t>
      </w:r>
      <w:r>
        <w:rPr>
          <w:spacing w:val="-7"/>
        </w:rPr>
        <w:t> </w:t>
      </w:r>
      <w:r>
        <w:rPr/>
        <w:t>in</w:t>
      </w:r>
      <w:r>
        <w:rPr>
          <w:spacing w:val="-8"/>
        </w:rPr>
        <w:t> </w:t>
      </w:r>
      <w:r>
        <w:rPr/>
        <w:t>which applications</w:t>
      </w:r>
      <w:r>
        <w:rPr>
          <w:spacing w:val="-9"/>
        </w:rPr>
        <w:t> </w:t>
      </w:r>
      <w:r>
        <w:rPr/>
        <w:t>will</w:t>
      </w:r>
      <w:r>
        <w:rPr>
          <w:spacing w:val="-10"/>
        </w:rPr>
        <w:t> </w:t>
      </w:r>
      <w:r>
        <w:rPr/>
        <w:t>be</w:t>
      </w:r>
      <w:r>
        <w:rPr>
          <w:spacing w:val="-10"/>
        </w:rPr>
        <w:t> </w:t>
      </w:r>
      <w:r>
        <w:rPr/>
        <w:t>processed</w:t>
      </w:r>
      <w:r>
        <w:rPr>
          <w:spacing w:val="-10"/>
        </w:rPr>
        <w:t> </w:t>
      </w:r>
      <w:r>
        <w:rPr/>
        <w:t>and</w:t>
      </w:r>
      <w:r>
        <w:rPr>
          <w:spacing w:val="-10"/>
        </w:rPr>
        <w:t> </w:t>
      </w:r>
      <w:r>
        <w:rPr/>
        <w:t>selected.</w:t>
      </w:r>
      <w:r>
        <w:rPr>
          <w:spacing w:val="-8"/>
        </w:rPr>
        <w:t> </w:t>
      </w:r>
      <w:r>
        <w:rPr/>
        <w:t>Details</w:t>
      </w:r>
      <w:r>
        <w:rPr>
          <w:spacing w:val="-9"/>
        </w:rPr>
        <w:t> </w:t>
      </w:r>
      <w:r>
        <w:rPr/>
        <w:t>will</w:t>
      </w:r>
      <w:r>
        <w:rPr>
          <w:spacing w:val="-10"/>
        </w:rPr>
        <w:t> </w:t>
      </w:r>
      <w:r>
        <w:rPr/>
        <w:t>be</w:t>
      </w:r>
      <w:r>
        <w:rPr>
          <w:spacing w:val="-10"/>
        </w:rPr>
        <w:t> </w:t>
      </w:r>
      <w:r>
        <w:rPr/>
        <w:t>included</w:t>
      </w:r>
      <w:r>
        <w:rPr>
          <w:spacing w:val="-10"/>
        </w:rPr>
        <w:t> </w:t>
      </w:r>
      <w:r>
        <w:rPr/>
        <w:t>with</w:t>
      </w:r>
      <w:r>
        <w:rPr>
          <w:spacing w:val="-10"/>
        </w:rPr>
        <w:t> </w:t>
      </w:r>
      <w:r>
        <w:rPr/>
        <w:t>any</w:t>
      </w:r>
      <w:r>
        <w:rPr>
          <w:spacing w:val="-9"/>
        </w:rPr>
        <w:t> </w:t>
      </w:r>
      <w:r>
        <w:rPr/>
        <w:t>program</w:t>
      </w:r>
      <w:r>
        <w:rPr>
          <w:spacing w:val="-9"/>
        </w:rPr>
        <w:t> </w:t>
      </w:r>
      <w:r>
        <w:rPr/>
        <w:t>launch</w:t>
      </w:r>
      <w:r>
        <w:rPr>
          <w:spacing w:val="-12"/>
        </w:rPr>
        <w:t> </w:t>
      </w:r>
      <w:r>
        <w:rPr/>
        <w:t>and will be posted on the Department of Housing and Neighborhood Revitalization website.</w:t>
      </w:r>
    </w:p>
    <w:p>
      <w:pPr>
        <w:pStyle w:val="BodyText"/>
        <w:spacing w:before="10"/>
        <w:rPr>
          <w:sz w:val="21"/>
        </w:rPr>
      </w:pPr>
    </w:p>
    <w:p>
      <w:pPr>
        <w:pStyle w:val="BodyText"/>
        <w:ind w:left="120" w:right="158"/>
        <w:jc w:val="both"/>
      </w:pPr>
      <w:r>
        <w:rPr/>
        <w:t>Applicants must provide documentation to show eligibility, including but not limited to the </w:t>
      </w:r>
      <w:r>
        <w:rPr>
          <w:spacing w:val="-2"/>
        </w:rPr>
        <w:t>following:</w:t>
      </w:r>
    </w:p>
    <w:p>
      <w:pPr>
        <w:pStyle w:val="BodyText"/>
        <w:spacing w:before="3"/>
      </w:pP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pacing w:val="-2"/>
          <w:sz w:val="22"/>
        </w:rPr>
        <w:t>Application</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Proof</w:t>
      </w:r>
      <w:r>
        <w:rPr>
          <w:spacing w:val="-5"/>
          <w:sz w:val="22"/>
        </w:rPr>
        <w:t> </w:t>
      </w:r>
      <w:r>
        <w:rPr>
          <w:sz w:val="22"/>
        </w:rPr>
        <w:t>of</w:t>
      </w:r>
      <w:r>
        <w:rPr>
          <w:spacing w:val="-4"/>
          <w:sz w:val="22"/>
        </w:rPr>
        <w:t> </w:t>
      </w:r>
      <w:r>
        <w:rPr>
          <w:sz w:val="22"/>
        </w:rPr>
        <w:t>Household</w:t>
      </w:r>
      <w:r>
        <w:rPr>
          <w:spacing w:val="-5"/>
          <w:sz w:val="22"/>
        </w:rPr>
        <w:t> </w:t>
      </w:r>
      <w:r>
        <w:rPr>
          <w:spacing w:val="-2"/>
          <w:sz w:val="22"/>
        </w:rPr>
        <w:t>Income</w:t>
      </w:r>
    </w:p>
    <w:p>
      <w:pPr>
        <w:pStyle w:val="ListParagraph"/>
        <w:numPr>
          <w:ilvl w:val="1"/>
          <w:numId w:val="16"/>
        </w:numPr>
        <w:tabs>
          <w:tab w:pos="839" w:val="left" w:leader="none"/>
          <w:tab w:pos="840" w:val="left" w:leader="none"/>
        </w:tabs>
        <w:spacing w:line="252" w:lineRule="exact" w:before="1" w:after="0"/>
        <w:ind w:left="840" w:right="0" w:hanging="360"/>
        <w:jc w:val="left"/>
        <w:rPr>
          <w:rFonts w:ascii="Symbol" w:hAnsi="Symbol"/>
          <w:sz w:val="20"/>
        </w:rPr>
      </w:pPr>
      <w:r>
        <w:rPr>
          <w:sz w:val="22"/>
        </w:rPr>
        <w:t>Proof</w:t>
      </w:r>
      <w:r>
        <w:rPr>
          <w:spacing w:val="-2"/>
          <w:sz w:val="22"/>
        </w:rPr>
        <w:t> </w:t>
      </w:r>
      <w:r>
        <w:rPr>
          <w:sz w:val="22"/>
        </w:rPr>
        <w:t>of</w:t>
      </w:r>
      <w:r>
        <w:rPr>
          <w:spacing w:val="-2"/>
          <w:sz w:val="22"/>
        </w:rPr>
        <w:t> Identity</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Proof</w:t>
      </w:r>
      <w:r>
        <w:rPr>
          <w:spacing w:val="-2"/>
          <w:sz w:val="22"/>
        </w:rPr>
        <w:t> </w:t>
      </w:r>
      <w:r>
        <w:rPr>
          <w:sz w:val="22"/>
        </w:rPr>
        <w:t>of</w:t>
      </w:r>
      <w:r>
        <w:rPr>
          <w:spacing w:val="-3"/>
          <w:sz w:val="22"/>
        </w:rPr>
        <w:t> </w:t>
      </w:r>
      <w:r>
        <w:rPr>
          <w:spacing w:val="-5"/>
          <w:sz w:val="22"/>
        </w:rPr>
        <w:t>age</w:t>
      </w:r>
    </w:p>
    <w:p>
      <w:pPr>
        <w:pStyle w:val="ListParagraph"/>
        <w:numPr>
          <w:ilvl w:val="1"/>
          <w:numId w:val="16"/>
        </w:numPr>
        <w:tabs>
          <w:tab w:pos="839" w:val="left" w:leader="none"/>
          <w:tab w:pos="840" w:val="left" w:leader="none"/>
        </w:tabs>
        <w:spacing w:line="252" w:lineRule="exact" w:before="0" w:after="0"/>
        <w:ind w:left="840" w:right="0" w:hanging="360"/>
        <w:jc w:val="left"/>
        <w:rPr>
          <w:rFonts w:ascii="Symbol" w:hAnsi="Symbol"/>
          <w:sz w:val="20"/>
        </w:rPr>
      </w:pPr>
      <w:r>
        <w:rPr>
          <w:sz w:val="22"/>
        </w:rPr>
        <w:t>Proof</w:t>
      </w:r>
      <w:r>
        <w:rPr>
          <w:spacing w:val="-5"/>
          <w:sz w:val="22"/>
        </w:rPr>
        <w:t> </w:t>
      </w:r>
      <w:r>
        <w:rPr>
          <w:sz w:val="22"/>
        </w:rPr>
        <w:t>of</w:t>
      </w:r>
      <w:r>
        <w:rPr>
          <w:spacing w:val="-6"/>
          <w:sz w:val="22"/>
        </w:rPr>
        <w:t> </w:t>
      </w:r>
      <w:r>
        <w:rPr>
          <w:sz w:val="22"/>
        </w:rPr>
        <w:t>primary</w:t>
      </w:r>
      <w:r>
        <w:rPr>
          <w:spacing w:val="-5"/>
          <w:sz w:val="22"/>
        </w:rPr>
        <w:t> </w:t>
      </w:r>
      <w:r>
        <w:rPr>
          <w:sz w:val="22"/>
        </w:rPr>
        <w:t>homeowner</w:t>
      </w:r>
      <w:r>
        <w:rPr>
          <w:spacing w:val="-4"/>
          <w:sz w:val="22"/>
        </w:rPr>
        <w:t> </w:t>
      </w:r>
      <w:r>
        <w:rPr>
          <w:spacing w:val="-2"/>
          <w:sz w:val="22"/>
        </w:rPr>
        <w:t>occupancy</w:t>
      </w:r>
    </w:p>
    <w:p>
      <w:pPr>
        <w:pStyle w:val="ListParagraph"/>
        <w:numPr>
          <w:ilvl w:val="1"/>
          <w:numId w:val="16"/>
        </w:numPr>
        <w:tabs>
          <w:tab w:pos="839" w:val="left" w:leader="none"/>
          <w:tab w:pos="840" w:val="left" w:leader="none"/>
        </w:tabs>
        <w:spacing w:line="240" w:lineRule="auto" w:before="2" w:after="0"/>
        <w:ind w:left="840" w:right="0" w:hanging="360"/>
        <w:jc w:val="left"/>
        <w:rPr>
          <w:rFonts w:ascii="Symbol" w:hAnsi="Symbol"/>
          <w:sz w:val="20"/>
        </w:rPr>
      </w:pPr>
      <w:r>
        <w:rPr>
          <w:sz w:val="22"/>
        </w:rPr>
        <w:t>Proof</w:t>
      </w:r>
      <w:r>
        <w:rPr>
          <w:spacing w:val="-2"/>
          <w:sz w:val="22"/>
        </w:rPr>
        <w:t> </w:t>
      </w:r>
      <w:r>
        <w:rPr>
          <w:sz w:val="22"/>
        </w:rPr>
        <w:t>of</w:t>
      </w:r>
      <w:r>
        <w:rPr>
          <w:spacing w:val="-3"/>
          <w:sz w:val="22"/>
        </w:rPr>
        <w:t> </w:t>
      </w:r>
      <w:r>
        <w:rPr>
          <w:spacing w:val="-2"/>
          <w:sz w:val="22"/>
        </w:rPr>
        <w:t>ownership</w:t>
      </w:r>
    </w:p>
    <w:p>
      <w:pPr>
        <w:spacing w:after="0" w:line="240" w:lineRule="auto"/>
        <w:jc w:val="left"/>
        <w:rPr>
          <w:rFonts w:ascii="Symbol" w:hAnsi="Symbol"/>
          <w:sz w:val="20"/>
        </w:rPr>
        <w:sectPr>
          <w:pgSz w:w="12240" w:h="15840"/>
          <w:pgMar w:header="0" w:footer="1738" w:top="1360" w:bottom="1920" w:left="1320" w:right="1280"/>
        </w:sectPr>
      </w:pPr>
    </w:p>
    <w:p>
      <w:pPr>
        <w:pStyle w:val="ListParagraph"/>
        <w:numPr>
          <w:ilvl w:val="1"/>
          <w:numId w:val="16"/>
        </w:numPr>
        <w:tabs>
          <w:tab w:pos="840" w:val="left" w:leader="none"/>
        </w:tabs>
        <w:spacing w:line="240" w:lineRule="auto" w:before="80" w:after="0"/>
        <w:ind w:left="840" w:right="155" w:hanging="360"/>
        <w:jc w:val="both"/>
        <w:rPr>
          <w:rFonts w:ascii="Symbol" w:hAnsi="Symbol"/>
          <w:sz w:val="20"/>
        </w:rPr>
      </w:pPr>
      <w:r>
        <w:rPr>
          <w:sz w:val="22"/>
        </w:rPr>
        <w:t>In</w:t>
      </w:r>
      <w:r>
        <w:rPr>
          <w:spacing w:val="-11"/>
          <w:sz w:val="22"/>
        </w:rPr>
        <w:t> </w:t>
      </w:r>
      <w:r>
        <w:rPr>
          <w:sz w:val="22"/>
        </w:rPr>
        <w:t>the</w:t>
      </w:r>
      <w:r>
        <w:rPr>
          <w:spacing w:val="-9"/>
          <w:sz w:val="22"/>
        </w:rPr>
        <w:t> </w:t>
      </w:r>
      <w:r>
        <w:rPr>
          <w:sz w:val="22"/>
        </w:rPr>
        <w:t>absence</w:t>
      </w:r>
      <w:r>
        <w:rPr>
          <w:spacing w:val="-9"/>
          <w:sz w:val="22"/>
        </w:rPr>
        <w:t> </w:t>
      </w:r>
      <w:r>
        <w:rPr>
          <w:sz w:val="22"/>
        </w:rPr>
        <w:t>of</w:t>
      </w:r>
      <w:r>
        <w:rPr>
          <w:spacing w:val="-7"/>
          <w:sz w:val="22"/>
        </w:rPr>
        <w:t> </w:t>
      </w:r>
      <w:r>
        <w:rPr>
          <w:sz w:val="22"/>
        </w:rPr>
        <w:t>a</w:t>
      </w:r>
      <w:r>
        <w:rPr>
          <w:spacing w:val="-11"/>
          <w:sz w:val="22"/>
        </w:rPr>
        <w:t> </w:t>
      </w:r>
      <w:r>
        <w:rPr>
          <w:sz w:val="22"/>
        </w:rPr>
        <w:t>deed,</w:t>
      </w:r>
      <w:r>
        <w:rPr>
          <w:spacing w:val="-10"/>
          <w:sz w:val="22"/>
        </w:rPr>
        <w:t> </w:t>
      </w:r>
      <w:r>
        <w:rPr>
          <w:sz w:val="22"/>
        </w:rPr>
        <w:t>owners</w:t>
      </w:r>
      <w:r>
        <w:rPr>
          <w:spacing w:val="-11"/>
          <w:sz w:val="22"/>
        </w:rPr>
        <w:t> </w:t>
      </w:r>
      <w:r>
        <w:rPr>
          <w:sz w:val="22"/>
        </w:rPr>
        <w:t>of</w:t>
      </w:r>
      <w:r>
        <w:rPr>
          <w:spacing w:val="-10"/>
          <w:sz w:val="22"/>
        </w:rPr>
        <w:t> </w:t>
      </w:r>
      <w:r>
        <w:rPr>
          <w:sz w:val="22"/>
        </w:rPr>
        <w:t>property</w:t>
      </w:r>
      <w:r>
        <w:rPr>
          <w:spacing w:val="-13"/>
          <w:sz w:val="22"/>
        </w:rPr>
        <w:t> </w:t>
      </w:r>
      <w:r>
        <w:rPr>
          <w:sz w:val="22"/>
        </w:rPr>
        <w:t>may</w:t>
      </w:r>
      <w:r>
        <w:rPr>
          <w:spacing w:val="-11"/>
          <w:sz w:val="22"/>
        </w:rPr>
        <w:t> </w:t>
      </w:r>
      <w:r>
        <w:rPr>
          <w:sz w:val="22"/>
        </w:rPr>
        <w:t>self-certify</w:t>
      </w:r>
      <w:r>
        <w:rPr>
          <w:spacing w:val="-11"/>
          <w:sz w:val="22"/>
        </w:rPr>
        <w:t> </w:t>
      </w:r>
      <w:r>
        <w:rPr>
          <w:sz w:val="22"/>
        </w:rPr>
        <w:t>that</w:t>
      </w:r>
      <w:r>
        <w:rPr>
          <w:spacing w:val="-10"/>
          <w:sz w:val="22"/>
        </w:rPr>
        <w:t> </w:t>
      </w:r>
      <w:r>
        <w:rPr>
          <w:sz w:val="22"/>
        </w:rPr>
        <w:t>they</w:t>
      </w:r>
      <w:r>
        <w:rPr>
          <w:spacing w:val="-11"/>
          <w:sz w:val="22"/>
        </w:rPr>
        <w:t> </w:t>
      </w:r>
      <w:r>
        <w:rPr>
          <w:sz w:val="22"/>
        </w:rPr>
        <w:t>own</w:t>
      </w:r>
      <w:r>
        <w:rPr>
          <w:spacing w:val="-11"/>
          <w:sz w:val="22"/>
        </w:rPr>
        <w:t> </w:t>
      </w:r>
      <w:r>
        <w:rPr>
          <w:sz w:val="22"/>
        </w:rPr>
        <w:t>the</w:t>
      </w:r>
      <w:r>
        <w:rPr>
          <w:spacing w:val="-9"/>
          <w:sz w:val="22"/>
        </w:rPr>
        <w:t> </w:t>
      </w:r>
      <w:r>
        <w:rPr>
          <w:sz w:val="22"/>
        </w:rPr>
        <w:t>home.</w:t>
      </w:r>
      <w:r>
        <w:rPr>
          <w:spacing w:val="-10"/>
          <w:sz w:val="22"/>
        </w:rPr>
        <w:t> </w:t>
      </w:r>
      <w:r>
        <w:rPr>
          <w:sz w:val="22"/>
        </w:rPr>
        <w:t>The means</w:t>
      </w:r>
      <w:r>
        <w:rPr>
          <w:spacing w:val="-8"/>
          <w:sz w:val="22"/>
        </w:rPr>
        <w:t> </w:t>
      </w:r>
      <w:r>
        <w:rPr>
          <w:sz w:val="22"/>
        </w:rPr>
        <w:t>by</w:t>
      </w:r>
      <w:r>
        <w:rPr>
          <w:spacing w:val="-8"/>
          <w:sz w:val="22"/>
        </w:rPr>
        <w:t> </w:t>
      </w:r>
      <w:r>
        <w:rPr>
          <w:sz w:val="22"/>
        </w:rPr>
        <w:t>which</w:t>
      </w:r>
      <w:r>
        <w:rPr>
          <w:spacing w:val="-9"/>
          <w:sz w:val="22"/>
        </w:rPr>
        <w:t> </w:t>
      </w:r>
      <w:r>
        <w:rPr>
          <w:sz w:val="22"/>
        </w:rPr>
        <w:t>an</w:t>
      </w:r>
      <w:r>
        <w:rPr>
          <w:spacing w:val="-11"/>
          <w:sz w:val="22"/>
        </w:rPr>
        <w:t> </w:t>
      </w:r>
      <w:r>
        <w:rPr>
          <w:sz w:val="22"/>
        </w:rPr>
        <w:t>owner</w:t>
      </w:r>
      <w:r>
        <w:rPr>
          <w:spacing w:val="-8"/>
          <w:sz w:val="22"/>
        </w:rPr>
        <w:t> </w:t>
      </w:r>
      <w:r>
        <w:rPr>
          <w:sz w:val="22"/>
        </w:rPr>
        <w:t>may</w:t>
      </w:r>
      <w:r>
        <w:rPr>
          <w:spacing w:val="-11"/>
          <w:sz w:val="22"/>
        </w:rPr>
        <w:t> </w:t>
      </w:r>
      <w:r>
        <w:rPr>
          <w:sz w:val="22"/>
        </w:rPr>
        <w:t>self-certify</w:t>
      </w:r>
      <w:r>
        <w:rPr>
          <w:spacing w:val="-8"/>
          <w:sz w:val="22"/>
        </w:rPr>
        <w:t> </w:t>
      </w:r>
      <w:r>
        <w:rPr>
          <w:sz w:val="22"/>
        </w:rPr>
        <w:t>include</w:t>
      </w:r>
      <w:r>
        <w:rPr>
          <w:spacing w:val="-11"/>
          <w:sz w:val="22"/>
        </w:rPr>
        <w:t> </w:t>
      </w:r>
      <w:r>
        <w:rPr>
          <w:sz w:val="22"/>
        </w:rPr>
        <w:t>but</w:t>
      </w:r>
      <w:r>
        <w:rPr>
          <w:spacing w:val="-7"/>
          <w:sz w:val="22"/>
        </w:rPr>
        <w:t> </w:t>
      </w:r>
      <w:r>
        <w:rPr>
          <w:sz w:val="22"/>
        </w:rPr>
        <w:t>are</w:t>
      </w:r>
      <w:r>
        <w:rPr>
          <w:spacing w:val="-11"/>
          <w:sz w:val="22"/>
        </w:rPr>
        <w:t> </w:t>
      </w:r>
      <w:r>
        <w:rPr>
          <w:sz w:val="22"/>
        </w:rPr>
        <w:t>not</w:t>
      </w:r>
      <w:r>
        <w:rPr>
          <w:spacing w:val="-7"/>
          <w:sz w:val="22"/>
        </w:rPr>
        <w:t> </w:t>
      </w:r>
      <w:r>
        <w:rPr>
          <w:sz w:val="22"/>
        </w:rPr>
        <w:t>limited</w:t>
      </w:r>
      <w:r>
        <w:rPr>
          <w:spacing w:val="-11"/>
          <w:sz w:val="22"/>
        </w:rPr>
        <w:t> </w:t>
      </w:r>
      <w:r>
        <w:rPr>
          <w:sz w:val="22"/>
        </w:rPr>
        <w:t>to</w:t>
      </w:r>
      <w:r>
        <w:rPr>
          <w:spacing w:val="-9"/>
          <w:sz w:val="22"/>
        </w:rPr>
        <w:t> </w:t>
      </w:r>
      <w:r>
        <w:rPr>
          <w:sz w:val="22"/>
        </w:rPr>
        <w:t>a</w:t>
      </w:r>
      <w:r>
        <w:rPr>
          <w:spacing w:val="-11"/>
          <w:sz w:val="22"/>
        </w:rPr>
        <w:t> </w:t>
      </w:r>
      <w:r>
        <w:rPr>
          <w:sz w:val="22"/>
        </w:rPr>
        <w:t>printout</w:t>
      </w:r>
      <w:r>
        <w:rPr>
          <w:spacing w:val="-10"/>
          <w:sz w:val="22"/>
        </w:rPr>
        <w:t> </w:t>
      </w:r>
      <w:r>
        <w:rPr>
          <w:sz w:val="22"/>
        </w:rPr>
        <w:t>from</w:t>
      </w:r>
      <w:r>
        <w:rPr>
          <w:spacing w:val="-10"/>
          <w:sz w:val="22"/>
        </w:rPr>
        <w:t> </w:t>
      </w:r>
      <w:r>
        <w:rPr>
          <w:sz w:val="22"/>
        </w:rPr>
        <w:t>the Dallas Central Appraisal District website or the Dallas County website reflecting the applicant as the owner, an affidavit signed by the applicant attesting to home ownership, a</w:t>
      </w:r>
      <w:r>
        <w:rPr>
          <w:spacing w:val="-7"/>
          <w:sz w:val="22"/>
        </w:rPr>
        <w:t> </w:t>
      </w:r>
      <w:r>
        <w:rPr>
          <w:sz w:val="22"/>
        </w:rPr>
        <w:t>tax</w:t>
      </w:r>
      <w:r>
        <w:rPr>
          <w:spacing w:val="-9"/>
          <w:sz w:val="22"/>
        </w:rPr>
        <w:t> </w:t>
      </w:r>
      <w:r>
        <w:rPr>
          <w:sz w:val="22"/>
        </w:rPr>
        <w:t>receipt</w:t>
      </w:r>
      <w:r>
        <w:rPr>
          <w:spacing w:val="-8"/>
          <w:sz w:val="22"/>
        </w:rPr>
        <w:t> </w:t>
      </w:r>
      <w:r>
        <w:rPr>
          <w:sz w:val="22"/>
        </w:rPr>
        <w:t>for</w:t>
      </w:r>
      <w:r>
        <w:rPr>
          <w:spacing w:val="-9"/>
          <w:sz w:val="22"/>
        </w:rPr>
        <w:t> </w:t>
      </w:r>
      <w:r>
        <w:rPr>
          <w:sz w:val="22"/>
        </w:rPr>
        <w:t>the</w:t>
      </w:r>
      <w:r>
        <w:rPr>
          <w:spacing w:val="-7"/>
          <w:sz w:val="22"/>
        </w:rPr>
        <w:t> </w:t>
      </w:r>
      <w:r>
        <w:rPr>
          <w:sz w:val="22"/>
        </w:rPr>
        <w:t>property</w:t>
      </w:r>
      <w:r>
        <w:rPr>
          <w:spacing w:val="-9"/>
          <w:sz w:val="22"/>
        </w:rPr>
        <w:t> </w:t>
      </w:r>
      <w:r>
        <w:rPr>
          <w:sz w:val="22"/>
        </w:rPr>
        <w:t>that</w:t>
      </w:r>
      <w:r>
        <w:rPr>
          <w:spacing w:val="-8"/>
          <w:sz w:val="22"/>
        </w:rPr>
        <w:t> </w:t>
      </w:r>
      <w:r>
        <w:rPr>
          <w:sz w:val="22"/>
        </w:rPr>
        <w:t>reflects</w:t>
      </w:r>
      <w:r>
        <w:rPr>
          <w:spacing w:val="-9"/>
          <w:sz w:val="22"/>
        </w:rPr>
        <w:t> </w:t>
      </w:r>
      <w:r>
        <w:rPr>
          <w:sz w:val="22"/>
        </w:rPr>
        <w:t>the</w:t>
      </w:r>
      <w:r>
        <w:rPr>
          <w:spacing w:val="-10"/>
          <w:sz w:val="22"/>
        </w:rPr>
        <w:t> </w:t>
      </w:r>
      <w:r>
        <w:rPr>
          <w:sz w:val="22"/>
        </w:rPr>
        <w:t>applicant</w:t>
      </w:r>
      <w:r>
        <w:rPr>
          <w:spacing w:val="-6"/>
          <w:sz w:val="22"/>
        </w:rPr>
        <w:t> </w:t>
      </w:r>
      <w:r>
        <w:rPr>
          <w:sz w:val="22"/>
        </w:rPr>
        <w:t>as</w:t>
      </w:r>
      <w:r>
        <w:rPr>
          <w:spacing w:val="-10"/>
          <w:sz w:val="22"/>
        </w:rPr>
        <w:t> </w:t>
      </w:r>
      <w:r>
        <w:rPr>
          <w:sz w:val="22"/>
        </w:rPr>
        <w:t>the</w:t>
      </w:r>
      <w:r>
        <w:rPr>
          <w:spacing w:val="-7"/>
          <w:sz w:val="22"/>
        </w:rPr>
        <w:t> </w:t>
      </w:r>
      <w:r>
        <w:rPr>
          <w:sz w:val="22"/>
        </w:rPr>
        <w:t>owner,</w:t>
      </w:r>
      <w:r>
        <w:rPr>
          <w:spacing w:val="-8"/>
          <w:sz w:val="22"/>
        </w:rPr>
        <w:t> </w:t>
      </w:r>
      <w:r>
        <w:rPr>
          <w:sz w:val="22"/>
        </w:rPr>
        <w:t>or</w:t>
      </w:r>
      <w:r>
        <w:rPr>
          <w:spacing w:val="-9"/>
          <w:sz w:val="22"/>
        </w:rPr>
        <w:t> </w:t>
      </w:r>
      <w:r>
        <w:rPr>
          <w:sz w:val="22"/>
        </w:rPr>
        <w:t>proof</w:t>
      </w:r>
      <w:r>
        <w:rPr>
          <w:spacing w:val="-6"/>
          <w:sz w:val="22"/>
        </w:rPr>
        <w:t> </w:t>
      </w:r>
      <w:r>
        <w:rPr>
          <w:sz w:val="22"/>
        </w:rPr>
        <w:t>of</w:t>
      </w:r>
      <w:r>
        <w:rPr>
          <w:spacing w:val="-6"/>
          <w:sz w:val="22"/>
        </w:rPr>
        <w:t> </w:t>
      </w:r>
      <w:r>
        <w:rPr>
          <w:sz w:val="22"/>
        </w:rPr>
        <w:t>insurance on the property.</w:t>
      </w:r>
    </w:p>
    <w:p>
      <w:pPr>
        <w:pStyle w:val="BodyText"/>
        <w:rPr>
          <w:sz w:val="24"/>
        </w:rPr>
      </w:pPr>
    </w:p>
    <w:p>
      <w:pPr>
        <w:pStyle w:val="BodyText"/>
        <w:spacing w:before="10"/>
        <w:rPr>
          <w:sz w:val="19"/>
        </w:rPr>
      </w:pPr>
    </w:p>
    <w:p>
      <w:pPr>
        <w:pStyle w:val="Heading5"/>
        <w:ind w:left="119"/>
        <w:jc w:val="left"/>
      </w:pPr>
      <w:r>
        <w:rPr/>
        <w:pict>
          <v:shape style="position:absolute;margin-left:90.065002pt;margin-top:-3.928617pt;width:395.3pt;height:419pt;mso-position-horizontal-relative:page;mso-position-vertical-relative:paragraph;z-index:-17715200" id="docshape63" coordorigin="1801,-79" coordsize="7906,8380" path="m4498,7185l4492,7112,4477,7034,4455,6951,4432,6882,4403,6810,4367,6735,4325,6657,4276,6576,4237,6517,4200,6466,4200,7152,4197,7208,4186,7265,4167,7322,4138,7382,4097,7445,4044,7511,3979,7580,3674,7886,2216,6428,2517,6127,2598,6051,2672,5991,2740,5948,2801,5921,2868,5907,2941,5903,3020,5909,3105,5927,3195,5956,3255,5982,3317,6014,3380,6053,3446,6098,3514,6150,3584,6208,3656,6272,3729,6344,3789,6405,3845,6465,3896,6524,3943,6582,3986,6639,4025,6694,4059,6748,4101,6823,4136,6895,4163,6965,4183,7031,4196,7096,4200,7152,4200,6466,4194,6457,4148,6397,4098,6337,4045,6276,3989,6214,3929,6153,3865,6090,3801,6032,3737,5977,3673,5925,3643,5903,3609,5877,3546,5833,3482,5792,3419,5754,3346,5716,3274,5684,3203,5657,3132,5635,3062,5618,2992,5606,2923,5598,2850,5597,2779,5604,2709,5618,2642,5641,2577,5672,2528,5700,2476,5737,2420,5783,2359,5837,2294,5899,1801,6392,3710,8301,4124,7886,4226,7784,4287,7719,4341,7654,4386,7588,4424,7521,4454,7455,4476,7388,4491,7321,4498,7254,4498,7185xm6418,5592l6056,5464,5650,5322,5561,5292,5475,5268,5393,5249,5365,5244,5314,5235,5239,5225,5193,5223,5143,5226,5089,5233,5030,5244,5073,5174,5109,5105,5136,5036,5154,4967,5164,4898,5165,4830,5157,4762,5139,4684,5111,4608,5075,4534,5030,4461,4976,4390,4956,4367,4913,4321,4872,4283,4872,4841,4868,4896,4854,4951,4830,5008,4794,5066,4747,5127,4687,5191,4280,5598,3649,4967,4102,4514,4166,4457,4229,4413,4293,4384,4358,4369,4422,4367,4501,4383,4577,4412,4649,4457,4718,4517,4761,4564,4797,4615,4827,4669,4851,4725,4867,4784,4872,4841,4872,4283,4849,4262,4782,4209,4713,4164,4641,4125,4566,4093,4474,4065,4386,4052,4303,4054,4225,4070,4163,4095,4098,4132,4030,4180,3958,4239,3883,4311,3248,4945,5157,6853,5346,6664,4499,5817,4718,5598,4753,5563,4783,5536,4810,5515,4833,5501,4863,5487,4896,5476,4932,5469,4971,5464,5014,5464,5066,5470,5125,5480,5194,5496,5256,5514,5328,5535,5407,5560,5496,5589,6180,5830,6418,5592xm7780,4230l7415,4035,6555,3581,6555,3888,6070,4373,6030,4301,5989,4230,5748,3799,5708,3727,5668,3656,5629,3590,5590,3526,5550,3462,5509,3399,5467,3336,5424,3275,5380,3214,5436,3250,5498,3288,5564,3328,5635,3370,5792,3460,6555,3888,6555,3581,5862,3214,5286,2907,5082,3111,5277,3462,5316,3532,5701,4230,6207,5149,6441,5569,6642,5368,6565,5235,6298,4767,6221,4633,6481,4373,6820,4035,7173,4230,7565,4446,7780,4230xm8131,3879l7264,3012,7936,2341,7711,2115,7039,2787,6448,2196,7224,1420,6999,1195,6033,2160,7941,4069,8131,3879xm9707,2303l8024,620,8497,147,8272,-79,7138,1056,7363,1281,7834,810,9517,2493,9707,2303xe" filled="true" fillcolor="#c0c0c0" stroked="false">
            <v:path arrowok="t"/>
            <v:fill opacity="32896f" type="solid"/>
            <w10:wrap type="none"/>
          </v:shape>
        </w:pict>
      </w:r>
      <w:r>
        <w:rPr/>
        <w:t>Grant</w:t>
      </w:r>
      <w:r>
        <w:rPr>
          <w:spacing w:val="-6"/>
        </w:rPr>
        <w:t> </w:t>
      </w:r>
      <w:r>
        <w:rPr>
          <w:spacing w:val="-2"/>
        </w:rPr>
        <w:t>Terms:</w:t>
      </w:r>
    </w:p>
    <w:p>
      <w:pPr>
        <w:pStyle w:val="ListParagraph"/>
        <w:numPr>
          <w:ilvl w:val="1"/>
          <w:numId w:val="16"/>
        </w:numPr>
        <w:tabs>
          <w:tab w:pos="839" w:val="left" w:leader="none"/>
          <w:tab w:pos="840" w:val="left" w:leader="none"/>
        </w:tabs>
        <w:spacing w:line="240" w:lineRule="auto" w:before="2" w:after="0"/>
        <w:ind w:left="840" w:right="0" w:hanging="360"/>
        <w:jc w:val="left"/>
        <w:rPr>
          <w:rFonts w:ascii="Symbol" w:hAnsi="Symbol"/>
          <w:sz w:val="20"/>
        </w:rPr>
      </w:pPr>
      <w:r>
        <w:rPr>
          <w:sz w:val="22"/>
        </w:rPr>
        <w:t>Repairs</w:t>
      </w:r>
      <w:r>
        <w:rPr>
          <w:spacing w:val="-4"/>
          <w:sz w:val="22"/>
        </w:rPr>
        <w:t> </w:t>
      </w:r>
      <w:r>
        <w:rPr>
          <w:sz w:val="22"/>
        </w:rPr>
        <w:t>shall</w:t>
      </w:r>
      <w:r>
        <w:rPr>
          <w:spacing w:val="-5"/>
          <w:sz w:val="22"/>
        </w:rPr>
        <w:t> </w:t>
      </w:r>
      <w:r>
        <w:rPr>
          <w:sz w:val="22"/>
        </w:rPr>
        <w:t>not</w:t>
      </w:r>
      <w:r>
        <w:rPr>
          <w:spacing w:val="-6"/>
          <w:sz w:val="22"/>
        </w:rPr>
        <w:t> </w:t>
      </w:r>
      <w:r>
        <w:rPr>
          <w:sz w:val="22"/>
        </w:rPr>
        <w:t>exceed</w:t>
      </w:r>
      <w:r>
        <w:rPr>
          <w:spacing w:val="-7"/>
          <w:sz w:val="22"/>
        </w:rPr>
        <w:t> </w:t>
      </w:r>
      <w:r>
        <w:rPr>
          <w:sz w:val="22"/>
        </w:rPr>
        <w:t>$10,000.00</w:t>
      </w:r>
      <w:r>
        <w:rPr>
          <w:spacing w:val="-4"/>
          <w:sz w:val="22"/>
        </w:rPr>
        <w:t> </w:t>
      </w:r>
      <w:r>
        <w:rPr>
          <w:sz w:val="22"/>
        </w:rPr>
        <w:t>per</w:t>
      </w:r>
      <w:r>
        <w:rPr>
          <w:spacing w:val="-3"/>
          <w:sz w:val="22"/>
        </w:rPr>
        <w:t> </w:t>
      </w:r>
      <w:r>
        <w:rPr>
          <w:spacing w:val="-2"/>
          <w:sz w:val="22"/>
        </w:rPr>
        <w:t>household.</w:t>
      </w:r>
    </w:p>
    <w:p>
      <w:pPr>
        <w:pStyle w:val="BodyText"/>
        <w:rPr>
          <w:sz w:val="24"/>
        </w:rPr>
      </w:pPr>
    </w:p>
    <w:p>
      <w:pPr>
        <w:pStyle w:val="BodyText"/>
        <w:spacing w:before="11"/>
        <w:rPr>
          <w:sz w:val="19"/>
        </w:rPr>
      </w:pPr>
    </w:p>
    <w:p>
      <w:pPr>
        <w:pStyle w:val="Heading5"/>
        <w:spacing w:line="252" w:lineRule="exact"/>
        <w:ind w:left="119"/>
        <w:jc w:val="left"/>
      </w:pPr>
      <w:r>
        <w:rPr>
          <w:spacing w:val="-2"/>
        </w:rPr>
        <w:t>Funding</w:t>
      </w:r>
    </w:p>
    <w:p>
      <w:pPr>
        <w:pStyle w:val="BodyText"/>
        <w:ind w:left="119"/>
      </w:pPr>
      <w:r>
        <w:rPr/>
        <w:t>Various funding types may be used under this program and must follow the requirements of the funding type.</w:t>
      </w:r>
    </w:p>
    <w:p>
      <w:pPr>
        <w:pStyle w:val="BodyText"/>
        <w:spacing w:before="1"/>
      </w:pPr>
    </w:p>
    <w:p>
      <w:pPr>
        <w:pStyle w:val="BodyText"/>
        <w:ind w:left="120"/>
      </w:pPr>
      <w:r>
        <w:rPr/>
        <w:t>This</w:t>
      </w:r>
      <w:r>
        <w:rPr>
          <w:spacing w:val="40"/>
        </w:rPr>
        <w:t> </w:t>
      </w:r>
      <w:r>
        <w:rPr/>
        <w:t>program</w:t>
      </w:r>
      <w:r>
        <w:rPr>
          <w:spacing w:val="40"/>
        </w:rPr>
        <w:t> </w:t>
      </w:r>
      <w:r>
        <w:rPr/>
        <w:t>statement</w:t>
      </w:r>
      <w:r>
        <w:rPr>
          <w:spacing w:val="40"/>
        </w:rPr>
        <w:t> </w:t>
      </w:r>
      <w:r>
        <w:rPr/>
        <w:t>may</w:t>
      </w:r>
      <w:r>
        <w:rPr>
          <w:spacing w:val="40"/>
        </w:rPr>
        <w:t> </w:t>
      </w:r>
      <w:r>
        <w:rPr/>
        <w:t>be</w:t>
      </w:r>
      <w:r>
        <w:rPr>
          <w:spacing w:val="40"/>
        </w:rPr>
        <w:t> </w:t>
      </w:r>
      <w:r>
        <w:rPr/>
        <w:t>amended</w:t>
      </w:r>
      <w:r>
        <w:rPr>
          <w:spacing w:val="40"/>
        </w:rPr>
        <w:t> </w:t>
      </w:r>
      <w:r>
        <w:rPr/>
        <w:t>by</w:t>
      </w:r>
      <w:r>
        <w:rPr>
          <w:spacing w:val="40"/>
        </w:rPr>
        <w:t> </w:t>
      </w:r>
      <w:r>
        <w:rPr/>
        <w:t>the</w:t>
      </w:r>
      <w:r>
        <w:rPr>
          <w:spacing w:val="40"/>
        </w:rPr>
        <w:t> </w:t>
      </w:r>
      <w:r>
        <w:rPr/>
        <w:t>City</w:t>
      </w:r>
      <w:r>
        <w:rPr>
          <w:spacing w:val="40"/>
        </w:rPr>
        <w:t> </w:t>
      </w:r>
      <w:r>
        <w:rPr/>
        <w:t>Manager</w:t>
      </w:r>
      <w:r>
        <w:rPr>
          <w:spacing w:val="40"/>
        </w:rPr>
        <w:t> </w:t>
      </w:r>
      <w:r>
        <w:rPr/>
        <w:t>to</w:t>
      </w:r>
      <w:r>
        <w:rPr>
          <w:spacing w:val="40"/>
        </w:rPr>
        <w:t> </w:t>
      </w:r>
      <w:r>
        <w:rPr/>
        <w:t>include</w:t>
      </w:r>
      <w:r>
        <w:rPr>
          <w:spacing w:val="40"/>
        </w:rPr>
        <w:t> </w:t>
      </w:r>
      <w:r>
        <w:rPr/>
        <w:t>amendments</w:t>
      </w:r>
      <w:r>
        <w:rPr>
          <w:spacing w:val="40"/>
        </w:rPr>
        <w:t> </w:t>
      </w:r>
      <w:r>
        <w:rPr/>
        <w:t>as appropriate to meet funding requirements, as applicable.</w:t>
      </w:r>
    </w:p>
    <w:p>
      <w:pPr>
        <w:spacing w:after="0"/>
        <w:sectPr>
          <w:pgSz w:w="12240" w:h="15840"/>
          <w:pgMar w:header="0" w:footer="1738" w:top="1360" w:bottom="1920" w:left="1320" w:right="1280"/>
        </w:sectPr>
      </w:pPr>
    </w:p>
    <w:p>
      <w:pPr>
        <w:pStyle w:val="Heading3"/>
        <w:spacing w:line="259" w:lineRule="auto"/>
        <w:ind w:right="1028"/>
      </w:pPr>
      <w:bookmarkStart w:name="American Rescue Plan Act – Neighborhood " w:id="44"/>
      <w:bookmarkEnd w:id="44"/>
      <w:r>
        <w:rPr/>
      </w:r>
      <w:bookmarkStart w:name="_bookmark14" w:id="45"/>
      <w:bookmarkEnd w:id="45"/>
      <w:r>
        <w:rPr/>
      </w:r>
      <w:r>
        <w:rPr>
          <w:color w:val="001F5F"/>
        </w:rPr>
        <w:t>American</w:t>
      </w:r>
      <w:r>
        <w:rPr>
          <w:color w:val="001F5F"/>
          <w:spacing w:val="-7"/>
        </w:rPr>
        <w:t> </w:t>
      </w:r>
      <w:r>
        <w:rPr>
          <w:color w:val="001F5F"/>
        </w:rPr>
        <w:t>Rescue</w:t>
      </w:r>
      <w:r>
        <w:rPr>
          <w:color w:val="001F5F"/>
          <w:spacing w:val="-7"/>
        </w:rPr>
        <w:t> </w:t>
      </w:r>
      <w:r>
        <w:rPr>
          <w:color w:val="001F5F"/>
        </w:rPr>
        <w:t>Plan</w:t>
      </w:r>
      <w:r>
        <w:rPr>
          <w:color w:val="001F5F"/>
          <w:spacing w:val="-7"/>
        </w:rPr>
        <w:t> </w:t>
      </w:r>
      <w:r>
        <w:rPr>
          <w:color w:val="001F5F"/>
        </w:rPr>
        <w:t>Act</w:t>
      </w:r>
      <w:r>
        <w:rPr>
          <w:color w:val="001F5F"/>
          <w:spacing w:val="-7"/>
        </w:rPr>
        <w:t> </w:t>
      </w:r>
      <w:r>
        <w:rPr>
          <w:color w:val="001F5F"/>
        </w:rPr>
        <w:t>–</w:t>
      </w:r>
      <w:r>
        <w:rPr>
          <w:color w:val="001F5F"/>
          <w:spacing w:val="-7"/>
        </w:rPr>
        <w:t> </w:t>
      </w:r>
      <w:r>
        <w:rPr>
          <w:color w:val="001F5F"/>
        </w:rPr>
        <w:t>Neighborhood</w:t>
      </w:r>
      <w:r>
        <w:rPr>
          <w:color w:val="001F5F"/>
          <w:spacing w:val="-7"/>
        </w:rPr>
        <w:t> </w:t>
      </w:r>
      <w:r>
        <w:rPr>
          <w:color w:val="001F5F"/>
        </w:rPr>
        <w:t>Revitalization Program </w:t>
      </w:r>
      <w:r>
        <w:rPr>
          <w:color w:val="FF0000"/>
        </w:rPr>
        <w:t>Pillars 1, 3, 6</w:t>
      </w:r>
    </w:p>
    <w:p>
      <w:pPr>
        <w:pStyle w:val="BodyText"/>
        <w:spacing w:line="288" w:lineRule="auto" w:before="302"/>
        <w:ind w:left="119" w:right="154"/>
        <w:jc w:val="both"/>
      </w:pPr>
      <w:r>
        <w:rPr/>
        <w:pict>
          <v:shape style="position:absolute;margin-left:90.065002pt;margin-top:57.464046pt;width:395.3pt;height:419pt;mso-position-horizontal-relative:page;mso-position-vertical-relative:paragraph;z-index:-17714688" id="docshape64" coordorigin="1801,1149" coordsize="7906,8380" path="m4498,8413l4492,8340,4477,8262,4455,8179,4432,8110,4403,8037,4367,7962,4325,7885,4276,7804,4237,7745,4200,7694,4200,8380,4197,8436,4186,8493,4167,8550,4138,8610,4097,8673,4044,8739,3979,8808,3674,9114,2216,7656,2517,7355,2598,7279,2672,7219,2740,7176,2801,7149,2868,7135,2941,7130,3020,7137,3105,7155,3195,7184,3255,7210,3317,7242,3380,7281,3446,7326,3514,7377,3584,7436,3656,7500,3729,7572,3789,7633,3845,7693,3896,7752,3943,7810,3986,7867,4025,7922,4059,7976,4101,8051,4136,8123,4163,8192,4183,8259,4196,8323,4200,8380,4200,7694,4194,7685,4148,7625,4098,7565,4045,7504,3989,7442,3929,7380,3865,7318,3801,7260,3737,7205,3673,7153,3643,7130,3609,7105,3546,7061,3482,7020,3419,6982,3346,6944,3274,6912,3203,6884,3132,6862,3062,6845,2992,6833,2923,6826,2850,6825,2779,6831,2709,6846,2642,6869,2577,6899,2528,6928,2476,6965,2420,7010,2359,7064,2294,7127,1801,7620,3710,9528,4124,9114,4226,9012,4287,8947,4341,8881,4386,8816,4424,8749,4454,8682,4476,8616,4491,8549,4498,8482,4498,8413xm6418,6820l6056,6692,5650,6549,5561,6520,5475,6496,5393,6477,5365,6472,5314,6463,5239,6453,5193,6451,5143,6454,5089,6461,5030,6472,5073,6402,5109,6333,5136,6264,5154,6195,5164,6126,5165,6058,5157,5990,5139,5912,5111,5836,5075,5761,5030,5689,4976,5618,4956,5595,4913,5549,4872,5511,4872,6068,4868,6124,4854,6179,4830,6235,4794,6294,4747,6355,4687,6419,4280,6826,3649,6194,4102,5741,4166,5684,4229,5641,4293,5612,4358,5597,4422,5595,4501,5611,4577,5640,4649,5685,4718,5745,4761,5792,4797,5843,4827,5897,4851,5953,4867,6011,4872,6068,4872,5511,4849,5490,4782,5437,4713,5392,4641,5353,4566,5321,4474,5293,4386,5280,4303,5282,4225,5298,4163,5323,4098,5360,4030,5408,3958,5467,3883,5538,3248,6173,5157,8081,5346,7892,4499,7044,4718,6826,4753,6791,4783,6764,4810,6743,4833,6728,4863,6715,4896,6704,4932,6696,4971,6692,5014,6692,5066,6697,5125,6708,5194,6724,5256,6741,5328,6762,5407,6787,5496,6817,6180,7058,6418,6820xm7780,5458l7415,5262,6555,4808,6555,5115,6070,5601,6030,5529,5989,5457,5748,5027,5708,4955,5668,4884,5629,4818,5590,4753,5550,4690,5509,4626,5467,4564,5424,4503,5380,4442,5436,4478,5498,4516,5564,4556,5635,4598,5792,4688,6555,5115,6555,4808,5862,4442,5286,4135,5082,4339,5277,4690,5316,4760,5701,5458,6207,6377,6441,6797,6642,6596,6565,6463,6298,5994,6221,5861,6481,5601,6820,5262,7173,5458,7565,5673,7780,5458xm8131,5107l7264,4240,7936,3568,7711,3343,7039,4015,6448,3424,7224,2648,6999,2423,6033,3388,7941,5296,8131,5107xm9707,3531l8024,1848,8497,1374,8272,1149,7138,2284,7363,2509,7834,2037,9517,3721,9707,3531xe" filled="true" fillcolor="#c0c0c0" stroked="false">
            <v:path arrowok="t"/>
            <v:fill opacity="32896f" type="solid"/>
            <w10:wrap type="none"/>
          </v:shape>
        </w:pict>
      </w:r>
      <w:r>
        <w:rPr/>
        <w:t>To address the negative impacts of COVID-19, to preserve affordable housing and to invest in sidewalk, water, and sewer infrastructure improvements in (1) Qualified Census Tracts (QCTs), including but not limited to Tenth Street Historic District, Five Mile Neighborhood, Freedman's towns, and Joppa/Joppee, and (2) households outside of QC Ts whose household may have been disproportionally impacted by the COVID-19 pandemic and currently receives federal benefits through programs including: Temporary Assistance for Needy Families (TANF), Supplemental Nutrition Assistance Program (SNAP), Free and Reduced-Price Lunch (NSLP) and/or</w:t>
      </w:r>
      <w:r>
        <w:rPr>
          <w:spacing w:val="-10"/>
        </w:rPr>
        <w:t> </w:t>
      </w:r>
      <w:r>
        <w:rPr/>
        <w:t>School</w:t>
      </w:r>
      <w:r>
        <w:rPr>
          <w:spacing w:val="-11"/>
        </w:rPr>
        <w:t> </w:t>
      </w:r>
      <w:r>
        <w:rPr/>
        <w:t>Breakfast</w:t>
      </w:r>
      <w:r>
        <w:rPr>
          <w:spacing w:val="-14"/>
        </w:rPr>
        <w:t> </w:t>
      </w:r>
      <w:r>
        <w:rPr/>
        <w:t>(SBP)</w:t>
      </w:r>
      <w:r>
        <w:rPr>
          <w:spacing w:val="-10"/>
        </w:rPr>
        <w:t> </w:t>
      </w:r>
      <w:r>
        <w:rPr/>
        <w:t>programs,</w:t>
      </w:r>
      <w:r>
        <w:rPr>
          <w:spacing w:val="-12"/>
        </w:rPr>
        <w:t> </w:t>
      </w:r>
      <w:r>
        <w:rPr/>
        <w:t>Medicare</w:t>
      </w:r>
      <w:r>
        <w:rPr>
          <w:spacing w:val="-11"/>
        </w:rPr>
        <w:t> </w:t>
      </w:r>
      <w:r>
        <w:rPr/>
        <w:t>Part</w:t>
      </w:r>
      <w:r>
        <w:rPr>
          <w:spacing w:val="-9"/>
        </w:rPr>
        <w:t> </w:t>
      </w:r>
      <w:r>
        <w:rPr/>
        <w:t>D</w:t>
      </w:r>
      <w:r>
        <w:rPr>
          <w:spacing w:val="-11"/>
        </w:rPr>
        <w:t> </w:t>
      </w:r>
      <w:r>
        <w:rPr/>
        <w:t>Low-income</w:t>
      </w:r>
      <w:r>
        <w:rPr>
          <w:spacing w:val="-11"/>
        </w:rPr>
        <w:t> </w:t>
      </w:r>
      <w:r>
        <w:rPr/>
        <w:t>Subsidies,</w:t>
      </w:r>
      <w:r>
        <w:rPr>
          <w:spacing w:val="-9"/>
        </w:rPr>
        <w:t> </w:t>
      </w:r>
      <w:r>
        <w:rPr/>
        <w:t>Supplemental Security Income (SSI), Head Start and/or Early Head Start, Special Supplemental Nutrition Program</w:t>
      </w:r>
      <w:r>
        <w:rPr>
          <w:spacing w:val="-16"/>
        </w:rPr>
        <w:t> </w:t>
      </w:r>
      <w:r>
        <w:rPr/>
        <w:t>for</w:t>
      </w:r>
      <w:r>
        <w:rPr>
          <w:spacing w:val="-15"/>
        </w:rPr>
        <w:t> </w:t>
      </w:r>
      <w:r>
        <w:rPr/>
        <w:t>Women,</w:t>
      </w:r>
      <w:r>
        <w:rPr>
          <w:spacing w:val="-15"/>
        </w:rPr>
        <w:t> </w:t>
      </w:r>
      <w:r>
        <w:rPr/>
        <w:t>Infants,</w:t>
      </w:r>
      <w:r>
        <w:rPr>
          <w:spacing w:val="-16"/>
        </w:rPr>
        <w:t> </w:t>
      </w:r>
      <w:r>
        <w:rPr/>
        <w:t>and</w:t>
      </w:r>
      <w:r>
        <w:rPr>
          <w:spacing w:val="-15"/>
        </w:rPr>
        <w:t> </w:t>
      </w:r>
      <w:r>
        <w:rPr/>
        <w:t>Children</w:t>
      </w:r>
      <w:r>
        <w:rPr>
          <w:spacing w:val="-15"/>
        </w:rPr>
        <w:t> </w:t>
      </w:r>
      <w:r>
        <w:rPr/>
        <w:t>(WIC),</w:t>
      </w:r>
      <w:r>
        <w:rPr>
          <w:spacing w:val="-15"/>
        </w:rPr>
        <w:t> </w:t>
      </w:r>
      <w:r>
        <w:rPr/>
        <w:t>Section</w:t>
      </w:r>
      <w:r>
        <w:rPr>
          <w:spacing w:val="-16"/>
        </w:rPr>
        <w:t> </w:t>
      </w:r>
      <w:r>
        <w:rPr/>
        <w:t>8</w:t>
      </w:r>
      <w:r>
        <w:rPr>
          <w:spacing w:val="-15"/>
        </w:rPr>
        <w:t> </w:t>
      </w:r>
      <w:r>
        <w:rPr/>
        <w:t>Vouchers,</w:t>
      </w:r>
      <w:r>
        <w:rPr>
          <w:spacing w:val="-15"/>
        </w:rPr>
        <w:t> </w:t>
      </w:r>
      <w:r>
        <w:rPr/>
        <w:t>Low-Income</w:t>
      </w:r>
      <w:r>
        <w:rPr>
          <w:spacing w:val="-16"/>
        </w:rPr>
        <w:t> </w:t>
      </w:r>
      <w:r>
        <w:rPr/>
        <w:t>Home</w:t>
      </w:r>
      <w:r>
        <w:rPr>
          <w:spacing w:val="-15"/>
        </w:rPr>
        <w:t> </w:t>
      </w:r>
      <w:r>
        <w:rPr/>
        <w:t>Energy Assistance</w:t>
      </w:r>
      <w:r>
        <w:rPr>
          <w:spacing w:val="-5"/>
        </w:rPr>
        <w:t> </w:t>
      </w:r>
      <w:r>
        <w:rPr/>
        <w:t>Program</w:t>
      </w:r>
      <w:r>
        <w:rPr>
          <w:spacing w:val="-6"/>
        </w:rPr>
        <w:t> </w:t>
      </w:r>
      <w:r>
        <w:rPr/>
        <w:t>(LIHEAP)</w:t>
      </w:r>
      <w:r>
        <w:rPr>
          <w:spacing w:val="-4"/>
        </w:rPr>
        <w:t> </w:t>
      </w:r>
      <w:r>
        <w:rPr/>
        <w:t>and/or</w:t>
      </w:r>
      <w:r>
        <w:rPr>
          <w:spacing w:val="-6"/>
        </w:rPr>
        <w:t> </w:t>
      </w:r>
      <w:r>
        <w:rPr/>
        <w:t>Pell</w:t>
      </w:r>
      <w:r>
        <w:rPr>
          <w:spacing w:val="-6"/>
        </w:rPr>
        <w:t> </w:t>
      </w:r>
      <w:r>
        <w:rPr/>
        <w:t>Grants</w:t>
      </w:r>
      <w:r>
        <w:rPr>
          <w:spacing w:val="-7"/>
        </w:rPr>
        <w:t> </w:t>
      </w:r>
      <w:r>
        <w:rPr/>
        <w:t>(ARPA</w:t>
      </w:r>
      <w:r>
        <w:rPr>
          <w:spacing w:val="-5"/>
        </w:rPr>
        <w:t> </w:t>
      </w:r>
      <w:r>
        <w:rPr/>
        <w:t>Eligible</w:t>
      </w:r>
      <w:r>
        <w:rPr>
          <w:spacing w:val="-5"/>
        </w:rPr>
        <w:t> </w:t>
      </w:r>
      <w:r>
        <w:rPr/>
        <w:t>Households).</w:t>
      </w:r>
      <w:r>
        <w:rPr>
          <w:spacing w:val="-4"/>
        </w:rPr>
        <w:t> </w:t>
      </w:r>
      <w:r>
        <w:rPr/>
        <w:t>This</w:t>
      </w:r>
      <w:r>
        <w:rPr>
          <w:spacing w:val="-5"/>
        </w:rPr>
        <w:t> </w:t>
      </w:r>
      <w:r>
        <w:rPr/>
        <w:t>program</w:t>
      </w:r>
      <w:r>
        <w:rPr>
          <w:spacing w:val="-4"/>
        </w:rPr>
        <w:t> </w:t>
      </w:r>
      <w:r>
        <w:rPr/>
        <w:t>will</w:t>
      </w:r>
    </w:p>
    <w:p>
      <w:pPr>
        <w:pStyle w:val="BodyText"/>
        <w:spacing w:line="288" w:lineRule="auto" w:before="1"/>
        <w:ind w:left="119" w:right="156"/>
        <w:jc w:val="both"/>
      </w:pPr>
      <w:r>
        <w:rPr/>
        <w:t>(1) provide for the cost of repairs to homes (home repair activities), as households have been confined to residences and have engaged in more activities not previously or traditionally conducted</w:t>
      </w:r>
      <w:r>
        <w:rPr>
          <w:spacing w:val="-7"/>
        </w:rPr>
        <w:t> </w:t>
      </w:r>
      <w:r>
        <w:rPr/>
        <w:t>in</w:t>
      </w:r>
      <w:r>
        <w:rPr>
          <w:spacing w:val="-10"/>
        </w:rPr>
        <w:t> </w:t>
      </w:r>
      <w:r>
        <w:rPr/>
        <w:t>the</w:t>
      </w:r>
      <w:r>
        <w:rPr>
          <w:spacing w:val="-7"/>
        </w:rPr>
        <w:t> </w:t>
      </w:r>
      <w:r>
        <w:rPr/>
        <w:t>home</w:t>
      </w:r>
      <w:r>
        <w:rPr>
          <w:spacing w:val="-10"/>
        </w:rPr>
        <w:t> </w:t>
      </w:r>
      <w:r>
        <w:rPr/>
        <w:t>due</w:t>
      </w:r>
      <w:r>
        <w:rPr>
          <w:spacing w:val="-7"/>
        </w:rPr>
        <w:t> </w:t>
      </w:r>
      <w:r>
        <w:rPr/>
        <w:t>to</w:t>
      </w:r>
      <w:r>
        <w:rPr>
          <w:spacing w:val="-7"/>
        </w:rPr>
        <w:t> </w:t>
      </w:r>
      <w:r>
        <w:rPr/>
        <w:t>COVID-19,</w:t>
      </w:r>
      <w:r>
        <w:rPr>
          <w:spacing w:val="-8"/>
        </w:rPr>
        <w:t> </w:t>
      </w:r>
      <w:r>
        <w:rPr/>
        <w:t>such</w:t>
      </w:r>
      <w:r>
        <w:rPr>
          <w:spacing w:val="-7"/>
        </w:rPr>
        <w:t> </w:t>
      </w:r>
      <w:r>
        <w:rPr/>
        <w:t>as</w:t>
      </w:r>
      <w:r>
        <w:rPr>
          <w:spacing w:val="-9"/>
        </w:rPr>
        <w:t> </w:t>
      </w:r>
      <w:r>
        <w:rPr/>
        <w:t>schooling</w:t>
      </w:r>
      <w:r>
        <w:rPr>
          <w:spacing w:val="-7"/>
        </w:rPr>
        <w:t> </w:t>
      </w:r>
      <w:r>
        <w:rPr/>
        <w:t>and</w:t>
      </w:r>
      <w:r>
        <w:rPr>
          <w:spacing w:val="-7"/>
        </w:rPr>
        <w:t> </w:t>
      </w:r>
      <w:r>
        <w:rPr/>
        <w:t>work,</w:t>
      </w:r>
      <w:r>
        <w:rPr>
          <w:spacing w:val="-6"/>
        </w:rPr>
        <w:t> </w:t>
      </w:r>
      <w:r>
        <w:rPr/>
        <w:t>which</w:t>
      </w:r>
      <w:r>
        <w:rPr>
          <w:spacing w:val="-7"/>
        </w:rPr>
        <w:t> </w:t>
      </w:r>
      <w:r>
        <w:rPr/>
        <w:t>has</w:t>
      </w:r>
      <w:r>
        <w:rPr>
          <w:spacing w:val="-7"/>
        </w:rPr>
        <w:t> </w:t>
      </w:r>
      <w:r>
        <w:rPr/>
        <w:t>caused</w:t>
      </w:r>
      <w:r>
        <w:rPr>
          <w:spacing w:val="-7"/>
        </w:rPr>
        <w:t> </w:t>
      </w:r>
      <w:r>
        <w:rPr/>
        <w:t>greater wear and</w:t>
      </w:r>
      <w:r>
        <w:rPr>
          <w:spacing w:val="-2"/>
        </w:rPr>
        <w:t> </w:t>
      </w:r>
      <w:r>
        <w:rPr/>
        <w:t>tear on aging housing stock</w:t>
      </w:r>
      <w:r>
        <w:rPr>
          <w:spacing w:val="-1"/>
        </w:rPr>
        <w:t> </w:t>
      </w:r>
      <w:r>
        <w:rPr/>
        <w:t>already in need of repairs, thus</w:t>
      </w:r>
      <w:r>
        <w:rPr>
          <w:spacing w:val="-1"/>
        </w:rPr>
        <w:t> </w:t>
      </w:r>
      <w:r>
        <w:rPr/>
        <w:t>making the</w:t>
      </w:r>
      <w:r>
        <w:rPr>
          <w:spacing w:val="-2"/>
        </w:rPr>
        <w:t> </w:t>
      </w:r>
      <w:r>
        <w:rPr/>
        <w:t>living situation more difficult; and (2) provide for maintenance of sidewalk, water, and sewer infrastructure improvements which support home repair activities (infrastructure projects).</w:t>
      </w:r>
    </w:p>
    <w:p>
      <w:pPr>
        <w:pStyle w:val="BodyText"/>
        <w:spacing w:before="4"/>
        <w:rPr>
          <w:sz w:val="26"/>
        </w:rPr>
      </w:pPr>
    </w:p>
    <w:p>
      <w:pPr>
        <w:pStyle w:val="BodyText"/>
        <w:spacing w:line="288" w:lineRule="auto"/>
        <w:ind w:left="119" w:right="158"/>
        <w:jc w:val="both"/>
      </w:pPr>
      <w:r>
        <w:rPr/>
        <w:t>This Program may (1) utilize subrecipients or contractors to administer the Program; and/or (2) be</w:t>
      </w:r>
      <w:r>
        <w:rPr>
          <w:spacing w:val="-16"/>
        </w:rPr>
        <w:t> </w:t>
      </w:r>
      <w:r>
        <w:rPr/>
        <w:t>directly</w:t>
      </w:r>
      <w:r>
        <w:rPr>
          <w:spacing w:val="-15"/>
        </w:rPr>
        <w:t> </w:t>
      </w:r>
      <w:r>
        <w:rPr/>
        <w:t>administered</w:t>
      </w:r>
      <w:r>
        <w:rPr>
          <w:spacing w:val="-15"/>
        </w:rPr>
        <w:t> </w:t>
      </w:r>
      <w:r>
        <w:rPr/>
        <w:t>by</w:t>
      </w:r>
      <w:r>
        <w:rPr>
          <w:spacing w:val="-16"/>
        </w:rPr>
        <w:t> </w:t>
      </w:r>
      <w:r>
        <w:rPr/>
        <w:t>the</w:t>
      </w:r>
      <w:r>
        <w:rPr>
          <w:spacing w:val="-15"/>
        </w:rPr>
        <w:t> </w:t>
      </w:r>
      <w:r>
        <w:rPr/>
        <w:t>Department</w:t>
      </w:r>
      <w:r>
        <w:rPr>
          <w:spacing w:val="-15"/>
        </w:rPr>
        <w:t> </w:t>
      </w:r>
      <w:r>
        <w:rPr/>
        <w:t>of</w:t>
      </w:r>
      <w:r>
        <w:rPr>
          <w:spacing w:val="-15"/>
        </w:rPr>
        <w:t> </w:t>
      </w:r>
      <w:r>
        <w:rPr/>
        <w:t>Housing</w:t>
      </w:r>
      <w:r>
        <w:rPr>
          <w:spacing w:val="-16"/>
        </w:rPr>
        <w:t> </w:t>
      </w:r>
      <w:r>
        <w:rPr/>
        <w:t>&amp;</w:t>
      </w:r>
      <w:r>
        <w:rPr>
          <w:spacing w:val="-15"/>
        </w:rPr>
        <w:t> </w:t>
      </w:r>
      <w:r>
        <w:rPr/>
        <w:t>Neighborhood</w:t>
      </w:r>
      <w:r>
        <w:rPr>
          <w:spacing w:val="-15"/>
        </w:rPr>
        <w:t> </w:t>
      </w:r>
      <w:r>
        <w:rPr/>
        <w:t>Revitalization</w:t>
      </w:r>
      <w:r>
        <w:rPr>
          <w:spacing w:val="-16"/>
        </w:rPr>
        <w:t> </w:t>
      </w:r>
      <w:r>
        <w:rPr/>
        <w:t>("Housing") in concert with other departments.</w:t>
      </w:r>
    </w:p>
    <w:p>
      <w:pPr>
        <w:pStyle w:val="BodyText"/>
        <w:spacing w:before="4"/>
        <w:rPr>
          <w:sz w:val="26"/>
        </w:rPr>
      </w:pPr>
    </w:p>
    <w:p>
      <w:pPr>
        <w:pStyle w:val="Heading5"/>
        <w:spacing w:before="1"/>
        <w:ind w:left="119"/>
      </w:pPr>
      <w:r>
        <w:rPr/>
        <w:t>Program</w:t>
      </w:r>
      <w:r>
        <w:rPr>
          <w:spacing w:val="-5"/>
        </w:rPr>
        <w:t> </w:t>
      </w:r>
      <w:r>
        <w:rPr>
          <w:spacing w:val="-2"/>
        </w:rPr>
        <w:t>Overview</w:t>
      </w:r>
    </w:p>
    <w:p>
      <w:pPr>
        <w:pStyle w:val="BodyText"/>
        <w:spacing w:line="288" w:lineRule="auto" w:before="51"/>
        <w:ind w:left="119" w:right="161"/>
        <w:jc w:val="both"/>
      </w:pPr>
      <w:r>
        <w:rPr/>
        <w:t>All portions of this program operate under the same program guidelines, including qualification, eligibility, grant terms and program review.</w:t>
      </w:r>
    </w:p>
    <w:p>
      <w:pPr>
        <w:pStyle w:val="BodyText"/>
        <w:spacing w:before="4"/>
        <w:rPr>
          <w:sz w:val="26"/>
        </w:rPr>
      </w:pPr>
    </w:p>
    <w:p>
      <w:pPr>
        <w:pStyle w:val="Heading5"/>
        <w:ind w:left="119"/>
      </w:pPr>
      <w:r>
        <w:rPr/>
        <w:t>Funding</w:t>
      </w:r>
      <w:r>
        <w:rPr>
          <w:spacing w:val="-3"/>
        </w:rPr>
        <w:t> </w:t>
      </w:r>
      <w:r>
        <w:rPr>
          <w:spacing w:val="-2"/>
        </w:rPr>
        <w:t>Source</w:t>
      </w:r>
    </w:p>
    <w:p>
      <w:pPr>
        <w:pStyle w:val="BodyText"/>
        <w:spacing w:line="288" w:lineRule="auto" w:before="52"/>
        <w:ind w:left="119" w:right="155"/>
        <w:jc w:val="both"/>
      </w:pPr>
      <w:r>
        <w:rPr/>
        <w:t>The initial allocation of American Rescue Plan Act (ARPA) Coronavirus State and Local Fiscal Recovery Funds (CSLFRF) applies to home repair activities and infrastructure projects to be completed in three neighborhoods - Tenth Street Historic District, Five Mile, and Joppa/Joppee. Funding will be targeted to home repair and infrastructure activities in these communities; however, Housing staff may reevaluate unused portions of the initial funding in time to mobilize funding by the end of FY 2024 and redirect unused funding to other QCTs and ARPA Eligible Households. Existing boundaries for Five Mile and Joppa/Joppee can be</w:t>
      </w:r>
      <w:r>
        <w:rPr>
          <w:spacing w:val="-2"/>
        </w:rPr>
        <w:t> </w:t>
      </w:r>
      <w:r>
        <w:rPr/>
        <w:t>seen in maps 1 and 2. Original and Adjusted</w:t>
      </w:r>
      <w:r>
        <w:rPr>
          <w:spacing w:val="-2"/>
        </w:rPr>
        <w:t> </w:t>
      </w:r>
      <w:r>
        <w:rPr/>
        <w:t>boundaries for Tenth</w:t>
      </w:r>
      <w:r>
        <w:rPr>
          <w:spacing w:val="-2"/>
        </w:rPr>
        <w:t> </w:t>
      </w:r>
      <w:r>
        <w:rPr/>
        <w:t>Street Historic District can</w:t>
      </w:r>
      <w:r>
        <w:rPr>
          <w:spacing w:val="-2"/>
        </w:rPr>
        <w:t> </w:t>
      </w:r>
      <w:r>
        <w:rPr/>
        <w:t>be seen in maps 3</w:t>
      </w:r>
      <w:r>
        <w:rPr>
          <w:spacing w:val="-2"/>
        </w:rPr>
        <w:t> </w:t>
      </w:r>
      <w:r>
        <w:rPr/>
        <w:t>and 4.</w:t>
      </w:r>
    </w:p>
    <w:p>
      <w:pPr>
        <w:spacing w:after="0" w:line="288" w:lineRule="auto"/>
        <w:jc w:val="both"/>
        <w:sectPr>
          <w:pgSz w:w="12240" w:h="15840"/>
          <w:pgMar w:header="0" w:footer="1738" w:top="1380" w:bottom="1920" w:left="1320" w:right="1280"/>
        </w:sectPr>
      </w:pPr>
    </w:p>
    <w:p>
      <w:pPr>
        <w:pStyle w:val="BodyText"/>
        <w:spacing w:line="288" w:lineRule="auto" w:before="80"/>
        <w:ind w:left="119" w:right="153"/>
        <w:jc w:val="both"/>
      </w:pPr>
      <w:r>
        <w:rPr/>
        <w:pict>
          <v:shape style="position:absolute;margin-left:90.065002pt;margin-top:101.208832pt;width:395.3pt;height:419pt;mso-position-horizontal-relative:page;mso-position-vertical-relative:paragraph;z-index:-17714176" id="docshape65" coordorigin="1801,2024" coordsize="7906,8380" path="m4498,9288l4492,9215,4477,9136,4455,9054,4432,8984,4403,8912,4367,8837,4325,8759,4276,8679,4237,8620,4200,8569,4200,9255,4197,9311,4186,9368,4167,9425,4138,9485,4097,9548,4044,9614,3979,9683,3674,9989,2216,8531,2517,8230,2598,8154,2672,8094,2740,8051,2801,8024,2868,8009,2941,8005,3020,8012,3105,8030,3195,8059,3255,8085,3317,8117,3380,8156,3446,8201,3514,8252,3584,8311,3656,8375,3729,8447,3789,8508,3845,8568,3896,8627,3943,8685,3986,8742,4025,8797,4059,8851,4101,8926,4136,8998,4163,9067,4183,9134,4196,9198,4200,9255,4200,8569,4194,8560,4148,8500,4098,8439,4045,8378,3989,8317,3929,8255,3865,8193,3801,8135,3737,8080,3673,8028,3643,8005,3609,7980,3546,7936,3482,7894,3419,7857,3346,7819,3274,7786,3203,7759,3132,7737,3062,7720,2992,7708,2923,7701,2850,7699,2779,7706,2709,7721,2642,7744,2577,7774,2528,7803,2476,7840,2420,7885,2359,7939,2294,8002,1801,8495,3710,10403,4124,9989,4226,9887,4287,9822,4341,9756,4386,9690,4424,9624,4454,9557,4476,9491,4491,9424,4498,9356,4498,9288xm6418,7695l6056,7567,5650,7424,5561,7395,5475,7371,5393,7352,5365,7347,5314,7338,5239,7328,5193,7326,5143,7329,5089,7336,5030,7347,5073,7277,5109,7208,5136,7139,5154,7070,5164,7001,5165,6933,5157,6865,5139,6787,5111,6711,5075,6636,5030,6564,4976,6493,4956,6470,4913,6424,4872,6386,4872,6943,4868,6999,4854,7054,4830,7110,4794,7169,4747,7230,4687,7293,4280,7701,3649,7069,4102,6616,4166,6559,4229,6516,4293,6487,4358,6471,4422,6470,4501,6485,4577,6515,4649,6560,4718,6619,4761,6667,4797,6718,4827,6772,4851,6828,4867,6886,4872,6943,4872,6386,4849,6365,4782,6312,4713,6267,4641,6228,4566,6196,4474,6168,4386,6155,4303,6157,4225,6173,4163,6198,4098,6234,4030,6283,3958,6342,3883,6413,3248,7048,5157,8956,5346,8767,4499,7919,4718,7701,4753,7666,4783,7639,4810,7618,4833,7603,4863,7590,4896,7579,4932,7571,4971,7567,5014,7567,5066,7572,5125,7583,5194,7599,5256,7616,5328,7637,5407,7662,5496,7691,6180,7933,6418,7695xm7780,6332l7415,6137,6555,5683,6555,5990,6070,6476,6030,6404,5989,6332,5748,5902,5708,5830,5668,5759,5629,5693,5590,5628,5550,5564,5509,5501,5467,5439,5424,5378,5380,5317,5436,5353,5498,5391,5564,5430,5635,5472,5792,5563,6555,5990,6555,5683,5862,5317,5286,5010,5082,5214,5277,5565,5316,5635,5701,6332,6207,7251,6441,7672,6642,7471,6565,7338,6298,6869,6221,6736,6481,6476,6820,6137,7173,6332,7565,6548,7780,6332xm8131,5982l7264,5115,7936,4443,7711,4218,7039,4890,6448,4299,7224,3523,6999,3297,6033,4263,7941,6171,8131,5982xm9707,4406l8024,2723,8497,2249,8272,2024,7138,3159,7363,3384,7834,2912,9517,4595,9707,4406xe" filled="true" fillcolor="#c0c0c0" stroked="false">
            <v:path arrowok="t"/>
            <v:fill opacity="32896f" type="solid"/>
            <w10:wrap type="none"/>
          </v:shape>
        </w:pict>
      </w:r>
      <w:r>
        <w:rPr/>
        <w:t>Up to an additional $10,000,000 may be allocated to the American Rescue Plan Act (ARPA) Neighborhood Revitalization Program through approval by the City Manager and appropriations by</w:t>
      </w:r>
      <w:r>
        <w:rPr>
          <w:spacing w:val="-2"/>
        </w:rPr>
        <w:t> </w:t>
      </w:r>
      <w:r>
        <w:rPr/>
        <w:t>the</w:t>
      </w:r>
      <w:r>
        <w:rPr>
          <w:spacing w:val="-5"/>
        </w:rPr>
        <w:t> </w:t>
      </w:r>
      <w:r>
        <w:rPr/>
        <w:t>Chief</w:t>
      </w:r>
      <w:r>
        <w:rPr>
          <w:spacing w:val="-4"/>
        </w:rPr>
        <w:t> </w:t>
      </w:r>
      <w:r>
        <w:rPr/>
        <w:t>Financial</w:t>
      </w:r>
      <w:r>
        <w:rPr>
          <w:spacing w:val="-3"/>
        </w:rPr>
        <w:t> </w:t>
      </w:r>
      <w:r>
        <w:rPr/>
        <w:t>Officer,</w:t>
      </w:r>
      <w:r>
        <w:rPr>
          <w:spacing w:val="-6"/>
        </w:rPr>
        <w:t> </w:t>
      </w:r>
      <w:r>
        <w:rPr/>
        <w:t>from</w:t>
      </w:r>
      <w:r>
        <w:rPr>
          <w:spacing w:val="-4"/>
        </w:rPr>
        <w:t> </w:t>
      </w:r>
      <w:r>
        <w:rPr/>
        <w:t>two</w:t>
      </w:r>
      <w:r>
        <w:rPr>
          <w:spacing w:val="-5"/>
        </w:rPr>
        <w:t> </w:t>
      </w:r>
      <w:r>
        <w:rPr/>
        <w:t>sources</w:t>
      </w:r>
      <w:r>
        <w:rPr>
          <w:spacing w:val="-5"/>
        </w:rPr>
        <w:t> </w:t>
      </w:r>
      <w:r>
        <w:rPr/>
        <w:t>(1)</w:t>
      </w:r>
      <w:r>
        <w:rPr>
          <w:spacing w:val="-1"/>
        </w:rPr>
        <w:t> </w:t>
      </w:r>
      <w:r>
        <w:rPr/>
        <w:t>Councilmember</w:t>
      </w:r>
      <w:r>
        <w:rPr>
          <w:spacing w:val="-4"/>
        </w:rPr>
        <w:t> </w:t>
      </w:r>
      <w:r>
        <w:rPr/>
        <w:t>discretionary</w:t>
      </w:r>
      <w:r>
        <w:rPr>
          <w:spacing w:val="-5"/>
        </w:rPr>
        <w:t> </w:t>
      </w:r>
      <w:r>
        <w:rPr/>
        <w:t>ARPA</w:t>
      </w:r>
      <w:r>
        <w:rPr>
          <w:spacing w:val="-3"/>
        </w:rPr>
        <w:t> </w:t>
      </w:r>
      <w:r>
        <w:rPr/>
        <w:t>funding, to be used in QC Ts throughout their district; and (2) other unused or underutilized ARPA allocations from various departments and various units, to be used in QCTs city-wide. Councilmembers</w:t>
      </w:r>
      <w:r>
        <w:rPr>
          <w:spacing w:val="-7"/>
        </w:rPr>
        <w:t> </w:t>
      </w:r>
      <w:r>
        <w:rPr/>
        <w:t>may</w:t>
      </w:r>
      <w:r>
        <w:rPr>
          <w:spacing w:val="-5"/>
        </w:rPr>
        <w:t> </w:t>
      </w:r>
      <w:r>
        <w:rPr/>
        <w:t>use</w:t>
      </w:r>
      <w:r>
        <w:rPr>
          <w:spacing w:val="-5"/>
        </w:rPr>
        <w:t> </w:t>
      </w:r>
      <w:r>
        <w:rPr/>
        <w:t>ARPA</w:t>
      </w:r>
      <w:r>
        <w:rPr>
          <w:spacing w:val="-5"/>
        </w:rPr>
        <w:t> </w:t>
      </w:r>
      <w:r>
        <w:rPr/>
        <w:t>discretionary</w:t>
      </w:r>
      <w:r>
        <w:rPr>
          <w:spacing w:val="-7"/>
        </w:rPr>
        <w:t> </w:t>
      </w:r>
      <w:r>
        <w:rPr/>
        <w:t>funding</w:t>
      </w:r>
      <w:r>
        <w:rPr>
          <w:spacing w:val="-5"/>
        </w:rPr>
        <w:t> </w:t>
      </w:r>
      <w:r>
        <w:rPr/>
        <w:t>within</w:t>
      </w:r>
      <w:r>
        <w:rPr>
          <w:spacing w:val="-5"/>
        </w:rPr>
        <w:t> </w:t>
      </w:r>
      <w:r>
        <w:rPr/>
        <w:t>their</w:t>
      </w:r>
      <w:r>
        <w:rPr>
          <w:spacing w:val="-4"/>
        </w:rPr>
        <w:t> </w:t>
      </w:r>
      <w:r>
        <w:rPr/>
        <w:t>districts</w:t>
      </w:r>
      <w:r>
        <w:rPr>
          <w:spacing w:val="-7"/>
        </w:rPr>
        <w:t> </w:t>
      </w:r>
      <w:r>
        <w:rPr/>
        <w:t>to</w:t>
      </w:r>
      <w:r>
        <w:rPr>
          <w:spacing w:val="-5"/>
        </w:rPr>
        <w:t> </w:t>
      </w:r>
      <w:r>
        <w:rPr/>
        <w:t>serve</w:t>
      </w:r>
      <w:r>
        <w:rPr>
          <w:spacing w:val="-5"/>
        </w:rPr>
        <w:t> </w:t>
      </w:r>
      <w:r>
        <w:rPr/>
        <w:t>homeowners in QCTs. Discretionary ARPA funding from Councilmembers must be identified by December 2023. Additional funds</w:t>
      </w:r>
      <w:r>
        <w:rPr>
          <w:spacing w:val="-1"/>
        </w:rPr>
        <w:t> </w:t>
      </w:r>
      <w:r>
        <w:rPr/>
        <w:t>from unused or underutilized ARPA may be used in all QCT's throughout the City of Dallas, or for ARPA Eligible Households. Additional ARPA funding from various departments and various units must be identified by December 2023. Map 5, attached, shows eligible</w:t>
      </w:r>
      <w:r>
        <w:rPr>
          <w:spacing w:val="-15"/>
        </w:rPr>
        <w:t> </w:t>
      </w:r>
      <w:r>
        <w:rPr/>
        <w:t>QC</w:t>
      </w:r>
      <w:r>
        <w:rPr>
          <w:spacing w:val="-14"/>
        </w:rPr>
        <w:t> </w:t>
      </w:r>
      <w:r>
        <w:rPr/>
        <w:t>Ts</w:t>
      </w:r>
      <w:r>
        <w:rPr>
          <w:spacing w:val="-13"/>
        </w:rPr>
        <w:t> </w:t>
      </w:r>
      <w:r>
        <w:rPr/>
        <w:t>throughout</w:t>
      </w:r>
      <w:r>
        <w:rPr>
          <w:spacing w:val="-15"/>
        </w:rPr>
        <w:t> </w:t>
      </w:r>
      <w:r>
        <w:rPr/>
        <w:t>the</w:t>
      </w:r>
      <w:r>
        <w:rPr>
          <w:spacing w:val="-14"/>
        </w:rPr>
        <w:t> </w:t>
      </w:r>
      <w:r>
        <w:rPr/>
        <w:t>City</w:t>
      </w:r>
      <w:r>
        <w:rPr>
          <w:spacing w:val="-16"/>
        </w:rPr>
        <w:t> </w:t>
      </w:r>
      <w:r>
        <w:rPr/>
        <w:t>of</w:t>
      </w:r>
      <w:r>
        <w:rPr>
          <w:spacing w:val="-14"/>
        </w:rPr>
        <w:t> </w:t>
      </w:r>
      <w:r>
        <w:rPr/>
        <w:t>Dallas.</w:t>
      </w:r>
      <w:r>
        <w:rPr>
          <w:spacing w:val="-12"/>
        </w:rPr>
        <w:t> </w:t>
      </w:r>
      <w:r>
        <w:rPr/>
        <w:t>The</w:t>
      </w:r>
      <w:r>
        <w:rPr>
          <w:spacing w:val="-14"/>
        </w:rPr>
        <w:t> </w:t>
      </w:r>
      <w:r>
        <w:rPr/>
        <w:t>City</w:t>
      </w:r>
      <w:r>
        <w:rPr>
          <w:spacing w:val="-13"/>
        </w:rPr>
        <w:t> </w:t>
      </w:r>
      <w:r>
        <w:rPr/>
        <w:t>Manager</w:t>
      </w:r>
      <w:r>
        <w:rPr>
          <w:spacing w:val="-15"/>
        </w:rPr>
        <w:t> </w:t>
      </w:r>
      <w:r>
        <w:rPr/>
        <w:t>may</w:t>
      </w:r>
      <w:r>
        <w:rPr>
          <w:spacing w:val="-16"/>
        </w:rPr>
        <w:t> </w:t>
      </w:r>
      <w:r>
        <w:rPr/>
        <w:t>make</w:t>
      </w:r>
      <w:r>
        <w:rPr>
          <w:spacing w:val="-15"/>
        </w:rPr>
        <w:t> </w:t>
      </w:r>
      <w:r>
        <w:rPr/>
        <w:t>modifications</w:t>
      </w:r>
      <w:r>
        <w:rPr>
          <w:spacing w:val="-13"/>
        </w:rPr>
        <w:t> </w:t>
      </w:r>
      <w:r>
        <w:rPr/>
        <w:t>to</w:t>
      </w:r>
      <w:r>
        <w:rPr>
          <w:spacing w:val="-16"/>
        </w:rPr>
        <w:t> </w:t>
      </w:r>
      <w:r>
        <w:rPr/>
        <w:t>funding applicability and timelines as funding becomes available.</w:t>
      </w:r>
    </w:p>
    <w:p>
      <w:pPr>
        <w:pStyle w:val="BodyText"/>
        <w:spacing w:before="3"/>
        <w:rPr>
          <w:sz w:val="26"/>
        </w:rPr>
      </w:pPr>
    </w:p>
    <w:p>
      <w:pPr>
        <w:pStyle w:val="Heading5"/>
        <w:spacing w:before="1"/>
        <w:ind w:left="119"/>
      </w:pPr>
      <w:r>
        <w:rPr/>
        <w:t>Home</w:t>
      </w:r>
      <w:r>
        <w:rPr>
          <w:spacing w:val="-3"/>
        </w:rPr>
        <w:t> </w:t>
      </w:r>
      <w:r>
        <w:rPr/>
        <w:t>Repair</w:t>
      </w:r>
      <w:r>
        <w:rPr>
          <w:spacing w:val="-4"/>
        </w:rPr>
        <w:t> </w:t>
      </w:r>
      <w:r>
        <w:rPr/>
        <w:t>Activities</w:t>
      </w:r>
      <w:r>
        <w:rPr>
          <w:spacing w:val="-5"/>
        </w:rPr>
        <w:t> </w:t>
      </w:r>
      <w:r>
        <w:rPr/>
        <w:t>in</w:t>
      </w:r>
      <w:r>
        <w:rPr>
          <w:spacing w:val="-4"/>
        </w:rPr>
        <w:t> </w:t>
      </w:r>
      <w:r>
        <w:rPr/>
        <w:t>QCTs</w:t>
      </w:r>
      <w:r>
        <w:rPr>
          <w:spacing w:val="-5"/>
        </w:rPr>
        <w:t> </w:t>
      </w:r>
      <w:r>
        <w:rPr/>
        <w:t>for</w:t>
      </w:r>
      <w:r>
        <w:rPr>
          <w:spacing w:val="-3"/>
        </w:rPr>
        <w:t> </w:t>
      </w:r>
      <w:r>
        <w:rPr>
          <w:spacing w:val="-2"/>
        </w:rPr>
        <w:t>Homeowners:</w:t>
      </w:r>
    </w:p>
    <w:p>
      <w:pPr>
        <w:pStyle w:val="BodyText"/>
        <w:spacing w:line="288" w:lineRule="auto" w:before="51"/>
        <w:ind w:left="119" w:right="154"/>
        <w:jc w:val="both"/>
      </w:pPr>
      <w:r>
        <w:rPr/>
        <w:t>Grants up to $100,000 per property may be provided to eligible applicants. The City or subrecipient, City or subrecipient selected contractor, and property owner(s) will enter into a tri- party agreement and the City or subrecipient will pay the contractor directly for the work performed.</w:t>
      </w:r>
      <w:r>
        <w:rPr>
          <w:spacing w:val="-5"/>
        </w:rPr>
        <w:t> </w:t>
      </w:r>
      <w:r>
        <w:rPr/>
        <w:t>No</w:t>
      </w:r>
      <w:r>
        <w:rPr>
          <w:spacing w:val="-9"/>
        </w:rPr>
        <w:t> </w:t>
      </w:r>
      <w:r>
        <w:rPr/>
        <w:t>work</w:t>
      </w:r>
      <w:r>
        <w:rPr>
          <w:spacing w:val="-6"/>
        </w:rPr>
        <w:t> </w:t>
      </w:r>
      <w:r>
        <w:rPr/>
        <w:t>shall</w:t>
      </w:r>
      <w:r>
        <w:rPr>
          <w:spacing w:val="-9"/>
        </w:rPr>
        <w:t> </w:t>
      </w:r>
      <w:r>
        <w:rPr/>
        <w:t>begin</w:t>
      </w:r>
      <w:r>
        <w:rPr>
          <w:spacing w:val="-6"/>
        </w:rPr>
        <w:t> </w:t>
      </w:r>
      <w:r>
        <w:rPr/>
        <w:t>prior</w:t>
      </w:r>
      <w:r>
        <w:rPr>
          <w:spacing w:val="-8"/>
        </w:rPr>
        <w:t> </w:t>
      </w:r>
      <w:r>
        <w:rPr/>
        <w:t>to</w:t>
      </w:r>
      <w:r>
        <w:rPr>
          <w:spacing w:val="-9"/>
        </w:rPr>
        <w:t> </w:t>
      </w:r>
      <w:r>
        <w:rPr/>
        <w:t>the</w:t>
      </w:r>
      <w:r>
        <w:rPr>
          <w:spacing w:val="-11"/>
        </w:rPr>
        <w:t> </w:t>
      </w:r>
      <w:r>
        <w:rPr/>
        <w:t>full</w:t>
      </w:r>
      <w:r>
        <w:rPr>
          <w:spacing w:val="-7"/>
        </w:rPr>
        <w:t> </w:t>
      </w:r>
      <w:r>
        <w:rPr/>
        <w:t>execution</w:t>
      </w:r>
      <w:r>
        <w:rPr>
          <w:spacing w:val="-6"/>
        </w:rPr>
        <w:t> </w:t>
      </w:r>
      <w:r>
        <w:rPr/>
        <w:t>of</w:t>
      </w:r>
      <w:r>
        <w:rPr>
          <w:spacing w:val="-7"/>
        </w:rPr>
        <w:t> </w:t>
      </w:r>
      <w:r>
        <w:rPr/>
        <w:t>the</w:t>
      </w:r>
      <w:r>
        <w:rPr>
          <w:spacing w:val="-9"/>
        </w:rPr>
        <w:t> </w:t>
      </w:r>
      <w:r>
        <w:rPr/>
        <w:t>tri-party</w:t>
      </w:r>
      <w:r>
        <w:rPr>
          <w:spacing w:val="-8"/>
        </w:rPr>
        <w:t> </w:t>
      </w:r>
      <w:r>
        <w:rPr/>
        <w:t>agreement</w:t>
      </w:r>
      <w:r>
        <w:rPr>
          <w:spacing w:val="-7"/>
        </w:rPr>
        <w:t> </w:t>
      </w:r>
      <w:r>
        <w:rPr/>
        <w:t>and</w:t>
      </w:r>
      <w:r>
        <w:rPr>
          <w:spacing w:val="-9"/>
        </w:rPr>
        <w:t> </w:t>
      </w:r>
      <w:r>
        <w:rPr/>
        <w:t>recording of the deed</w:t>
      </w:r>
      <w:r>
        <w:rPr>
          <w:spacing w:val="-2"/>
        </w:rPr>
        <w:t> </w:t>
      </w:r>
      <w:r>
        <w:rPr/>
        <w:t>restrictions. The home must be a single-family dwelling and constructed in or before 1959. Homes must be located within a QCT, or must qualify by being an ARPA Eligible Household.</w:t>
      </w:r>
      <w:r>
        <w:rPr>
          <w:spacing w:val="-6"/>
        </w:rPr>
        <w:t> </w:t>
      </w:r>
      <w:r>
        <w:rPr/>
        <w:t>The</w:t>
      </w:r>
      <w:r>
        <w:rPr>
          <w:spacing w:val="-10"/>
        </w:rPr>
        <w:t> </w:t>
      </w:r>
      <w:r>
        <w:rPr/>
        <w:t>City</w:t>
      </w:r>
      <w:r>
        <w:rPr>
          <w:spacing w:val="-7"/>
        </w:rPr>
        <w:t> </w:t>
      </w:r>
      <w:r>
        <w:rPr/>
        <w:t>will</w:t>
      </w:r>
      <w:r>
        <w:rPr>
          <w:spacing w:val="-10"/>
        </w:rPr>
        <w:t> </w:t>
      </w:r>
      <w:r>
        <w:rPr/>
        <w:t>use</w:t>
      </w:r>
      <w:r>
        <w:rPr>
          <w:spacing w:val="-7"/>
        </w:rPr>
        <w:t> </w:t>
      </w:r>
      <w:r>
        <w:rPr/>
        <w:t>contractors</w:t>
      </w:r>
      <w:r>
        <w:rPr>
          <w:spacing w:val="-9"/>
        </w:rPr>
        <w:t> </w:t>
      </w:r>
      <w:r>
        <w:rPr/>
        <w:t>qualified</w:t>
      </w:r>
      <w:r>
        <w:rPr>
          <w:spacing w:val="-10"/>
        </w:rPr>
        <w:t> </w:t>
      </w:r>
      <w:r>
        <w:rPr/>
        <w:t>under</w:t>
      </w:r>
      <w:r>
        <w:rPr>
          <w:spacing w:val="-6"/>
        </w:rPr>
        <w:t> </w:t>
      </w:r>
      <w:r>
        <w:rPr/>
        <w:t>similar</w:t>
      </w:r>
      <w:r>
        <w:rPr>
          <w:spacing w:val="-6"/>
        </w:rPr>
        <w:t> </w:t>
      </w:r>
      <w:r>
        <w:rPr/>
        <w:t>home</w:t>
      </w:r>
      <w:r>
        <w:rPr>
          <w:spacing w:val="-10"/>
        </w:rPr>
        <w:t> </w:t>
      </w:r>
      <w:r>
        <w:rPr/>
        <w:t>repair</w:t>
      </w:r>
      <w:r>
        <w:rPr>
          <w:spacing w:val="-6"/>
        </w:rPr>
        <w:t> </w:t>
      </w:r>
      <w:r>
        <w:rPr/>
        <w:t>programs</w:t>
      </w:r>
      <w:r>
        <w:rPr>
          <w:spacing w:val="-9"/>
        </w:rPr>
        <w:t> </w:t>
      </w:r>
      <w:r>
        <w:rPr/>
        <w:t>to</w:t>
      </w:r>
      <w:r>
        <w:rPr>
          <w:spacing w:val="-10"/>
        </w:rPr>
        <w:t> </w:t>
      </w:r>
      <w:r>
        <w:rPr/>
        <w:t>conduct the work, subject to compliance with applicable local, state and federal laws.</w:t>
      </w:r>
    </w:p>
    <w:p>
      <w:pPr>
        <w:pStyle w:val="BodyText"/>
        <w:spacing w:before="4"/>
        <w:rPr>
          <w:sz w:val="26"/>
        </w:rPr>
      </w:pPr>
    </w:p>
    <w:p>
      <w:pPr>
        <w:pStyle w:val="Heading5"/>
        <w:ind w:left="119"/>
        <w:jc w:val="left"/>
      </w:pPr>
      <w:r>
        <w:rPr/>
        <w:t>Infrastructure,</w:t>
      </w:r>
      <w:r>
        <w:rPr>
          <w:spacing w:val="-8"/>
        </w:rPr>
        <w:t> </w:t>
      </w:r>
      <w:r>
        <w:rPr/>
        <w:t>Sidewalks,</w:t>
      </w:r>
      <w:r>
        <w:rPr>
          <w:spacing w:val="-6"/>
        </w:rPr>
        <w:t> </w:t>
      </w:r>
      <w:r>
        <w:rPr/>
        <w:t>Water,</w:t>
      </w:r>
      <w:r>
        <w:rPr>
          <w:spacing w:val="-6"/>
        </w:rPr>
        <w:t> </w:t>
      </w:r>
      <w:r>
        <w:rPr/>
        <w:t>and</w:t>
      </w:r>
      <w:r>
        <w:rPr>
          <w:spacing w:val="-7"/>
        </w:rPr>
        <w:t> </w:t>
      </w:r>
      <w:r>
        <w:rPr/>
        <w:t>Sewer</w:t>
      </w:r>
      <w:r>
        <w:rPr>
          <w:spacing w:val="-9"/>
        </w:rPr>
        <w:t> </w:t>
      </w:r>
      <w:r>
        <w:rPr/>
        <w:t>Improvements</w:t>
      </w:r>
      <w:r>
        <w:rPr>
          <w:spacing w:val="-7"/>
        </w:rPr>
        <w:t> </w:t>
      </w:r>
      <w:r>
        <w:rPr/>
        <w:t>made</w:t>
      </w:r>
      <w:r>
        <w:rPr>
          <w:spacing w:val="-7"/>
        </w:rPr>
        <w:t> </w:t>
      </w:r>
      <w:r>
        <w:rPr/>
        <w:t>by</w:t>
      </w:r>
      <w:r>
        <w:rPr>
          <w:spacing w:val="-8"/>
        </w:rPr>
        <w:t> </w:t>
      </w:r>
      <w:r>
        <w:rPr/>
        <w:t>the</w:t>
      </w:r>
      <w:r>
        <w:rPr>
          <w:spacing w:val="-7"/>
        </w:rPr>
        <w:t> </w:t>
      </w:r>
      <w:r>
        <w:rPr/>
        <w:t>City</w:t>
      </w:r>
      <w:r>
        <w:rPr>
          <w:spacing w:val="-9"/>
        </w:rPr>
        <w:t> </w:t>
      </w:r>
      <w:r>
        <w:rPr/>
        <w:t>within</w:t>
      </w:r>
      <w:r>
        <w:rPr>
          <w:spacing w:val="-8"/>
        </w:rPr>
        <w:t> </w:t>
      </w:r>
      <w:r>
        <w:rPr>
          <w:spacing w:val="-2"/>
        </w:rPr>
        <w:t>QCTs:</w:t>
      </w:r>
    </w:p>
    <w:p>
      <w:pPr>
        <w:pStyle w:val="BodyText"/>
        <w:spacing w:before="52"/>
        <w:ind w:left="119"/>
      </w:pPr>
      <w:r>
        <w:rPr/>
        <w:t>The</w:t>
      </w:r>
      <w:r>
        <w:rPr>
          <w:spacing w:val="-6"/>
        </w:rPr>
        <w:t> </w:t>
      </w:r>
      <w:r>
        <w:rPr/>
        <w:t>City</w:t>
      </w:r>
      <w:r>
        <w:rPr>
          <w:spacing w:val="-6"/>
        </w:rPr>
        <w:t> </w:t>
      </w:r>
      <w:r>
        <w:rPr/>
        <w:t>may</w:t>
      </w:r>
      <w:r>
        <w:rPr>
          <w:spacing w:val="-6"/>
        </w:rPr>
        <w:t> </w:t>
      </w:r>
      <w:r>
        <w:rPr/>
        <w:t>perform</w:t>
      </w:r>
      <w:r>
        <w:rPr>
          <w:spacing w:val="-2"/>
        </w:rPr>
        <w:t> </w:t>
      </w:r>
      <w:r>
        <w:rPr/>
        <w:t>infrastructure</w:t>
      </w:r>
      <w:r>
        <w:rPr>
          <w:spacing w:val="-5"/>
        </w:rPr>
        <w:t> </w:t>
      </w:r>
      <w:r>
        <w:rPr/>
        <w:t>projects</w:t>
      </w:r>
      <w:r>
        <w:rPr>
          <w:spacing w:val="-6"/>
        </w:rPr>
        <w:t> </w:t>
      </w:r>
      <w:r>
        <w:rPr/>
        <w:t>in</w:t>
      </w:r>
      <w:r>
        <w:rPr>
          <w:spacing w:val="-6"/>
        </w:rPr>
        <w:t> </w:t>
      </w:r>
      <w:r>
        <w:rPr/>
        <w:t>QCT's</w:t>
      </w:r>
      <w:r>
        <w:rPr>
          <w:spacing w:val="-6"/>
        </w:rPr>
        <w:t> </w:t>
      </w:r>
      <w:r>
        <w:rPr/>
        <w:t>that</w:t>
      </w:r>
      <w:r>
        <w:rPr>
          <w:spacing w:val="-5"/>
        </w:rPr>
        <w:t> </w:t>
      </w:r>
      <w:r>
        <w:rPr/>
        <w:t>can</w:t>
      </w:r>
      <w:r>
        <w:rPr>
          <w:spacing w:val="-4"/>
        </w:rPr>
        <w:t> </w:t>
      </w:r>
      <w:r>
        <w:rPr/>
        <w:t>be</w:t>
      </w:r>
      <w:r>
        <w:rPr>
          <w:spacing w:val="-6"/>
        </w:rPr>
        <w:t> </w:t>
      </w:r>
      <w:r>
        <w:rPr/>
        <w:t>completed</w:t>
      </w:r>
      <w:r>
        <w:rPr>
          <w:spacing w:val="-4"/>
        </w:rPr>
        <w:t> </w:t>
      </w:r>
      <w:r>
        <w:rPr>
          <w:spacing w:val="-5"/>
        </w:rPr>
        <w:t>by</w:t>
      </w:r>
    </w:p>
    <w:p>
      <w:pPr>
        <w:pStyle w:val="BodyText"/>
        <w:spacing w:line="288" w:lineRule="auto" w:before="49"/>
        <w:ind w:left="119"/>
      </w:pPr>
      <w:r>
        <w:rPr/>
        <w:t>December 2025. Projects will be selected in coordination with the City of Dallas Public Works</w:t>
      </w:r>
      <w:r>
        <w:rPr>
          <w:spacing w:val="80"/>
        </w:rPr>
        <w:t> </w:t>
      </w:r>
      <w:r>
        <w:rPr/>
        <w:t>department. Projects funded must support home repair activities.</w:t>
      </w:r>
    </w:p>
    <w:p>
      <w:pPr>
        <w:pStyle w:val="BodyText"/>
        <w:spacing w:line="288" w:lineRule="auto"/>
        <w:ind w:left="119" w:right="50"/>
      </w:pPr>
      <w:r>
        <w:rPr/>
        <w:t>In addition, program funds are anticipated to be used for program administration, including staff positions, technology, and equipment.</w:t>
      </w:r>
    </w:p>
    <w:p>
      <w:pPr>
        <w:pStyle w:val="Heading5"/>
        <w:ind w:left="119"/>
        <w:jc w:val="left"/>
      </w:pPr>
      <w:r>
        <w:rPr/>
        <w:t>Eligibility</w:t>
      </w:r>
      <w:r>
        <w:rPr>
          <w:spacing w:val="-5"/>
        </w:rPr>
        <w:t> </w:t>
      </w:r>
      <w:r>
        <w:rPr>
          <w:spacing w:val="-2"/>
        </w:rPr>
        <w:t>Requirements</w:t>
      </w:r>
    </w:p>
    <w:p>
      <w:pPr>
        <w:pStyle w:val="BodyText"/>
        <w:spacing w:before="52"/>
        <w:ind w:left="119"/>
      </w:pPr>
      <w:r>
        <w:rPr/>
        <w:drawing>
          <wp:anchor distT="0" distB="0" distL="0" distR="0" allowOverlap="1" layoutInCell="1" locked="0" behindDoc="0" simplePos="0" relativeHeight="15762944">
            <wp:simplePos x="0" y="0"/>
            <wp:positionH relativeFrom="page">
              <wp:posOffset>5316931</wp:posOffset>
            </wp:positionH>
            <wp:positionV relativeFrom="paragraph">
              <wp:posOffset>66384</wp:posOffset>
            </wp:positionV>
            <wp:extent cx="60699" cy="97151"/>
            <wp:effectExtent l="0" t="0" r="0" b="0"/>
            <wp:wrapNone/>
            <wp:docPr id="27" name="image10.png"/>
            <wp:cNvGraphicFramePr>
              <a:graphicFrameLocks noChangeAspect="1"/>
            </wp:cNvGraphicFramePr>
            <a:graphic>
              <a:graphicData uri="http://schemas.openxmlformats.org/drawingml/2006/picture">
                <pic:pic>
                  <pic:nvPicPr>
                    <pic:cNvPr id="28" name="image10.png"/>
                    <pic:cNvPicPr/>
                  </pic:nvPicPr>
                  <pic:blipFill>
                    <a:blip r:embed="rId14" cstate="print"/>
                    <a:stretch>
                      <a:fillRect/>
                    </a:stretch>
                  </pic:blipFill>
                  <pic:spPr>
                    <a:xfrm>
                      <a:off x="0" y="0"/>
                      <a:ext cx="60699" cy="97151"/>
                    </a:xfrm>
                    <a:prstGeom prst="rect">
                      <a:avLst/>
                    </a:prstGeom>
                  </pic:spPr>
                </pic:pic>
              </a:graphicData>
            </a:graphic>
          </wp:anchor>
        </w:drawing>
      </w:r>
      <w:r>
        <w:rPr/>
        <w:t>Eligible</w:t>
      </w:r>
      <w:r>
        <w:rPr>
          <w:spacing w:val="-5"/>
        </w:rPr>
        <w:t> </w:t>
      </w:r>
      <w:r>
        <w:rPr/>
        <w:t>home</w:t>
      </w:r>
      <w:r>
        <w:rPr>
          <w:spacing w:val="-7"/>
        </w:rPr>
        <w:t> </w:t>
      </w:r>
      <w:r>
        <w:rPr/>
        <w:t>repair</w:t>
      </w:r>
      <w:r>
        <w:rPr>
          <w:spacing w:val="-3"/>
        </w:rPr>
        <w:t> </w:t>
      </w:r>
      <w:r>
        <w:rPr/>
        <w:t>activities</w:t>
      </w:r>
      <w:r>
        <w:rPr>
          <w:spacing w:val="-4"/>
        </w:rPr>
        <w:t> </w:t>
      </w:r>
      <w:r>
        <w:rPr/>
        <w:t>include</w:t>
      </w:r>
      <w:r>
        <w:rPr>
          <w:spacing w:val="-5"/>
        </w:rPr>
        <w:t> </w:t>
      </w:r>
      <w:r>
        <w:rPr/>
        <w:t>repairs</w:t>
      </w:r>
      <w:r>
        <w:rPr>
          <w:spacing w:val="-9"/>
        </w:rPr>
        <w:t> </w:t>
      </w:r>
      <w:r>
        <w:rPr/>
        <w:t>the</w:t>
      </w:r>
      <w:r>
        <w:rPr>
          <w:spacing w:val="-7"/>
        </w:rPr>
        <w:t> </w:t>
      </w:r>
      <w:r>
        <w:rPr/>
        <w:t>City</w:t>
      </w:r>
      <w:r>
        <w:rPr>
          <w:spacing w:val="-4"/>
        </w:rPr>
        <w:t> </w:t>
      </w:r>
      <w:r>
        <w:rPr/>
        <w:t>deems</w:t>
      </w:r>
      <w:r>
        <w:rPr>
          <w:spacing w:val="-6"/>
        </w:rPr>
        <w:t> </w:t>
      </w:r>
      <w:r>
        <w:rPr>
          <w:spacing w:val="-2"/>
        </w:rPr>
        <w:t>necessary</w:t>
      </w:r>
    </w:p>
    <w:p>
      <w:pPr>
        <w:pStyle w:val="ListParagraph"/>
        <w:numPr>
          <w:ilvl w:val="1"/>
          <w:numId w:val="16"/>
        </w:numPr>
        <w:tabs>
          <w:tab w:pos="840" w:val="left" w:leader="none"/>
        </w:tabs>
        <w:spacing w:line="288" w:lineRule="auto" w:before="50" w:after="0"/>
        <w:ind w:left="840" w:right="155" w:hanging="360"/>
        <w:jc w:val="both"/>
        <w:rPr>
          <w:rFonts w:ascii="Symbol" w:hAnsi="Symbol"/>
          <w:sz w:val="20"/>
        </w:rPr>
      </w:pPr>
      <w:r>
        <w:rPr/>
        <w:drawing>
          <wp:anchor distT="0" distB="0" distL="0" distR="0" allowOverlap="1" layoutInCell="1" locked="0" behindDoc="1" simplePos="0" relativeHeight="485603328">
            <wp:simplePos x="0" y="0"/>
            <wp:positionH relativeFrom="page">
              <wp:posOffset>6256121</wp:posOffset>
            </wp:positionH>
            <wp:positionV relativeFrom="paragraph">
              <wp:posOffset>301178</wp:posOffset>
            </wp:positionV>
            <wp:extent cx="57619" cy="54603"/>
            <wp:effectExtent l="0" t="0" r="0" b="0"/>
            <wp:wrapNone/>
            <wp:docPr id="29" name="image11.png"/>
            <wp:cNvGraphicFramePr>
              <a:graphicFrameLocks noChangeAspect="1"/>
            </wp:cNvGraphicFramePr>
            <a:graphic>
              <a:graphicData uri="http://schemas.openxmlformats.org/drawingml/2006/picture">
                <pic:pic>
                  <pic:nvPicPr>
                    <pic:cNvPr id="30" name="image11.png"/>
                    <pic:cNvPicPr/>
                  </pic:nvPicPr>
                  <pic:blipFill>
                    <a:blip r:embed="rId15" cstate="print"/>
                    <a:stretch>
                      <a:fillRect/>
                    </a:stretch>
                  </pic:blipFill>
                  <pic:spPr>
                    <a:xfrm>
                      <a:off x="0" y="0"/>
                      <a:ext cx="57619" cy="54603"/>
                    </a:xfrm>
                    <a:prstGeom prst="rect">
                      <a:avLst/>
                    </a:prstGeom>
                  </pic:spPr>
                </pic:pic>
              </a:graphicData>
            </a:graphic>
          </wp:anchor>
        </w:drawing>
      </w:r>
      <w:r>
        <w:rPr>
          <w:sz w:val="22"/>
        </w:rPr>
        <w:t>Repairs necessary to bring the structure and infrastructure into compliance with local, state, and/or federal law, including but not limited to the Dallas City Code.</w:t>
      </w:r>
      <w:r>
        <w:rPr>
          <w:spacing w:val="80"/>
          <w:sz w:val="22"/>
        </w:rPr>
        <w:t> </w:t>
      </w:r>
      <w:r>
        <w:rPr>
          <w:sz w:val="22"/>
        </w:rPr>
        <w:t>Repairs necessary to preserve the property's structural integrity.</w:t>
      </w:r>
    </w:p>
    <w:p>
      <w:pPr>
        <w:pStyle w:val="ListParagraph"/>
        <w:numPr>
          <w:ilvl w:val="1"/>
          <w:numId w:val="16"/>
        </w:numPr>
        <w:tabs>
          <w:tab w:pos="840" w:val="left" w:leader="none"/>
        </w:tabs>
        <w:spacing w:line="288" w:lineRule="auto" w:before="1" w:after="0"/>
        <w:ind w:left="840" w:right="156" w:hanging="360"/>
        <w:jc w:val="both"/>
        <w:rPr>
          <w:rFonts w:ascii="Symbol" w:hAnsi="Symbol"/>
          <w:sz w:val="20"/>
        </w:rPr>
      </w:pPr>
      <w:r>
        <w:rPr>
          <w:sz w:val="22"/>
        </w:rPr>
        <w:t>Repairs necessary to preserve the property's historic integrity as required by the City's Certificate of Appropriateness and Landmark Commission processes. The goal is to improve the property starting with the home and then the landscape to improve both the living condition as well as the neighborhood.</w:t>
      </w:r>
    </w:p>
    <w:p>
      <w:pPr>
        <w:pStyle w:val="ListParagraph"/>
        <w:numPr>
          <w:ilvl w:val="1"/>
          <w:numId w:val="16"/>
        </w:numPr>
        <w:tabs>
          <w:tab w:pos="840" w:val="left" w:leader="none"/>
        </w:tabs>
        <w:spacing w:line="288" w:lineRule="auto" w:before="0" w:after="0"/>
        <w:ind w:left="840" w:right="155" w:hanging="360"/>
        <w:jc w:val="both"/>
        <w:rPr>
          <w:rFonts w:ascii="Symbol" w:hAnsi="Symbol"/>
          <w:sz w:val="20"/>
        </w:rPr>
      </w:pPr>
      <w:r>
        <w:rPr>
          <w:sz w:val="22"/>
        </w:rPr>
        <w:t>Sidewalk, water and sewer improvements where additional funding will expedite completion of projects in QCTs.</w:t>
      </w:r>
    </w:p>
    <w:p>
      <w:pPr>
        <w:spacing w:after="0" w:line="288" w:lineRule="auto"/>
        <w:jc w:val="both"/>
        <w:rPr>
          <w:rFonts w:ascii="Symbol" w:hAnsi="Symbol"/>
          <w:sz w:val="20"/>
        </w:rPr>
        <w:sectPr>
          <w:pgSz w:w="12240" w:h="15840"/>
          <w:pgMar w:header="0" w:footer="1738" w:top="1360" w:bottom="1920" w:left="1320" w:right="1280"/>
        </w:sectPr>
      </w:pPr>
    </w:p>
    <w:p>
      <w:pPr>
        <w:pStyle w:val="Heading5"/>
        <w:spacing w:before="82"/>
      </w:pPr>
      <w:r>
        <w:rPr/>
        <w:drawing>
          <wp:anchor distT="0" distB="0" distL="0" distR="0" allowOverlap="1" layoutInCell="1" locked="0" behindDoc="0" simplePos="0" relativeHeight="15764480">
            <wp:simplePos x="0" y="0"/>
            <wp:positionH relativeFrom="page">
              <wp:posOffset>5866384</wp:posOffset>
            </wp:positionH>
            <wp:positionV relativeFrom="paragraph">
              <wp:posOffset>98679</wp:posOffset>
            </wp:positionV>
            <wp:extent cx="24127" cy="84477"/>
            <wp:effectExtent l="0" t="0" r="0" b="0"/>
            <wp:wrapNone/>
            <wp:docPr id="31" name="image12.png"/>
            <wp:cNvGraphicFramePr>
              <a:graphicFrameLocks noChangeAspect="1"/>
            </wp:cNvGraphicFramePr>
            <a:graphic>
              <a:graphicData uri="http://schemas.openxmlformats.org/drawingml/2006/picture">
                <pic:pic>
                  <pic:nvPicPr>
                    <pic:cNvPr id="32" name="image12.png"/>
                    <pic:cNvPicPr/>
                  </pic:nvPicPr>
                  <pic:blipFill>
                    <a:blip r:embed="rId16" cstate="print"/>
                    <a:stretch>
                      <a:fillRect/>
                    </a:stretch>
                  </pic:blipFill>
                  <pic:spPr>
                    <a:xfrm>
                      <a:off x="0" y="0"/>
                      <a:ext cx="24127" cy="84477"/>
                    </a:xfrm>
                    <a:prstGeom prst="rect">
                      <a:avLst/>
                    </a:prstGeom>
                  </pic:spPr>
                </pic:pic>
              </a:graphicData>
            </a:graphic>
          </wp:anchor>
        </w:drawing>
      </w:r>
      <w:r>
        <w:rPr/>
        <w:t>Eligible</w:t>
      </w:r>
      <w:r>
        <w:rPr>
          <w:spacing w:val="-8"/>
        </w:rPr>
        <w:t> </w:t>
      </w:r>
      <w:r>
        <w:rPr/>
        <w:t>infrastructure</w:t>
      </w:r>
      <w:r>
        <w:rPr>
          <w:spacing w:val="-6"/>
        </w:rPr>
        <w:t> </w:t>
      </w:r>
      <w:r>
        <w:rPr/>
        <w:t>projects</w:t>
      </w:r>
      <w:r>
        <w:rPr>
          <w:spacing w:val="-6"/>
        </w:rPr>
        <w:t> </w:t>
      </w:r>
      <w:r>
        <w:rPr/>
        <w:t>include,</w:t>
      </w:r>
      <w:r>
        <w:rPr>
          <w:spacing w:val="-2"/>
        </w:rPr>
        <w:t> </w:t>
      </w:r>
      <w:r>
        <w:rPr/>
        <w:t>but</w:t>
      </w:r>
      <w:r>
        <w:rPr>
          <w:spacing w:val="-2"/>
        </w:rPr>
        <w:t> </w:t>
      </w:r>
      <w:r>
        <w:rPr/>
        <w:t>are</w:t>
      </w:r>
      <w:r>
        <w:rPr>
          <w:spacing w:val="-3"/>
        </w:rPr>
        <w:t> </w:t>
      </w:r>
      <w:r>
        <w:rPr/>
        <w:t>not</w:t>
      </w:r>
      <w:r>
        <w:rPr>
          <w:spacing w:val="-5"/>
        </w:rPr>
        <w:t> </w:t>
      </w:r>
      <w:r>
        <w:rPr/>
        <w:t>limited</w:t>
      </w:r>
      <w:r>
        <w:rPr>
          <w:spacing w:val="-6"/>
        </w:rPr>
        <w:t> </w:t>
      </w:r>
      <w:r>
        <w:rPr/>
        <w:t>to,</w:t>
      </w:r>
      <w:r>
        <w:rPr>
          <w:spacing w:val="-5"/>
        </w:rPr>
        <w:t> </w:t>
      </w:r>
      <w:r>
        <w:rPr/>
        <w:t>the</w:t>
      </w:r>
      <w:r>
        <w:rPr>
          <w:spacing w:val="-5"/>
        </w:rPr>
        <w:t> </w:t>
      </w:r>
      <w:r>
        <w:rPr>
          <w:spacing w:val="-2"/>
        </w:rPr>
        <w:t>following</w:t>
      </w:r>
    </w:p>
    <w:p>
      <w:pPr>
        <w:pStyle w:val="BodyText"/>
        <w:spacing w:line="288" w:lineRule="auto" w:before="52"/>
        <w:ind w:left="120" w:right="155"/>
        <w:jc w:val="both"/>
      </w:pPr>
      <w:r>
        <w:rPr/>
        <w:pict>
          <v:shape style="position:absolute;margin-left:90.065002pt;margin-top:69.448853pt;width:395.3pt;height:419pt;mso-position-horizontal-relative:page;mso-position-vertical-relative:paragraph;z-index:-17712640" id="docshape66" coordorigin="1801,1389" coordsize="7906,8380" path="m4498,8653l4492,8579,4477,8501,4455,8418,4432,8349,4403,8277,4367,8202,4325,8124,4276,8043,4237,7984,4200,7934,4200,8619,4197,8676,4186,8732,4167,8790,4138,8850,4097,8912,4044,8978,3979,9048,3674,9353,2216,7896,2517,7595,2598,7519,2672,7459,2740,7415,2801,7389,2868,7374,2941,7370,3020,7377,3105,7395,3195,7424,3255,7450,3317,7482,3380,7520,3446,7566,3514,7617,3584,7675,3656,7740,3729,7811,3789,7873,3845,7933,3896,7992,3943,8050,3986,8106,4025,8162,4059,8216,4101,8290,4136,8362,4163,8432,4183,8499,4196,8563,4200,8619,4200,7934,4194,7925,4148,7865,4098,7804,4045,7743,3989,7682,3929,7620,3865,7558,3801,7499,3737,7444,3673,7393,3643,7370,3609,7345,3546,7300,3482,7259,3419,7221,3346,7184,3274,7151,3203,7124,3132,7102,3062,7085,2992,7073,2923,7066,2850,7064,2779,7071,2709,7086,2642,7109,2577,7139,2528,7167,2476,7204,2420,7250,2359,7304,2294,7367,1801,7860,3710,9768,4124,9353,4226,9252,4287,9186,4341,9121,4386,9055,4424,8989,4454,8922,4476,8856,4491,8789,4498,8721,4498,8653xm6418,7059l6056,6932,5650,6789,5561,6760,5475,6736,5393,6717,5365,6712,5314,6702,5239,6692,5193,6691,5143,6694,5089,6701,5030,6712,5073,6642,5109,6573,5136,6503,5154,6434,5164,6366,5165,6298,5157,6230,5139,6152,5111,6076,5075,6001,5030,5928,4976,5858,4956,5835,4913,5789,4872,5751,4872,6308,4868,6364,4854,6419,4830,6475,4794,6534,4747,6595,4687,6658,4280,7065,3649,6434,4102,5981,4166,5924,4229,5881,4293,5852,4358,5836,4422,5835,4501,5850,4577,5880,4649,5925,4718,5984,4761,6032,4797,6083,4827,6136,4851,6193,4867,6251,4872,6308,4872,5751,4849,5729,4782,5677,4713,5632,4641,5593,4566,5561,4474,5533,4386,5520,4303,5522,4225,5538,4163,5563,4098,5599,4030,5647,3958,5707,3883,5778,3248,6413,5157,8321,5346,8132,4499,7284,4718,7065,4753,7031,4783,7004,4810,6983,4833,6968,4863,6954,4896,6944,4932,6936,4971,6932,5014,6932,5066,6937,5125,6948,5194,6964,5256,6981,5328,7002,5407,7027,5496,7056,6180,7298,6418,7059xm7780,5697l7415,5502,6555,5048,6555,5355,6070,5840,6030,5769,5989,5697,5748,5267,5708,5195,5668,5123,5629,5058,5590,4993,5550,4929,5509,4866,5467,4804,5424,4742,5380,4682,5436,4718,5498,4755,5564,4795,5635,4837,5792,4928,6555,5355,6555,5048,5862,4682,5286,4375,5082,4579,5277,4929,5316,5000,5701,5697,6207,6616,6441,7037,6642,6836,6565,6702,6298,6234,6221,6101,6481,5840,6820,5502,7173,5697,7565,5913,7780,5697xm8131,5347l7264,4480,7936,3808,7711,3583,7039,4255,6448,3664,7224,2887,6999,2662,6033,3628,7941,5536,8131,5347xm9707,3771l8024,2088,8497,1614,8272,1389,7138,2524,7363,2749,7834,2277,9517,3960,9707,3771xe" filled="true" fillcolor="#c0c0c0" stroked="false">
            <v:path arrowok="t"/>
            <v:fill opacity="32896f" type="solid"/>
            <w10:wrap type="none"/>
          </v:shape>
        </w:pict>
      </w:r>
      <w:r>
        <w:rPr/>
        <w:t>Under the American Rescue Plan Act Section 602(c)(1)(A) or 603(c)(1)(A), a general infrastructure</w:t>
      </w:r>
      <w:r>
        <w:rPr>
          <w:spacing w:val="-15"/>
        </w:rPr>
        <w:t> </w:t>
      </w:r>
      <w:r>
        <w:rPr/>
        <w:t>project</w:t>
      </w:r>
      <w:r>
        <w:rPr>
          <w:spacing w:val="-15"/>
        </w:rPr>
        <w:t> </w:t>
      </w:r>
      <w:r>
        <w:rPr/>
        <w:t>typically</w:t>
      </w:r>
      <w:r>
        <w:rPr>
          <w:spacing w:val="-13"/>
        </w:rPr>
        <w:t> </w:t>
      </w:r>
      <w:r>
        <w:rPr/>
        <w:t>would</w:t>
      </w:r>
      <w:r>
        <w:rPr>
          <w:spacing w:val="-14"/>
        </w:rPr>
        <w:t> </w:t>
      </w:r>
      <w:r>
        <w:rPr/>
        <w:t>not</w:t>
      </w:r>
      <w:r>
        <w:rPr>
          <w:spacing w:val="-12"/>
        </w:rPr>
        <w:t> </w:t>
      </w:r>
      <w:r>
        <w:rPr/>
        <w:t>be</w:t>
      </w:r>
      <w:r>
        <w:rPr>
          <w:spacing w:val="-14"/>
        </w:rPr>
        <w:t> </w:t>
      </w:r>
      <w:r>
        <w:rPr/>
        <w:t>considered</w:t>
      </w:r>
      <w:r>
        <w:rPr>
          <w:spacing w:val="-14"/>
        </w:rPr>
        <w:t> </w:t>
      </w:r>
      <w:r>
        <w:rPr/>
        <w:t>a</w:t>
      </w:r>
      <w:r>
        <w:rPr>
          <w:spacing w:val="-14"/>
        </w:rPr>
        <w:t> </w:t>
      </w:r>
      <w:r>
        <w:rPr/>
        <w:t>response</w:t>
      </w:r>
      <w:r>
        <w:rPr>
          <w:spacing w:val="-14"/>
        </w:rPr>
        <w:t> </w:t>
      </w:r>
      <w:r>
        <w:rPr/>
        <w:t>to</w:t>
      </w:r>
      <w:r>
        <w:rPr>
          <w:spacing w:val="-16"/>
        </w:rPr>
        <w:t> </w:t>
      </w:r>
      <w:r>
        <w:rPr/>
        <w:t>the</w:t>
      </w:r>
      <w:r>
        <w:rPr>
          <w:spacing w:val="-13"/>
        </w:rPr>
        <w:t> </w:t>
      </w:r>
      <w:r>
        <w:rPr/>
        <w:t>public</w:t>
      </w:r>
      <w:r>
        <w:rPr>
          <w:spacing w:val="-13"/>
        </w:rPr>
        <w:t> </w:t>
      </w:r>
      <w:r>
        <w:rPr/>
        <w:t>health</w:t>
      </w:r>
      <w:r>
        <w:rPr>
          <w:spacing w:val="-14"/>
        </w:rPr>
        <w:t> </w:t>
      </w:r>
      <w:r>
        <w:rPr/>
        <w:t>emergency and its negative economic impacts unless the project responds to a specific pandemic-related public</w:t>
      </w:r>
      <w:r>
        <w:rPr>
          <w:spacing w:val="-14"/>
        </w:rPr>
        <w:t> </w:t>
      </w:r>
      <w:r>
        <w:rPr/>
        <w:t>health</w:t>
      </w:r>
      <w:r>
        <w:rPr>
          <w:spacing w:val="-14"/>
        </w:rPr>
        <w:t> </w:t>
      </w:r>
      <w:r>
        <w:rPr/>
        <w:t>need</w:t>
      </w:r>
      <w:r>
        <w:rPr>
          <w:spacing w:val="-14"/>
        </w:rPr>
        <w:t> </w:t>
      </w:r>
      <w:r>
        <w:rPr/>
        <w:t>(e.g.,</w:t>
      </w:r>
      <w:r>
        <w:rPr>
          <w:spacing w:val="-12"/>
        </w:rPr>
        <w:t> </w:t>
      </w:r>
      <w:r>
        <w:rPr/>
        <w:t>investments</w:t>
      </w:r>
      <w:r>
        <w:rPr>
          <w:spacing w:val="-13"/>
        </w:rPr>
        <w:t> </w:t>
      </w:r>
      <w:r>
        <w:rPr/>
        <w:t>in</w:t>
      </w:r>
      <w:r>
        <w:rPr>
          <w:spacing w:val="-16"/>
        </w:rPr>
        <w:t> </w:t>
      </w:r>
      <w:r>
        <w:rPr/>
        <w:t>facilities</w:t>
      </w:r>
      <w:r>
        <w:rPr>
          <w:spacing w:val="-13"/>
        </w:rPr>
        <w:t> </w:t>
      </w:r>
      <w:r>
        <w:rPr/>
        <w:t>for</w:t>
      </w:r>
      <w:r>
        <w:rPr>
          <w:spacing w:val="-12"/>
        </w:rPr>
        <w:t> </w:t>
      </w:r>
      <w:r>
        <w:rPr/>
        <w:t>the</w:t>
      </w:r>
      <w:r>
        <w:rPr>
          <w:spacing w:val="-14"/>
        </w:rPr>
        <w:t> </w:t>
      </w:r>
      <w:r>
        <w:rPr/>
        <w:t>delivery</w:t>
      </w:r>
      <w:r>
        <w:rPr>
          <w:spacing w:val="-16"/>
        </w:rPr>
        <w:t> </w:t>
      </w:r>
      <w:r>
        <w:rPr/>
        <w:t>of</w:t>
      </w:r>
      <w:r>
        <w:rPr>
          <w:spacing w:val="-12"/>
        </w:rPr>
        <w:t> </w:t>
      </w:r>
      <w:r>
        <w:rPr/>
        <w:t>vaccines)</w:t>
      </w:r>
      <w:r>
        <w:rPr>
          <w:spacing w:val="-15"/>
        </w:rPr>
        <w:t> </w:t>
      </w:r>
      <w:r>
        <w:rPr/>
        <w:t>or</w:t>
      </w:r>
      <w:r>
        <w:rPr>
          <w:spacing w:val="-12"/>
        </w:rPr>
        <w:t> </w:t>
      </w:r>
      <w:r>
        <w:rPr/>
        <w:t>a</w:t>
      </w:r>
      <w:r>
        <w:rPr>
          <w:spacing w:val="-14"/>
        </w:rPr>
        <w:t> </w:t>
      </w:r>
      <w:r>
        <w:rPr/>
        <w:t>specific</w:t>
      </w:r>
      <w:r>
        <w:rPr>
          <w:spacing w:val="-13"/>
        </w:rPr>
        <w:t> </w:t>
      </w:r>
      <w:r>
        <w:rPr/>
        <w:t>negative economic impact of the pandemic (e.g., affordable housing in a Qualified Census Tract).</w:t>
      </w:r>
    </w:p>
    <w:p>
      <w:pPr>
        <w:pStyle w:val="BodyText"/>
        <w:spacing w:line="288" w:lineRule="auto"/>
        <w:ind w:left="120" w:right="157"/>
        <w:jc w:val="both"/>
      </w:pPr>
      <w:r>
        <w:rPr/>
        <w:t>Eligible infrastructure activity may include making necessary investments to improve access to clean drinking water, supporting vital wastewater and stormwater infrastructure, and sidewalks.</w:t>
      </w:r>
    </w:p>
    <w:p>
      <w:pPr>
        <w:pStyle w:val="BodyText"/>
        <w:spacing w:before="5"/>
        <w:rPr>
          <w:sz w:val="26"/>
        </w:rPr>
      </w:pPr>
    </w:p>
    <w:p>
      <w:pPr>
        <w:pStyle w:val="BodyText"/>
        <w:spacing w:line="288" w:lineRule="auto"/>
        <w:ind w:left="120" w:right="156"/>
        <w:jc w:val="both"/>
      </w:pPr>
      <w:r>
        <w:rPr/>
        <w:t>Necessary investments include projects that are required to maintain a level of service that, at least,</w:t>
      </w:r>
      <w:r>
        <w:rPr>
          <w:spacing w:val="-1"/>
        </w:rPr>
        <w:t> </w:t>
      </w:r>
      <w:r>
        <w:rPr/>
        <w:t>meets applicable health-based</w:t>
      </w:r>
      <w:r>
        <w:rPr>
          <w:spacing w:val="-3"/>
        </w:rPr>
        <w:t> </w:t>
      </w:r>
      <w:r>
        <w:rPr/>
        <w:t>standards,</w:t>
      </w:r>
      <w:r>
        <w:rPr>
          <w:spacing w:val="-1"/>
        </w:rPr>
        <w:t> </w:t>
      </w:r>
      <w:r>
        <w:rPr/>
        <w:t>taking into account</w:t>
      </w:r>
      <w:r>
        <w:rPr>
          <w:spacing w:val="-1"/>
        </w:rPr>
        <w:t> </w:t>
      </w:r>
      <w:r>
        <w:rPr/>
        <w:t>resilience to</w:t>
      </w:r>
      <w:r>
        <w:rPr>
          <w:spacing w:val="-1"/>
        </w:rPr>
        <w:t> </w:t>
      </w:r>
      <w:r>
        <w:rPr/>
        <w:t>climate</w:t>
      </w:r>
      <w:r>
        <w:rPr>
          <w:spacing w:val="-3"/>
        </w:rPr>
        <w:t> </w:t>
      </w:r>
      <w:r>
        <w:rPr/>
        <w:t>change to</w:t>
      </w:r>
      <w:r>
        <w:rPr>
          <w:spacing w:val="-9"/>
        </w:rPr>
        <w:t> </w:t>
      </w:r>
      <w:r>
        <w:rPr/>
        <w:t>unserved</w:t>
      </w:r>
      <w:r>
        <w:rPr>
          <w:spacing w:val="-11"/>
        </w:rPr>
        <w:t> </w:t>
      </w:r>
      <w:r>
        <w:rPr/>
        <w:t>or</w:t>
      </w:r>
      <w:r>
        <w:rPr>
          <w:spacing w:val="-8"/>
        </w:rPr>
        <w:t> </w:t>
      </w:r>
      <w:r>
        <w:rPr/>
        <w:t>underserved</w:t>
      </w:r>
      <w:r>
        <w:rPr>
          <w:spacing w:val="-9"/>
        </w:rPr>
        <w:t> </w:t>
      </w:r>
      <w:r>
        <w:rPr/>
        <w:t>populations</w:t>
      </w:r>
      <w:r>
        <w:rPr>
          <w:spacing w:val="-11"/>
        </w:rPr>
        <w:t> </w:t>
      </w:r>
      <w:r>
        <w:rPr/>
        <w:t>to</w:t>
      </w:r>
      <w:r>
        <w:rPr>
          <w:spacing w:val="-14"/>
        </w:rPr>
        <w:t> </w:t>
      </w:r>
      <w:r>
        <w:rPr/>
        <w:t>reach</w:t>
      </w:r>
      <w:r>
        <w:rPr>
          <w:spacing w:val="-11"/>
        </w:rPr>
        <w:t> </w:t>
      </w:r>
      <w:r>
        <w:rPr/>
        <w:t>an</w:t>
      </w:r>
      <w:r>
        <w:rPr>
          <w:spacing w:val="-9"/>
        </w:rPr>
        <w:t> </w:t>
      </w:r>
      <w:r>
        <w:rPr/>
        <w:t>adequate</w:t>
      </w:r>
      <w:r>
        <w:rPr>
          <w:spacing w:val="-11"/>
        </w:rPr>
        <w:t> </w:t>
      </w:r>
      <w:r>
        <w:rPr/>
        <w:t>level</w:t>
      </w:r>
      <w:r>
        <w:rPr>
          <w:spacing w:val="-12"/>
        </w:rPr>
        <w:t> </w:t>
      </w:r>
      <w:r>
        <w:rPr/>
        <w:t>to</w:t>
      </w:r>
      <w:r>
        <w:rPr>
          <w:spacing w:val="-11"/>
        </w:rPr>
        <w:t> </w:t>
      </w:r>
      <w:r>
        <w:rPr/>
        <w:t>permit</w:t>
      </w:r>
      <w:r>
        <w:rPr>
          <w:spacing w:val="-8"/>
        </w:rPr>
        <w:t> </w:t>
      </w:r>
      <w:r>
        <w:rPr/>
        <w:t>a</w:t>
      </w:r>
      <w:r>
        <w:rPr>
          <w:spacing w:val="-11"/>
        </w:rPr>
        <w:t> </w:t>
      </w:r>
      <w:r>
        <w:rPr/>
        <w:t>household</w:t>
      </w:r>
      <w:r>
        <w:rPr>
          <w:spacing w:val="-11"/>
        </w:rPr>
        <w:t> </w:t>
      </w:r>
      <w:r>
        <w:rPr/>
        <w:t>to</w:t>
      </w:r>
      <w:r>
        <w:rPr>
          <w:spacing w:val="-11"/>
        </w:rPr>
        <w:t> </w:t>
      </w:r>
      <w:r>
        <w:rPr/>
        <w:t>work or attend school, and that are unlikely to be met with private sources of funds.</w:t>
      </w:r>
    </w:p>
    <w:p>
      <w:pPr>
        <w:pStyle w:val="BodyText"/>
        <w:spacing w:before="3"/>
        <w:rPr>
          <w:sz w:val="26"/>
        </w:rPr>
      </w:pPr>
    </w:p>
    <w:p>
      <w:pPr>
        <w:pStyle w:val="BodyText"/>
        <w:spacing w:line="288" w:lineRule="auto"/>
        <w:ind w:left="120" w:right="156"/>
        <w:jc w:val="both"/>
      </w:pPr>
      <w:r>
        <w:rPr/>
        <w:t>The City</w:t>
      </w:r>
      <w:r>
        <w:rPr>
          <w:spacing w:val="-2"/>
        </w:rPr>
        <w:t> </w:t>
      </w:r>
      <w:r>
        <w:rPr/>
        <w:t>may use</w:t>
      </w:r>
      <w:r>
        <w:rPr>
          <w:spacing w:val="-3"/>
        </w:rPr>
        <w:t> </w:t>
      </w:r>
      <w:r>
        <w:rPr/>
        <w:t>this</w:t>
      </w:r>
      <w:r>
        <w:rPr>
          <w:spacing w:val="-2"/>
        </w:rPr>
        <w:t> </w:t>
      </w:r>
      <w:r>
        <w:rPr/>
        <w:t>funding to invest in an</w:t>
      </w:r>
      <w:r>
        <w:rPr>
          <w:spacing w:val="-3"/>
        </w:rPr>
        <w:t> </w:t>
      </w:r>
      <w:r>
        <w:rPr/>
        <w:t>array of</w:t>
      </w:r>
      <w:r>
        <w:rPr>
          <w:spacing w:val="-1"/>
        </w:rPr>
        <w:t> </w:t>
      </w:r>
      <w:r>
        <w:rPr/>
        <w:t>drinking water infrastructure projects, such as building or upgrading facilities and transmission, distribution, and storage systems, including the</w:t>
      </w:r>
      <w:r>
        <w:rPr>
          <w:spacing w:val="-2"/>
        </w:rPr>
        <w:t> </w:t>
      </w:r>
      <w:r>
        <w:rPr/>
        <w:t>replacement of lead</w:t>
      </w:r>
      <w:r>
        <w:rPr>
          <w:spacing w:val="-4"/>
        </w:rPr>
        <w:t> </w:t>
      </w:r>
      <w:r>
        <w:rPr/>
        <w:t>service</w:t>
      </w:r>
      <w:r>
        <w:rPr>
          <w:spacing w:val="-2"/>
        </w:rPr>
        <w:t> </w:t>
      </w:r>
      <w:r>
        <w:rPr/>
        <w:t>lines. The</w:t>
      </w:r>
      <w:r>
        <w:rPr>
          <w:spacing w:val="-1"/>
        </w:rPr>
        <w:t> </w:t>
      </w:r>
      <w:r>
        <w:rPr/>
        <w:t>City</w:t>
      </w:r>
      <w:r>
        <w:rPr>
          <w:spacing w:val="-4"/>
        </w:rPr>
        <w:t> </w:t>
      </w:r>
      <w:r>
        <w:rPr/>
        <w:t>may</w:t>
      </w:r>
      <w:r>
        <w:rPr>
          <w:spacing w:val="-1"/>
        </w:rPr>
        <w:t> </w:t>
      </w:r>
      <w:r>
        <w:rPr/>
        <w:t>also</w:t>
      </w:r>
      <w:r>
        <w:rPr>
          <w:spacing w:val="-2"/>
        </w:rPr>
        <w:t> </w:t>
      </w:r>
      <w:r>
        <w:rPr/>
        <w:t>use</w:t>
      </w:r>
      <w:r>
        <w:rPr>
          <w:spacing w:val="-2"/>
        </w:rPr>
        <w:t> </w:t>
      </w:r>
      <w:r>
        <w:rPr/>
        <w:t>this</w:t>
      </w:r>
      <w:r>
        <w:rPr>
          <w:spacing w:val="-1"/>
        </w:rPr>
        <w:t> </w:t>
      </w:r>
      <w:r>
        <w:rPr/>
        <w:t>funding</w:t>
      </w:r>
      <w:r>
        <w:rPr>
          <w:spacing w:val="-4"/>
        </w:rPr>
        <w:t> </w:t>
      </w:r>
      <w:r>
        <w:rPr/>
        <w:t>to</w:t>
      </w:r>
      <w:r>
        <w:rPr>
          <w:spacing w:val="-2"/>
        </w:rPr>
        <w:t> </w:t>
      </w:r>
      <w:r>
        <w:rPr/>
        <w:t>invest in</w:t>
      </w:r>
      <w:r>
        <w:rPr>
          <w:spacing w:val="-2"/>
        </w:rPr>
        <w:t> </w:t>
      </w:r>
      <w:r>
        <w:rPr/>
        <w:t>wastewater infrastructure projects, including constructing publicly owned treatment infrastructure, managing and treating stormwater or subsurface drainage water, facilitating water reuse, and securing publicly-owned treatment works.</w:t>
      </w:r>
    </w:p>
    <w:p>
      <w:pPr>
        <w:pStyle w:val="BodyText"/>
        <w:spacing w:before="6"/>
        <w:rPr>
          <w:sz w:val="26"/>
        </w:rPr>
      </w:pPr>
    </w:p>
    <w:p>
      <w:pPr>
        <w:pStyle w:val="Heading5"/>
        <w:jc w:val="left"/>
      </w:pPr>
      <w:r>
        <w:rPr/>
        <w:t>Eligible</w:t>
      </w:r>
      <w:r>
        <w:rPr>
          <w:spacing w:val="-5"/>
        </w:rPr>
        <w:t> </w:t>
      </w:r>
      <w:r>
        <w:rPr>
          <w:spacing w:val="-2"/>
        </w:rPr>
        <w:t>Repairs</w:t>
      </w:r>
    </w:p>
    <w:p>
      <w:pPr>
        <w:pStyle w:val="BodyText"/>
        <w:spacing w:before="50"/>
        <w:ind w:left="120"/>
      </w:pPr>
      <w:r>
        <w:rPr/>
        <w:drawing>
          <wp:anchor distT="0" distB="0" distL="0" distR="0" allowOverlap="1" layoutInCell="1" locked="0" behindDoc="0" simplePos="0" relativeHeight="15764992">
            <wp:simplePos x="0" y="0"/>
            <wp:positionH relativeFrom="page">
              <wp:posOffset>4548441</wp:posOffset>
            </wp:positionH>
            <wp:positionV relativeFrom="paragraph">
              <wp:posOffset>59580</wp:posOffset>
            </wp:positionV>
            <wp:extent cx="30428" cy="103500"/>
            <wp:effectExtent l="0" t="0" r="0" b="0"/>
            <wp:wrapNone/>
            <wp:docPr id="33" name="image13.png"/>
            <wp:cNvGraphicFramePr>
              <a:graphicFrameLocks noChangeAspect="1"/>
            </wp:cNvGraphicFramePr>
            <a:graphic>
              <a:graphicData uri="http://schemas.openxmlformats.org/drawingml/2006/picture">
                <pic:pic>
                  <pic:nvPicPr>
                    <pic:cNvPr id="34" name="image13.png"/>
                    <pic:cNvPicPr/>
                  </pic:nvPicPr>
                  <pic:blipFill>
                    <a:blip r:embed="rId17" cstate="print"/>
                    <a:stretch>
                      <a:fillRect/>
                    </a:stretch>
                  </pic:blipFill>
                  <pic:spPr>
                    <a:xfrm>
                      <a:off x="0" y="0"/>
                      <a:ext cx="30428" cy="103500"/>
                    </a:xfrm>
                    <a:prstGeom prst="rect">
                      <a:avLst/>
                    </a:prstGeom>
                  </pic:spPr>
                </pic:pic>
              </a:graphicData>
            </a:graphic>
          </wp:anchor>
        </w:drawing>
      </w:r>
      <w:r>
        <w:rPr/>
        <w:t>Eligible</w:t>
      </w:r>
      <w:r>
        <w:rPr>
          <w:spacing w:val="-8"/>
        </w:rPr>
        <w:t> </w:t>
      </w:r>
      <w:r>
        <w:rPr/>
        <w:t>home</w:t>
      </w:r>
      <w:r>
        <w:rPr>
          <w:spacing w:val="-8"/>
        </w:rPr>
        <w:t> </w:t>
      </w:r>
      <w:r>
        <w:rPr/>
        <w:t>repair</w:t>
      </w:r>
      <w:r>
        <w:rPr>
          <w:spacing w:val="-3"/>
        </w:rPr>
        <w:t> </w:t>
      </w:r>
      <w:r>
        <w:rPr/>
        <w:t>activities</w:t>
      </w:r>
      <w:r>
        <w:rPr>
          <w:spacing w:val="-5"/>
        </w:rPr>
        <w:t> </w:t>
      </w:r>
      <w:r>
        <w:rPr/>
        <w:t>include,</w:t>
      </w:r>
      <w:r>
        <w:rPr>
          <w:spacing w:val="-4"/>
        </w:rPr>
        <w:t> </w:t>
      </w:r>
      <w:r>
        <w:rPr/>
        <w:t>but</w:t>
      </w:r>
      <w:r>
        <w:rPr>
          <w:spacing w:val="-4"/>
        </w:rPr>
        <w:t> </w:t>
      </w:r>
      <w:r>
        <w:rPr/>
        <w:t>are</w:t>
      </w:r>
      <w:r>
        <w:rPr>
          <w:spacing w:val="-5"/>
        </w:rPr>
        <w:t> </w:t>
      </w:r>
      <w:r>
        <w:rPr/>
        <w:t>not</w:t>
      </w:r>
      <w:r>
        <w:rPr>
          <w:spacing w:val="-6"/>
        </w:rPr>
        <w:t> </w:t>
      </w:r>
      <w:r>
        <w:rPr/>
        <w:t>limited</w:t>
      </w:r>
      <w:r>
        <w:rPr>
          <w:spacing w:val="-7"/>
        </w:rPr>
        <w:t> </w:t>
      </w:r>
      <w:r>
        <w:rPr>
          <w:spacing w:val="-5"/>
        </w:rPr>
        <w:t>to</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Correcting</w:t>
      </w:r>
      <w:r>
        <w:rPr>
          <w:spacing w:val="-6"/>
          <w:sz w:val="22"/>
        </w:rPr>
        <w:t> </w:t>
      </w:r>
      <w:r>
        <w:rPr>
          <w:sz w:val="22"/>
        </w:rPr>
        <w:t>any</w:t>
      </w:r>
      <w:r>
        <w:rPr>
          <w:spacing w:val="-6"/>
          <w:sz w:val="22"/>
        </w:rPr>
        <w:t> </w:t>
      </w:r>
      <w:r>
        <w:rPr>
          <w:sz w:val="22"/>
        </w:rPr>
        <w:t>code</w:t>
      </w:r>
      <w:r>
        <w:rPr>
          <w:spacing w:val="-3"/>
          <w:sz w:val="22"/>
        </w:rPr>
        <w:t> </w:t>
      </w:r>
      <w:r>
        <w:rPr>
          <w:spacing w:val="-2"/>
          <w:sz w:val="22"/>
        </w:rPr>
        <w:t>violations</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Testing</w:t>
      </w:r>
      <w:r>
        <w:rPr>
          <w:spacing w:val="-8"/>
          <w:sz w:val="22"/>
        </w:rPr>
        <w:t> </w:t>
      </w:r>
      <w:r>
        <w:rPr>
          <w:sz w:val="22"/>
        </w:rPr>
        <w:t>&amp;</w:t>
      </w:r>
      <w:r>
        <w:rPr>
          <w:spacing w:val="-9"/>
          <w:sz w:val="22"/>
        </w:rPr>
        <w:t> </w:t>
      </w:r>
      <w:r>
        <w:rPr>
          <w:sz w:val="22"/>
        </w:rPr>
        <w:t>treatment/removal</w:t>
      </w:r>
      <w:r>
        <w:rPr>
          <w:spacing w:val="-7"/>
          <w:sz w:val="22"/>
        </w:rPr>
        <w:t> </w:t>
      </w:r>
      <w:r>
        <w:rPr>
          <w:sz w:val="22"/>
        </w:rPr>
        <w:t>of</w:t>
      </w:r>
      <w:r>
        <w:rPr>
          <w:spacing w:val="-6"/>
          <w:sz w:val="22"/>
        </w:rPr>
        <w:t> </w:t>
      </w:r>
      <w:r>
        <w:rPr>
          <w:sz w:val="22"/>
        </w:rPr>
        <w:t>lead-based</w:t>
      </w:r>
      <w:r>
        <w:rPr>
          <w:spacing w:val="-7"/>
          <w:sz w:val="22"/>
        </w:rPr>
        <w:t> </w:t>
      </w:r>
      <w:r>
        <w:rPr>
          <w:sz w:val="22"/>
        </w:rPr>
        <w:t>paint/asbestos</w:t>
      </w:r>
      <w:r>
        <w:rPr>
          <w:spacing w:val="-9"/>
          <w:sz w:val="22"/>
        </w:rPr>
        <w:t> </w:t>
      </w:r>
      <w:r>
        <w:rPr>
          <w:spacing w:val="-2"/>
          <w:sz w:val="22"/>
        </w:rPr>
        <w:t>hazards</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Handicapped</w:t>
      </w:r>
      <w:r>
        <w:rPr>
          <w:spacing w:val="-5"/>
          <w:sz w:val="22"/>
        </w:rPr>
        <w:t> </w:t>
      </w:r>
      <w:r>
        <w:rPr>
          <w:sz w:val="22"/>
        </w:rPr>
        <w:t>improvements</w:t>
      </w:r>
      <w:r>
        <w:rPr>
          <w:spacing w:val="-4"/>
          <w:sz w:val="22"/>
        </w:rPr>
        <w:t> </w:t>
      </w:r>
      <w:r>
        <w:rPr>
          <w:sz w:val="22"/>
        </w:rPr>
        <w:t>&amp;</w:t>
      </w:r>
      <w:r>
        <w:rPr>
          <w:spacing w:val="-7"/>
          <w:sz w:val="22"/>
        </w:rPr>
        <w:t> </w:t>
      </w:r>
      <w:r>
        <w:rPr>
          <w:sz w:val="22"/>
        </w:rPr>
        <w:t>removal</w:t>
      </w:r>
      <w:r>
        <w:rPr>
          <w:spacing w:val="-5"/>
          <w:sz w:val="22"/>
        </w:rPr>
        <w:t> </w:t>
      </w:r>
      <w:r>
        <w:rPr>
          <w:sz w:val="22"/>
        </w:rPr>
        <w:t>of</w:t>
      </w:r>
      <w:r>
        <w:rPr>
          <w:spacing w:val="-3"/>
          <w:sz w:val="22"/>
        </w:rPr>
        <w:t> </w:t>
      </w:r>
      <w:r>
        <w:rPr>
          <w:sz w:val="22"/>
        </w:rPr>
        <w:t>barriers</w:t>
      </w:r>
      <w:r>
        <w:rPr>
          <w:spacing w:val="-6"/>
          <w:sz w:val="22"/>
        </w:rPr>
        <w:t> </w:t>
      </w:r>
      <w:r>
        <w:rPr>
          <w:sz w:val="22"/>
        </w:rPr>
        <w:t>to</w:t>
      </w:r>
      <w:r>
        <w:rPr>
          <w:spacing w:val="-7"/>
          <w:sz w:val="22"/>
        </w:rPr>
        <w:t> </w:t>
      </w:r>
      <w:r>
        <w:rPr>
          <w:sz w:val="22"/>
        </w:rPr>
        <w:t>the</w:t>
      </w:r>
      <w:r>
        <w:rPr>
          <w:spacing w:val="-6"/>
          <w:sz w:val="22"/>
        </w:rPr>
        <w:t> </w:t>
      </w:r>
      <w:r>
        <w:rPr>
          <w:spacing w:val="-2"/>
          <w:sz w:val="22"/>
        </w:rPr>
        <w:t>handicapped</w:t>
      </w:r>
    </w:p>
    <w:p>
      <w:pPr>
        <w:pStyle w:val="ListParagraph"/>
        <w:numPr>
          <w:ilvl w:val="1"/>
          <w:numId w:val="16"/>
        </w:numPr>
        <w:tabs>
          <w:tab w:pos="839" w:val="left" w:leader="none"/>
          <w:tab w:pos="840" w:val="left" w:leader="none"/>
        </w:tabs>
        <w:spacing w:line="288" w:lineRule="auto" w:before="49" w:after="0"/>
        <w:ind w:left="840" w:right="155" w:hanging="360"/>
        <w:jc w:val="left"/>
        <w:rPr>
          <w:rFonts w:ascii="Symbol" w:hAnsi="Symbol"/>
          <w:sz w:val="20"/>
        </w:rPr>
      </w:pPr>
      <w:r>
        <w:rPr>
          <w:sz w:val="22"/>
        </w:rPr>
        <w:t>Pest</w:t>
      </w:r>
      <w:r>
        <w:rPr>
          <w:spacing w:val="-11"/>
          <w:sz w:val="22"/>
        </w:rPr>
        <w:t> </w:t>
      </w:r>
      <w:r>
        <w:rPr>
          <w:sz w:val="22"/>
        </w:rPr>
        <w:t>control;</w:t>
      </w:r>
      <w:r>
        <w:rPr>
          <w:spacing w:val="-11"/>
          <w:sz w:val="22"/>
        </w:rPr>
        <w:t> </w:t>
      </w:r>
      <w:r>
        <w:rPr>
          <w:sz w:val="22"/>
        </w:rPr>
        <w:t>removal</w:t>
      </w:r>
      <w:r>
        <w:rPr>
          <w:spacing w:val="-12"/>
          <w:sz w:val="22"/>
        </w:rPr>
        <w:t> </w:t>
      </w:r>
      <w:r>
        <w:rPr>
          <w:sz w:val="22"/>
        </w:rPr>
        <w:t>of</w:t>
      </w:r>
      <w:r>
        <w:rPr>
          <w:spacing w:val="-12"/>
          <w:sz w:val="22"/>
        </w:rPr>
        <w:t> </w:t>
      </w:r>
      <w:r>
        <w:rPr>
          <w:sz w:val="22"/>
        </w:rPr>
        <w:t>termites;</w:t>
      </w:r>
      <w:r>
        <w:rPr>
          <w:spacing w:val="-11"/>
          <w:sz w:val="22"/>
        </w:rPr>
        <w:t> </w:t>
      </w:r>
      <w:r>
        <w:rPr>
          <w:sz w:val="22"/>
        </w:rPr>
        <w:t>removal</w:t>
      </w:r>
      <w:r>
        <w:rPr>
          <w:spacing w:val="-12"/>
          <w:sz w:val="22"/>
        </w:rPr>
        <w:t> </w:t>
      </w:r>
      <w:r>
        <w:rPr>
          <w:sz w:val="22"/>
        </w:rPr>
        <w:t>of</w:t>
      </w:r>
      <w:r>
        <w:rPr>
          <w:spacing w:val="-12"/>
          <w:sz w:val="22"/>
        </w:rPr>
        <w:t> </w:t>
      </w:r>
      <w:r>
        <w:rPr>
          <w:sz w:val="22"/>
        </w:rPr>
        <w:t>rodents</w:t>
      </w:r>
      <w:r>
        <w:rPr>
          <w:spacing w:val="-12"/>
          <w:sz w:val="22"/>
        </w:rPr>
        <w:t> </w:t>
      </w:r>
      <w:r>
        <w:rPr>
          <w:sz w:val="22"/>
        </w:rPr>
        <w:t>and</w:t>
      </w:r>
      <w:r>
        <w:rPr>
          <w:spacing w:val="-12"/>
          <w:sz w:val="22"/>
        </w:rPr>
        <w:t> </w:t>
      </w:r>
      <w:r>
        <w:rPr>
          <w:sz w:val="22"/>
        </w:rPr>
        <w:t>insects,</w:t>
      </w:r>
      <w:r>
        <w:rPr>
          <w:spacing w:val="-11"/>
          <w:sz w:val="22"/>
        </w:rPr>
        <w:t> </w:t>
      </w:r>
      <w:r>
        <w:rPr>
          <w:sz w:val="22"/>
        </w:rPr>
        <w:t>but</w:t>
      </w:r>
      <w:r>
        <w:rPr>
          <w:spacing w:val="-11"/>
          <w:sz w:val="22"/>
        </w:rPr>
        <w:t> </w:t>
      </w:r>
      <w:r>
        <w:rPr>
          <w:sz w:val="22"/>
        </w:rPr>
        <w:t>not</w:t>
      </w:r>
      <w:r>
        <w:rPr>
          <w:spacing w:val="-11"/>
          <w:sz w:val="22"/>
        </w:rPr>
        <w:t> </w:t>
      </w:r>
      <w:r>
        <w:rPr>
          <w:sz w:val="22"/>
        </w:rPr>
        <w:t>as</w:t>
      </w:r>
      <w:r>
        <w:rPr>
          <w:spacing w:val="-9"/>
          <w:sz w:val="22"/>
        </w:rPr>
        <w:t> </w:t>
      </w:r>
      <w:r>
        <w:rPr>
          <w:sz w:val="22"/>
        </w:rPr>
        <w:t>a</w:t>
      </w:r>
      <w:r>
        <w:rPr>
          <w:spacing w:val="-12"/>
          <w:sz w:val="22"/>
        </w:rPr>
        <w:t> </w:t>
      </w:r>
      <w:r>
        <w:rPr>
          <w:sz w:val="22"/>
        </w:rPr>
        <w:t>stand-alone </w:t>
      </w:r>
      <w:r>
        <w:rPr>
          <w:spacing w:val="-4"/>
          <w:sz w:val="22"/>
        </w:rPr>
        <w:t>cost</w:t>
      </w:r>
    </w:p>
    <w:p>
      <w:pPr>
        <w:pStyle w:val="ListParagraph"/>
        <w:numPr>
          <w:ilvl w:val="1"/>
          <w:numId w:val="16"/>
        </w:numPr>
        <w:tabs>
          <w:tab w:pos="839" w:val="left" w:leader="none"/>
          <w:tab w:pos="840" w:val="left" w:leader="none"/>
        </w:tabs>
        <w:spacing w:line="240" w:lineRule="auto" w:before="0" w:after="0"/>
        <w:ind w:left="840" w:right="0" w:hanging="360"/>
        <w:jc w:val="left"/>
        <w:rPr>
          <w:rFonts w:ascii="Symbol" w:hAnsi="Symbol"/>
          <w:sz w:val="20"/>
        </w:rPr>
      </w:pPr>
      <w:r>
        <w:rPr>
          <w:spacing w:val="-2"/>
          <w:sz w:val="22"/>
        </w:rPr>
        <w:t>Roofing</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pacing w:val="-4"/>
          <w:sz w:val="22"/>
        </w:rPr>
        <w:t>HVAC</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Plumbing,</w:t>
      </w:r>
      <w:r>
        <w:rPr>
          <w:spacing w:val="-5"/>
          <w:sz w:val="22"/>
        </w:rPr>
        <w:t> </w:t>
      </w:r>
      <w:r>
        <w:rPr>
          <w:sz w:val="22"/>
        </w:rPr>
        <w:t>water</w:t>
      </w:r>
      <w:r>
        <w:rPr>
          <w:spacing w:val="-3"/>
          <w:sz w:val="22"/>
        </w:rPr>
        <w:t> </w:t>
      </w:r>
      <w:r>
        <w:rPr>
          <w:sz w:val="22"/>
        </w:rPr>
        <w:t>and</w:t>
      </w:r>
      <w:r>
        <w:rPr>
          <w:spacing w:val="-7"/>
          <w:sz w:val="22"/>
        </w:rPr>
        <w:t> </w:t>
      </w:r>
      <w:r>
        <w:rPr>
          <w:sz w:val="22"/>
        </w:rPr>
        <w:t>sewer</w:t>
      </w:r>
      <w:r>
        <w:rPr>
          <w:spacing w:val="-3"/>
          <w:sz w:val="22"/>
        </w:rPr>
        <w:t> </w:t>
      </w:r>
      <w:r>
        <w:rPr>
          <w:sz w:val="22"/>
        </w:rPr>
        <w:t>pipes,</w:t>
      </w:r>
      <w:r>
        <w:rPr>
          <w:spacing w:val="-5"/>
          <w:sz w:val="22"/>
        </w:rPr>
        <w:t> </w:t>
      </w:r>
      <w:r>
        <w:rPr>
          <w:sz w:val="22"/>
        </w:rPr>
        <w:t>kitchen</w:t>
      </w:r>
      <w:r>
        <w:rPr>
          <w:spacing w:val="-6"/>
          <w:sz w:val="22"/>
        </w:rPr>
        <w:t> </w:t>
      </w:r>
      <w:r>
        <w:rPr>
          <w:sz w:val="22"/>
        </w:rPr>
        <w:t>and</w:t>
      </w:r>
      <w:r>
        <w:rPr>
          <w:spacing w:val="-5"/>
          <w:sz w:val="22"/>
        </w:rPr>
        <w:t> </w:t>
      </w:r>
      <w:r>
        <w:rPr>
          <w:sz w:val="22"/>
        </w:rPr>
        <w:t>bath</w:t>
      </w:r>
      <w:r>
        <w:rPr>
          <w:spacing w:val="-6"/>
          <w:sz w:val="22"/>
        </w:rPr>
        <w:t> </w:t>
      </w:r>
      <w:r>
        <w:rPr>
          <w:spacing w:val="-2"/>
          <w:sz w:val="22"/>
        </w:rPr>
        <w:t>fixtures</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Gas</w:t>
      </w:r>
      <w:r>
        <w:rPr>
          <w:spacing w:val="-6"/>
          <w:sz w:val="22"/>
        </w:rPr>
        <w:t> </w:t>
      </w:r>
      <w:r>
        <w:rPr>
          <w:sz w:val="22"/>
        </w:rPr>
        <w:t>pipes/gas</w:t>
      </w:r>
      <w:r>
        <w:rPr>
          <w:spacing w:val="-6"/>
          <w:sz w:val="22"/>
        </w:rPr>
        <w:t> </w:t>
      </w:r>
      <w:r>
        <w:rPr>
          <w:spacing w:val="-4"/>
          <w:sz w:val="22"/>
        </w:rPr>
        <w:t>test</w:t>
      </w:r>
    </w:p>
    <w:p>
      <w:pPr>
        <w:pStyle w:val="ListParagraph"/>
        <w:numPr>
          <w:ilvl w:val="1"/>
          <w:numId w:val="16"/>
        </w:numPr>
        <w:tabs>
          <w:tab w:pos="839" w:val="left" w:leader="none"/>
          <w:tab w:pos="840" w:val="left" w:leader="none"/>
        </w:tabs>
        <w:spacing w:line="240" w:lineRule="auto" w:before="50" w:after="0"/>
        <w:ind w:left="840" w:right="0" w:hanging="360"/>
        <w:jc w:val="left"/>
        <w:rPr>
          <w:rFonts w:ascii="Symbol" w:hAnsi="Symbol"/>
          <w:sz w:val="20"/>
        </w:rPr>
      </w:pPr>
      <w:r>
        <w:rPr>
          <w:sz w:val="22"/>
        </w:rPr>
        <w:t>Smoke,</w:t>
      </w:r>
      <w:r>
        <w:rPr>
          <w:spacing w:val="-5"/>
          <w:sz w:val="22"/>
        </w:rPr>
        <w:t> </w:t>
      </w:r>
      <w:r>
        <w:rPr>
          <w:sz w:val="22"/>
        </w:rPr>
        <w:t>fire,</w:t>
      </w:r>
      <w:r>
        <w:rPr>
          <w:spacing w:val="-1"/>
          <w:sz w:val="22"/>
        </w:rPr>
        <w:t> </w:t>
      </w:r>
      <w:r>
        <w:rPr>
          <w:sz w:val="22"/>
        </w:rPr>
        <w:t>and</w:t>
      </w:r>
      <w:r>
        <w:rPr>
          <w:spacing w:val="-5"/>
          <w:sz w:val="22"/>
        </w:rPr>
        <w:t> </w:t>
      </w:r>
      <w:r>
        <w:rPr>
          <w:sz w:val="22"/>
        </w:rPr>
        <w:t>C02</w:t>
      </w:r>
      <w:r>
        <w:rPr>
          <w:spacing w:val="-3"/>
          <w:sz w:val="22"/>
        </w:rPr>
        <w:t> </w:t>
      </w:r>
      <w:r>
        <w:rPr>
          <w:spacing w:val="-2"/>
          <w:sz w:val="22"/>
        </w:rPr>
        <w:t>alarms</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pacing w:val="-2"/>
          <w:sz w:val="22"/>
        </w:rPr>
        <w:t>Insulation</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Flooring</w:t>
      </w:r>
      <w:r>
        <w:rPr>
          <w:spacing w:val="-5"/>
          <w:sz w:val="22"/>
        </w:rPr>
        <w:t> </w:t>
      </w:r>
      <w:r>
        <w:rPr>
          <w:sz w:val="22"/>
        </w:rPr>
        <w:t>and</w:t>
      </w:r>
      <w:r>
        <w:rPr>
          <w:spacing w:val="-4"/>
          <w:sz w:val="22"/>
        </w:rPr>
        <w:t> </w:t>
      </w:r>
      <w:r>
        <w:rPr>
          <w:spacing w:val="-2"/>
          <w:sz w:val="22"/>
        </w:rPr>
        <w:t>carpeting</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Water</w:t>
      </w:r>
      <w:r>
        <w:rPr>
          <w:spacing w:val="-1"/>
          <w:sz w:val="22"/>
        </w:rPr>
        <w:t> </w:t>
      </w:r>
      <w:r>
        <w:rPr>
          <w:spacing w:val="-2"/>
          <w:sz w:val="22"/>
        </w:rPr>
        <w:t>heaters</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pacing w:val="-2"/>
          <w:sz w:val="22"/>
        </w:rPr>
        <w:t>Electrical</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pacing w:val="-2"/>
          <w:sz w:val="22"/>
        </w:rPr>
        <w:t>Windows</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Window</w:t>
      </w:r>
      <w:r>
        <w:rPr>
          <w:spacing w:val="-6"/>
          <w:sz w:val="22"/>
        </w:rPr>
        <w:t> </w:t>
      </w:r>
      <w:r>
        <w:rPr>
          <w:sz w:val="22"/>
        </w:rPr>
        <w:t>and/or</w:t>
      </w:r>
      <w:r>
        <w:rPr>
          <w:spacing w:val="-3"/>
          <w:sz w:val="22"/>
        </w:rPr>
        <w:t> </w:t>
      </w:r>
      <w:r>
        <w:rPr>
          <w:sz w:val="22"/>
        </w:rPr>
        <w:t>door</w:t>
      </w:r>
      <w:r>
        <w:rPr>
          <w:spacing w:val="-3"/>
          <w:sz w:val="22"/>
        </w:rPr>
        <w:t> </w:t>
      </w:r>
      <w:r>
        <w:rPr>
          <w:spacing w:val="-2"/>
          <w:sz w:val="22"/>
        </w:rPr>
        <w:t>screens</w:t>
      </w:r>
    </w:p>
    <w:p>
      <w:pPr>
        <w:spacing w:after="0" w:line="240" w:lineRule="auto"/>
        <w:jc w:val="left"/>
        <w:rPr>
          <w:rFonts w:ascii="Symbol" w:hAnsi="Symbol"/>
          <w:sz w:val="20"/>
        </w:rPr>
        <w:sectPr>
          <w:pgSz w:w="12240" w:h="15840"/>
          <w:pgMar w:header="0" w:footer="1738" w:top="1660" w:bottom="1920" w:left="1320" w:right="1280"/>
        </w:sectPr>
      </w:pPr>
    </w:p>
    <w:p>
      <w:pPr>
        <w:pStyle w:val="ListParagraph"/>
        <w:numPr>
          <w:ilvl w:val="1"/>
          <w:numId w:val="16"/>
        </w:numPr>
        <w:tabs>
          <w:tab w:pos="839" w:val="left" w:leader="none"/>
          <w:tab w:pos="840" w:val="left" w:leader="none"/>
        </w:tabs>
        <w:spacing w:line="240" w:lineRule="auto" w:before="80" w:after="0"/>
        <w:ind w:left="840" w:right="0" w:hanging="360"/>
        <w:jc w:val="left"/>
        <w:rPr>
          <w:rFonts w:ascii="Symbol" w:hAnsi="Symbol"/>
          <w:sz w:val="20"/>
        </w:rPr>
      </w:pPr>
      <w:r>
        <w:rPr>
          <w:sz w:val="22"/>
        </w:rPr>
        <w:t>Plaster,</w:t>
      </w:r>
      <w:r>
        <w:rPr>
          <w:spacing w:val="-5"/>
          <w:sz w:val="22"/>
        </w:rPr>
        <w:t> </w:t>
      </w:r>
      <w:r>
        <w:rPr>
          <w:sz w:val="22"/>
        </w:rPr>
        <w:t>siding</w:t>
      </w:r>
      <w:r>
        <w:rPr>
          <w:spacing w:val="-4"/>
          <w:sz w:val="22"/>
        </w:rPr>
        <w:t> </w:t>
      </w:r>
      <w:r>
        <w:rPr>
          <w:sz w:val="22"/>
        </w:rPr>
        <w:t>and</w:t>
      </w:r>
      <w:r>
        <w:rPr>
          <w:spacing w:val="-4"/>
          <w:sz w:val="22"/>
        </w:rPr>
        <w:t> </w:t>
      </w:r>
      <w:r>
        <w:rPr>
          <w:spacing w:val="-2"/>
          <w:sz w:val="22"/>
        </w:rPr>
        <w:t>stucco</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Painting</w:t>
      </w:r>
      <w:r>
        <w:rPr>
          <w:spacing w:val="-6"/>
          <w:sz w:val="22"/>
        </w:rPr>
        <w:t> </w:t>
      </w:r>
      <w:r>
        <w:rPr>
          <w:sz w:val="22"/>
        </w:rPr>
        <w:t>(inside</w:t>
      </w:r>
      <w:r>
        <w:rPr>
          <w:spacing w:val="-6"/>
          <w:sz w:val="22"/>
        </w:rPr>
        <w:t> </w:t>
      </w:r>
      <w:r>
        <w:rPr>
          <w:sz w:val="22"/>
        </w:rPr>
        <w:t>and</w:t>
      </w:r>
      <w:r>
        <w:rPr>
          <w:spacing w:val="-5"/>
          <w:sz w:val="22"/>
        </w:rPr>
        <w:t> </w:t>
      </w:r>
      <w:r>
        <w:rPr>
          <w:spacing w:val="-2"/>
          <w:sz w:val="22"/>
        </w:rPr>
        <w:t>outside)</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Install</w:t>
      </w:r>
      <w:r>
        <w:rPr>
          <w:spacing w:val="-7"/>
          <w:sz w:val="22"/>
        </w:rPr>
        <w:t> </w:t>
      </w:r>
      <w:r>
        <w:rPr>
          <w:sz w:val="22"/>
        </w:rPr>
        <w:t>new</w:t>
      </w:r>
      <w:r>
        <w:rPr>
          <w:spacing w:val="-5"/>
          <w:sz w:val="22"/>
        </w:rPr>
        <w:t> </w:t>
      </w:r>
      <w:r>
        <w:rPr>
          <w:sz w:val="22"/>
        </w:rPr>
        <w:t>deadbolt</w:t>
      </w:r>
      <w:r>
        <w:rPr>
          <w:spacing w:val="-3"/>
          <w:sz w:val="22"/>
        </w:rPr>
        <w:t> </w:t>
      </w:r>
      <w:r>
        <w:rPr>
          <w:spacing w:val="-4"/>
          <w:sz w:val="22"/>
        </w:rPr>
        <w:t>locks</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Kitchen</w:t>
      </w:r>
      <w:r>
        <w:rPr>
          <w:spacing w:val="-4"/>
          <w:sz w:val="22"/>
        </w:rPr>
        <w:t> </w:t>
      </w:r>
      <w:r>
        <w:rPr>
          <w:sz w:val="22"/>
        </w:rPr>
        <w:t>or</w:t>
      </w:r>
      <w:r>
        <w:rPr>
          <w:spacing w:val="-4"/>
          <w:sz w:val="22"/>
        </w:rPr>
        <w:t> </w:t>
      </w:r>
      <w:r>
        <w:rPr>
          <w:sz w:val="22"/>
        </w:rPr>
        <w:t>bath</w:t>
      </w:r>
      <w:r>
        <w:rPr>
          <w:spacing w:val="-6"/>
          <w:sz w:val="22"/>
        </w:rPr>
        <w:t> </w:t>
      </w:r>
      <w:r>
        <w:rPr>
          <w:sz w:val="22"/>
        </w:rPr>
        <w:t>cabinets</w:t>
      </w:r>
      <w:r>
        <w:rPr>
          <w:spacing w:val="-7"/>
          <w:sz w:val="22"/>
        </w:rPr>
        <w:t> </w:t>
      </w:r>
      <w:r>
        <w:rPr>
          <w:sz w:val="22"/>
        </w:rPr>
        <w:t>and</w:t>
      </w:r>
      <w:r>
        <w:rPr>
          <w:spacing w:val="-3"/>
          <w:sz w:val="22"/>
        </w:rPr>
        <w:t> </w:t>
      </w:r>
      <w:r>
        <w:rPr>
          <w:sz w:val="22"/>
        </w:rPr>
        <w:t>countertops</w:t>
      </w:r>
      <w:r>
        <w:rPr>
          <w:spacing w:val="-4"/>
          <w:sz w:val="22"/>
        </w:rPr>
        <w:t> </w:t>
      </w:r>
      <w:r>
        <w:rPr>
          <w:sz w:val="22"/>
        </w:rPr>
        <w:t>-</w:t>
      </w:r>
      <w:r>
        <w:rPr>
          <w:spacing w:val="-1"/>
          <w:sz w:val="22"/>
        </w:rPr>
        <w:t> </w:t>
      </w:r>
      <w:r>
        <w:rPr>
          <w:spacing w:val="-2"/>
          <w:sz w:val="22"/>
        </w:rPr>
        <w:t>Replace/repair</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Garage</w:t>
      </w:r>
      <w:r>
        <w:rPr>
          <w:spacing w:val="-4"/>
          <w:sz w:val="22"/>
        </w:rPr>
        <w:t> </w:t>
      </w:r>
      <w:r>
        <w:rPr>
          <w:spacing w:val="-2"/>
          <w:sz w:val="22"/>
        </w:rPr>
        <w:t>doors</w:t>
      </w:r>
    </w:p>
    <w:p>
      <w:pPr>
        <w:pStyle w:val="ListParagraph"/>
        <w:numPr>
          <w:ilvl w:val="1"/>
          <w:numId w:val="16"/>
        </w:numPr>
        <w:tabs>
          <w:tab w:pos="839" w:val="left" w:leader="none"/>
          <w:tab w:pos="840" w:val="left" w:leader="none"/>
        </w:tabs>
        <w:spacing w:line="240" w:lineRule="auto" w:before="50" w:after="0"/>
        <w:ind w:left="840" w:right="0" w:hanging="360"/>
        <w:jc w:val="left"/>
        <w:rPr>
          <w:rFonts w:ascii="Symbol" w:hAnsi="Symbol"/>
          <w:sz w:val="20"/>
        </w:rPr>
      </w:pPr>
      <w:r>
        <w:rPr>
          <w:sz w:val="22"/>
        </w:rPr>
        <w:t>Structural</w:t>
      </w:r>
      <w:r>
        <w:rPr>
          <w:spacing w:val="-8"/>
          <w:sz w:val="22"/>
        </w:rPr>
        <w:t> </w:t>
      </w:r>
      <w:r>
        <w:rPr>
          <w:spacing w:val="-2"/>
          <w:sz w:val="22"/>
        </w:rPr>
        <w:t>repairs/modifications</w:t>
      </w:r>
    </w:p>
    <w:p>
      <w:pPr>
        <w:pStyle w:val="ListParagraph"/>
        <w:numPr>
          <w:ilvl w:val="1"/>
          <w:numId w:val="16"/>
        </w:numPr>
        <w:tabs>
          <w:tab w:pos="839" w:val="left" w:leader="none"/>
          <w:tab w:pos="840" w:val="left" w:leader="none"/>
        </w:tabs>
        <w:spacing w:line="240" w:lineRule="auto" w:before="51" w:after="0"/>
        <w:ind w:left="840" w:right="0" w:hanging="360"/>
        <w:jc w:val="left"/>
        <w:rPr>
          <w:rFonts w:ascii="Symbol" w:hAnsi="Symbol"/>
          <w:sz w:val="20"/>
        </w:rPr>
      </w:pPr>
      <w:r>
        <w:rPr/>
        <w:pict>
          <v:shape style="position:absolute;margin-left:90.065002pt;margin-top:8.678817pt;width:395.3pt;height:419pt;mso-position-horizontal-relative:page;mso-position-vertical-relative:paragraph;z-index:-17711104" id="docshape67" coordorigin="1801,174" coordsize="7906,8380" path="m4498,7437l4492,7364,4477,7286,4455,7203,4432,7134,4403,7062,4367,6987,4325,6909,4276,6828,4237,6769,4200,6718,4200,7404,4197,7460,4186,7517,4167,7575,4138,7634,4097,7697,4044,7763,3979,7832,3674,8138,2216,6680,2517,6379,2598,6303,2672,6243,2740,6200,2801,6173,2868,6159,2941,6155,3020,6162,3105,6179,3195,6208,3255,6234,3317,6266,3380,6305,3446,6350,3514,6402,3584,6460,3656,6525,3729,6596,3789,6657,3845,6718,3896,6777,3943,6834,3986,6891,4025,6946,4059,7000,4101,7075,4136,7147,4163,7217,4183,7284,4196,7348,4200,7404,4200,6718,4194,6709,4148,6649,4098,6589,4045,6528,3989,6466,3929,6405,3865,6343,3801,6284,3737,6229,3673,6178,3643,6155,3609,6130,3546,6085,3482,6044,3419,6006,3346,5968,3274,5936,3203,5909,3132,5887,3062,5870,2992,5858,2923,5850,2850,5849,2779,5856,2709,5871,2642,5893,2577,5924,2528,5952,2476,5989,2420,6035,2359,6089,2294,6151,1801,6644,3710,8553,4124,8138,4226,8036,4287,7971,4341,7906,4386,7840,4424,7773,4454,7707,4476,7640,4491,7574,4498,7506,4498,7437xm6418,5844l6056,5717,5650,5574,5561,5545,5475,5521,5393,5501,5365,5496,5314,5487,5239,5477,5193,5475,5143,5478,5089,5485,5030,5496,5073,5427,5109,5357,5136,5288,5154,5219,5164,5150,5165,5082,5157,5014,5139,4937,5111,4860,5075,4786,5030,4713,4976,4642,4956,4620,4913,4574,4872,4536,4872,5093,4868,5149,4854,5203,4830,5260,4794,5318,4747,5379,4687,5443,4280,5850,3649,5219,4102,4766,4166,4709,4229,4665,4293,4636,4358,4621,4422,4620,4501,4635,4577,4665,4649,4709,4718,4769,4761,4816,4797,4867,4827,4921,4851,4977,4867,5036,4872,5093,4872,4536,4849,4514,4782,4462,4713,4416,4641,4378,4566,4346,4474,4317,4386,4304,4303,4306,4225,4322,4163,4347,4098,4384,4030,4432,3958,4492,3883,4563,3248,5197,5157,7106,5346,6916,4499,6069,4718,5850,4753,5815,4783,5788,4810,5767,4833,5753,4863,5739,4896,5728,4932,5721,4971,5717,5014,5717,5066,5722,5125,5732,5194,5748,5256,5766,5328,5787,5407,5812,5496,5841,6180,6082,6418,5844xm7780,4482l7415,4287,6555,3833,6555,4140,6070,4625,6030,4553,5989,4482,5748,4051,5708,3979,5668,3908,5629,3842,5590,3778,5550,3714,5509,3651,5467,3588,5424,3527,5380,3466,5436,3502,5498,3540,5564,3580,5635,3622,5792,3712,6555,4140,6555,3833,5862,3466,5286,3160,5082,3364,5277,3714,5316,3784,5701,4482,6207,5401,6441,5822,6642,5620,6565,5487,6298,5019,6221,4885,6481,4625,6820,4287,7173,4482,7565,4698,7780,4482xm8131,4131l7264,3264,7936,2593,7711,2367,7039,3039,6448,2448,7224,1672,6999,1447,6033,2413,7941,4321,8131,4131xm9707,2555l8024,872,8497,399,8272,174,7138,1308,7363,1533,7834,1062,9517,2745,9707,2555xe" filled="true" fillcolor="#c0c0c0" stroked="false">
            <v:path arrowok="t"/>
            <v:fill opacity="32896f" type="solid"/>
            <w10:wrap type="none"/>
          </v:shape>
        </w:pict>
      </w:r>
      <w:r>
        <w:rPr>
          <w:sz w:val="22"/>
        </w:rPr>
        <w:t>Stairs</w:t>
      </w:r>
      <w:r>
        <w:rPr>
          <w:spacing w:val="-4"/>
          <w:sz w:val="22"/>
        </w:rPr>
        <w:t> </w:t>
      </w:r>
      <w:r>
        <w:rPr>
          <w:sz w:val="22"/>
        </w:rPr>
        <w:t>interior</w:t>
      </w:r>
      <w:r>
        <w:rPr>
          <w:spacing w:val="-5"/>
          <w:sz w:val="22"/>
        </w:rPr>
        <w:t> </w:t>
      </w:r>
      <w:r>
        <w:rPr>
          <w:sz w:val="22"/>
        </w:rPr>
        <w:t>and</w:t>
      </w:r>
      <w:r>
        <w:rPr>
          <w:spacing w:val="-4"/>
          <w:sz w:val="22"/>
        </w:rPr>
        <w:t> </w:t>
      </w:r>
      <w:r>
        <w:rPr>
          <w:spacing w:val="-2"/>
          <w:sz w:val="22"/>
        </w:rPr>
        <w:t>exterior</w:t>
      </w:r>
    </w:p>
    <w:p>
      <w:pPr>
        <w:pStyle w:val="ListParagraph"/>
        <w:numPr>
          <w:ilvl w:val="1"/>
          <w:numId w:val="16"/>
        </w:numPr>
        <w:tabs>
          <w:tab w:pos="839" w:val="left" w:leader="none"/>
          <w:tab w:pos="840" w:val="left" w:leader="none"/>
        </w:tabs>
        <w:spacing w:line="240" w:lineRule="auto" w:before="50" w:after="0"/>
        <w:ind w:left="840" w:right="0" w:hanging="360"/>
        <w:jc w:val="left"/>
        <w:rPr>
          <w:rFonts w:ascii="Symbol" w:hAnsi="Symbol"/>
          <w:sz w:val="20"/>
        </w:rPr>
      </w:pPr>
      <w:r>
        <w:rPr>
          <w:sz w:val="22"/>
        </w:rPr>
        <w:t>Foundation</w:t>
      </w:r>
      <w:r>
        <w:rPr>
          <w:spacing w:val="-8"/>
          <w:sz w:val="22"/>
        </w:rPr>
        <w:t> </w:t>
      </w:r>
      <w:r>
        <w:rPr>
          <w:spacing w:val="-2"/>
          <w:sz w:val="22"/>
        </w:rPr>
        <w:t>repairs</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Landscaping</w:t>
      </w:r>
      <w:r>
        <w:rPr>
          <w:spacing w:val="-5"/>
          <w:sz w:val="22"/>
        </w:rPr>
        <w:t> </w:t>
      </w:r>
      <w:r>
        <w:rPr>
          <w:sz w:val="22"/>
        </w:rPr>
        <w:t>—</w:t>
      </w:r>
      <w:r>
        <w:rPr>
          <w:spacing w:val="-8"/>
          <w:sz w:val="22"/>
        </w:rPr>
        <w:t> </w:t>
      </w:r>
      <w:r>
        <w:rPr>
          <w:sz w:val="22"/>
        </w:rPr>
        <w:t>modest</w:t>
      </w:r>
      <w:r>
        <w:rPr>
          <w:spacing w:val="-3"/>
          <w:sz w:val="22"/>
        </w:rPr>
        <w:t> </w:t>
      </w:r>
      <w:r>
        <w:rPr>
          <w:sz w:val="22"/>
        </w:rPr>
        <w:t>improvements</w:t>
      </w:r>
      <w:r>
        <w:rPr>
          <w:spacing w:val="-5"/>
          <w:sz w:val="22"/>
        </w:rPr>
        <w:t> </w:t>
      </w:r>
      <w:r>
        <w:rPr>
          <w:sz w:val="22"/>
        </w:rPr>
        <w:t>consistent</w:t>
      </w:r>
      <w:r>
        <w:rPr>
          <w:spacing w:val="-8"/>
          <w:sz w:val="22"/>
        </w:rPr>
        <w:t> </w:t>
      </w:r>
      <w:r>
        <w:rPr>
          <w:sz w:val="22"/>
        </w:rPr>
        <w:t>with</w:t>
      </w:r>
      <w:r>
        <w:rPr>
          <w:spacing w:val="-6"/>
          <w:sz w:val="22"/>
        </w:rPr>
        <w:t> </w:t>
      </w:r>
      <w:r>
        <w:rPr>
          <w:sz w:val="22"/>
        </w:rPr>
        <w:t>the</w:t>
      </w:r>
      <w:r>
        <w:rPr>
          <w:spacing w:val="-7"/>
          <w:sz w:val="22"/>
        </w:rPr>
        <w:t> </w:t>
      </w:r>
      <w:r>
        <w:rPr>
          <w:spacing w:val="-2"/>
          <w:sz w:val="22"/>
        </w:rPr>
        <w:t>neighborhood</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Hardscape</w:t>
      </w:r>
      <w:r>
        <w:rPr>
          <w:spacing w:val="-6"/>
          <w:sz w:val="22"/>
        </w:rPr>
        <w:t> </w:t>
      </w:r>
      <w:r>
        <w:rPr>
          <w:sz w:val="22"/>
        </w:rPr>
        <w:t>/</w:t>
      </w:r>
      <w:r>
        <w:rPr>
          <w:spacing w:val="-1"/>
          <w:sz w:val="22"/>
        </w:rPr>
        <w:t> </w:t>
      </w:r>
      <w:r>
        <w:rPr>
          <w:spacing w:val="-2"/>
          <w:sz w:val="22"/>
        </w:rPr>
        <w:t>Softscape</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Tree</w:t>
      </w:r>
      <w:r>
        <w:rPr>
          <w:spacing w:val="-6"/>
          <w:sz w:val="22"/>
        </w:rPr>
        <w:t> </w:t>
      </w:r>
      <w:r>
        <w:rPr>
          <w:sz w:val="22"/>
        </w:rPr>
        <w:t>trimming</w:t>
      </w:r>
      <w:r>
        <w:rPr>
          <w:spacing w:val="-3"/>
          <w:sz w:val="22"/>
        </w:rPr>
        <w:t> </w:t>
      </w:r>
      <w:r>
        <w:rPr>
          <w:sz w:val="22"/>
        </w:rPr>
        <w:t>and</w:t>
      </w:r>
      <w:r>
        <w:rPr>
          <w:spacing w:val="-5"/>
          <w:sz w:val="22"/>
        </w:rPr>
        <w:t> </w:t>
      </w:r>
      <w:r>
        <w:rPr>
          <w:spacing w:val="-2"/>
          <w:sz w:val="22"/>
        </w:rPr>
        <w:t>removal</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pacing w:val="-2"/>
          <w:sz w:val="22"/>
        </w:rPr>
        <w:t>Fences</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pacing w:val="-2"/>
          <w:sz w:val="22"/>
        </w:rPr>
        <w:t>Sidewalks</w:t>
      </w:r>
    </w:p>
    <w:p>
      <w:pPr>
        <w:pStyle w:val="ListParagraph"/>
        <w:numPr>
          <w:ilvl w:val="1"/>
          <w:numId w:val="16"/>
        </w:numPr>
        <w:tabs>
          <w:tab w:pos="839" w:val="left" w:leader="none"/>
          <w:tab w:pos="840" w:val="left" w:leader="none"/>
        </w:tabs>
        <w:spacing w:line="240" w:lineRule="auto" w:before="50" w:after="0"/>
        <w:ind w:left="840" w:right="0" w:hanging="360"/>
        <w:jc w:val="left"/>
        <w:rPr>
          <w:rFonts w:ascii="Symbol" w:hAnsi="Symbol"/>
          <w:sz w:val="20"/>
        </w:rPr>
      </w:pPr>
      <w:r>
        <w:rPr>
          <w:sz w:val="22"/>
        </w:rPr>
        <w:t>Junk/Trash</w:t>
      </w:r>
      <w:r>
        <w:rPr>
          <w:spacing w:val="-6"/>
          <w:sz w:val="22"/>
        </w:rPr>
        <w:t> </w:t>
      </w:r>
      <w:r>
        <w:rPr>
          <w:spacing w:val="-2"/>
          <w:sz w:val="22"/>
        </w:rPr>
        <w:t>Removal</w:t>
      </w:r>
    </w:p>
    <w:p>
      <w:pPr>
        <w:pStyle w:val="ListParagraph"/>
        <w:numPr>
          <w:ilvl w:val="1"/>
          <w:numId w:val="16"/>
        </w:numPr>
        <w:tabs>
          <w:tab w:pos="839" w:val="left" w:leader="none"/>
          <w:tab w:pos="840" w:val="left" w:leader="none"/>
        </w:tabs>
        <w:spacing w:line="240" w:lineRule="auto" w:before="51" w:after="0"/>
        <w:ind w:left="840" w:right="0" w:hanging="360"/>
        <w:jc w:val="left"/>
        <w:rPr>
          <w:rFonts w:ascii="Symbol" w:hAnsi="Symbol"/>
          <w:sz w:val="20"/>
        </w:rPr>
      </w:pPr>
      <w:r>
        <w:rPr>
          <w:sz w:val="22"/>
        </w:rPr>
        <w:t>Demolition</w:t>
      </w:r>
      <w:r>
        <w:rPr>
          <w:spacing w:val="-7"/>
          <w:sz w:val="22"/>
        </w:rPr>
        <w:t> </w:t>
      </w:r>
      <w:r>
        <w:rPr>
          <w:sz w:val="22"/>
        </w:rPr>
        <w:t>of</w:t>
      </w:r>
      <w:r>
        <w:rPr>
          <w:spacing w:val="-7"/>
          <w:sz w:val="22"/>
        </w:rPr>
        <w:t> </w:t>
      </w:r>
      <w:r>
        <w:rPr>
          <w:sz w:val="22"/>
        </w:rPr>
        <w:t>accessory</w:t>
      </w:r>
      <w:r>
        <w:rPr>
          <w:spacing w:val="-7"/>
          <w:sz w:val="22"/>
        </w:rPr>
        <w:t> </w:t>
      </w:r>
      <w:r>
        <w:rPr>
          <w:spacing w:val="-2"/>
          <w:sz w:val="22"/>
        </w:rPr>
        <w:t>structures</w:t>
      </w:r>
    </w:p>
    <w:p>
      <w:pPr>
        <w:pStyle w:val="ListParagraph"/>
        <w:numPr>
          <w:ilvl w:val="1"/>
          <w:numId w:val="16"/>
        </w:numPr>
        <w:tabs>
          <w:tab w:pos="839" w:val="left" w:leader="none"/>
          <w:tab w:pos="840" w:val="left" w:leader="none"/>
        </w:tabs>
        <w:spacing w:line="288" w:lineRule="auto" w:before="50" w:after="0"/>
        <w:ind w:left="840" w:right="157" w:hanging="360"/>
        <w:jc w:val="left"/>
        <w:rPr>
          <w:rFonts w:ascii="Symbol" w:hAnsi="Symbol"/>
          <w:sz w:val="20"/>
        </w:rPr>
      </w:pPr>
      <w:r>
        <w:rPr>
          <w:sz w:val="22"/>
        </w:rPr>
        <w:t>Any</w:t>
      </w:r>
      <w:r>
        <w:rPr>
          <w:spacing w:val="31"/>
          <w:sz w:val="22"/>
        </w:rPr>
        <w:t> </w:t>
      </w:r>
      <w:r>
        <w:rPr>
          <w:sz w:val="22"/>
        </w:rPr>
        <w:t>items</w:t>
      </w:r>
      <w:r>
        <w:rPr>
          <w:spacing w:val="29"/>
          <w:sz w:val="22"/>
        </w:rPr>
        <w:t> </w:t>
      </w:r>
      <w:r>
        <w:rPr>
          <w:sz w:val="22"/>
        </w:rPr>
        <w:t>determined</w:t>
      </w:r>
      <w:r>
        <w:rPr>
          <w:spacing w:val="31"/>
          <w:sz w:val="22"/>
        </w:rPr>
        <w:t> </w:t>
      </w:r>
      <w:r>
        <w:rPr>
          <w:sz w:val="22"/>
        </w:rPr>
        <w:t>eligible</w:t>
      </w:r>
      <w:r>
        <w:rPr>
          <w:spacing w:val="31"/>
          <w:sz w:val="22"/>
        </w:rPr>
        <w:t> </w:t>
      </w:r>
      <w:r>
        <w:rPr>
          <w:sz w:val="22"/>
        </w:rPr>
        <w:t>by</w:t>
      </w:r>
      <w:r>
        <w:rPr>
          <w:spacing w:val="31"/>
          <w:sz w:val="22"/>
        </w:rPr>
        <w:t> </w:t>
      </w:r>
      <w:r>
        <w:rPr>
          <w:sz w:val="22"/>
        </w:rPr>
        <w:t>the</w:t>
      </w:r>
      <w:r>
        <w:rPr>
          <w:spacing w:val="31"/>
          <w:sz w:val="22"/>
        </w:rPr>
        <w:t> </w:t>
      </w:r>
      <w:r>
        <w:rPr>
          <w:sz w:val="22"/>
        </w:rPr>
        <w:t>Director</w:t>
      </w:r>
      <w:r>
        <w:rPr>
          <w:spacing w:val="30"/>
          <w:sz w:val="22"/>
        </w:rPr>
        <w:t> </w:t>
      </w:r>
      <w:r>
        <w:rPr>
          <w:sz w:val="22"/>
        </w:rPr>
        <w:t>that</w:t>
      </w:r>
      <w:r>
        <w:rPr>
          <w:spacing w:val="32"/>
          <w:sz w:val="22"/>
        </w:rPr>
        <w:t> </w:t>
      </w:r>
      <w:r>
        <w:rPr>
          <w:sz w:val="22"/>
        </w:rPr>
        <w:t>comply</w:t>
      </w:r>
      <w:r>
        <w:rPr>
          <w:spacing w:val="31"/>
          <w:sz w:val="22"/>
        </w:rPr>
        <w:t> </w:t>
      </w:r>
      <w:r>
        <w:rPr>
          <w:sz w:val="22"/>
        </w:rPr>
        <w:t>with</w:t>
      </w:r>
      <w:r>
        <w:rPr>
          <w:spacing w:val="31"/>
          <w:sz w:val="22"/>
        </w:rPr>
        <w:t> </w:t>
      </w:r>
      <w:r>
        <w:rPr>
          <w:sz w:val="22"/>
        </w:rPr>
        <w:t>ARPA</w:t>
      </w:r>
      <w:r>
        <w:rPr>
          <w:spacing w:val="30"/>
          <w:sz w:val="22"/>
        </w:rPr>
        <w:t> </w:t>
      </w:r>
      <w:r>
        <w:rPr>
          <w:sz w:val="22"/>
        </w:rPr>
        <w:t>regulations</w:t>
      </w:r>
      <w:r>
        <w:rPr>
          <w:spacing w:val="31"/>
          <w:sz w:val="22"/>
        </w:rPr>
        <w:t> </w:t>
      </w:r>
      <w:r>
        <w:rPr>
          <w:sz w:val="22"/>
        </w:rPr>
        <w:t>and </w:t>
      </w:r>
      <w:r>
        <w:rPr>
          <w:spacing w:val="-2"/>
          <w:sz w:val="22"/>
        </w:rPr>
        <w:t>guidance.</w:t>
      </w:r>
    </w:p>
    <w:p>
      <w:pPr>
        <w:pStyle w:val="BodyText"/>
        <w:spacing w:before="5"/>
        <w:rPr>
          <w:sz w:val="26"/>
        </w:rPr>
      </w:pPr>
    </w:p>
    <w:p>
      <w:pPr>
        <w:pStyle w:val="Heading5"/>
        <w:spacing w:before="1"/>
        <w:ind w:left="119"/>
        <w:jc w:val="left"/>
      </w:pPr>
      <w:r>
        <w:rPr/>
        <w:t>Ineligible</w:t>
      </w:r>
      <w:r>
        <w:rPr>
          <w:spacing w:val="-4"/>
        </w:rPr>
        <w:t> </w:t>
      </w:r>
      <w:r>
        <w:rPr>
          <w:spacing w:val="-2"/>
        </w:rPr>
        <w:t>Repairs</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Ineligible</w:t>
      </w:r>
      <w:r>
        <w:rPr>
          <w:spacing w:val="-8"/>
          <w:sz w:val="22"/>
        </w:rPr>
        <w:t> </w:t>
      </w:r>
      <w:r>
        <w:rPr>
          <w:sz w:val="22"/>
        </w:rPr>
        <w:t>home</w:t>
      </w:r>
      <w:r>
        <w:rPr>
          <w:spacing w:val="-6"/>
          <w:sz w:val="22"/>
        </w:rPr>
        <w:t> </w:t>
      </w:r>
      <w:r>
        <w:rPr>
          <w:sz w:val="22"/>
        </w:rPr>
        <w:t>repair</w:t>
      </w:r>
      <w:r>
        <w:rPr>
          <w:spacing w:val="-3"/>
          <w:sz w:val="22"/>
        </w:rPr>
        <w:t> </w:t>
      </w:r>
      <w:r>
        <w:rPr>
          <w:sz w:val="22"/>
        </w:rPr>
        <w:t>activities</w:t>
      </w:r>
      <w:r>
        <w:rPr>
          <w:spacing w:val="-5"/>
          <w:sz w:val="22"/>
        </w:rPr>
        <w:t> </w:t>
      </w:r>
      <w:r>
        <w:rPr>
          <w:sz w:val="22"/>
        </w:rPr>
        <w:t>include</w:t>
      </w:r>
      <w:r>
        <w:rPr>
          <w:spacing w:val="-6"/>
          <w:sz w:val="22"/>
        </w:rPr>
        <w:t> </w:t>
      </w:r>
      <w:r>
        <w:rPr>
          <w:sz w:val="22"/>
        </w:rPr>
        <w:t>but</w:t>
      </w:r>
      <w:r>
        <w:rPr>
          <w:spacing w:val="-6"/>
          <w:sz w:val="22"/>
        </w:rPr>
        <w:t> </w:t>
      </w:r>
      <w:r>
        <w:rPr>
          <w:sz w:val="22"/>
        </w:rPr>
        <w:t>are</w:t>
      </w:r>
      <w:r>
        <w:rPr>
          <w:spacing w:val="-7"/>
          <w:sz w:val="22"/>
        </w:rPr>
        <w:t> </w:t>
      </w:r>
      <w:r>
        <w:rPr>
          <w:sz w:val="22"/>
        </w:rPr>
        <w:t>not</w:t>
      </w:r>
      <w:r>
        <w:rPr>
          <w:spacing w:val="-4"/>
          <w:sz w:val="22"/>
        </w:rPr>
        <w:t> </w:t>
      </w:r>
      <w:r>
        <w:rPr>
          <w:sz w:val="22"/>
        </w:rPr>
        <w:t>limited</w:t>
      </w:r>
      <w:r>
        <w:rPr>
          <w:spacing w:val="-7"/>
          <w:sz w:val="22"/>
        </w:rPr>
        <w:t> </w:t>
      </w:r>
      <w:r>
        <w:rPr>
          <w:spacing w:val="-5"/>
          <w:sz w:val="22"/>
        </w:rPr>
        <w:t>to</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Demolition</w:t>
      </w:r>
      <w:r>
        <w:rPr>
          <w:spacing w:val="-6"/>
          <w:sz w:val="22"/>
        </w:rPr>
        <w:t> </w:t>
      </w:r>
      <w:r>
        <w:rPr>
          <w:sz w:val="22"/>
        </w:rPr>
        <w:t>of</w:t>
      </w:r>
      <w:r>
        <w:rPr>
          <w:spacing w:val="-6"/>
          <w:sz w:val="22"/>
        </w:rPr>
        <w:t> </w:t>
      </w:r>
      <w:r>
        <w:rPr>
          <w:sz w:val="22"/>
        </w:rPr>
        <w:t>historic</w:t>
      </w:r>
      <w:r>
        <w:rPr>
          <w:spacing w:val="-7"/>
          <w:sz w:val="22"/>
        </w:rPr>
        <w:t> </w:t>
      </w:r>
      <w:r>
        <w:rPr>
          <w:spacing w:val="-2"/>
          <w:sz w:val="22"/>
        </w:rPr>
        <w:t>structures</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Demolition</w:t>
      </w:r>
      <w:r>
        <w:rPr>
          <w:spacing w:val="-5"/>
          <w:sz w:val="22"/>
        </w:rPr>
        <w:t> </w:t>
      </w:r>
      <w:r>
        <w:rPr>
          <w:sz w:val="22"/>
        </w:rPr>
        <w:t>of</w:t>
      </w:r>
      <w:r>
        <w:rPr>
          <w:spacing w:val="-6"/>
          <w:sz w:val="22"/>
        </w:rPr>
        <w:t> </w:t>
      </w:r>
      <w:r>
        <w:rPr>
          <w:sz w:val="22"/>
        </w:rPr>
        <w:t>primary</w:t>
      </w:r>
      <w:r>
        <w:rPr>
          <w:spacing w:val="-7"/>
          <w:sz w:val="22"/>
        </w:rPr>
        <w:t> </w:t>
      </w:r>
      <w:r>
        <w:rPr>
          <w:sz w:val="22"/>
        </w:rPr>
        <w:t>structure</w:t>
      </w:r>
      <w:r>
        <w:rPr>
          <w:spacing w:val="-6"/>
          <w:sz w:val="22"/>
        </w:rPr>
        <w:t> </w:t>
      </w:r>
      <w:r>
        <w:rPr>
          <w:sz w:val="22"/>
        </w:rPr>
        <w:t>that</w:t>
      </w:r>
      <w:r>
        <w:rPr>
          <w:spacing w:val="-6"/>
          <w:sz w:val="22"/>
        </w:rPr>
        <w:t> </w:t>
      </w:r>
      <w:r>
        <w:rPr>
          <w:sz w:val="22"/>
        </w:rPr>
        <w:t>results</w:t>
      </w:r>
      <w:r>
        <w:rPr>
          <w:spacing w:val="-7"/>
          <w:sz w:val="22"/>
        </w:rPr>
        <w:t> </w:t>
      </w:r>
      <w:r>
        <w:rPr>
          <w:sz w:val="22"/>
        </w:rPr>
        <w:t>in</w:t>
      </w:r>
      <w:r>
        <w:rPr>
          <w:spacing w:val="-5"/>
          <w:sz w:val="22"/>
        </w:rPr>
        <w:t> </w:t>
      </w:r>
      <w:r>
        <w:rPr>
          <w:sz w:val="22"/>
        </w:rPr>
        <w:t>vacant</w:t>
      </w:r>
      <w:r>
        <w:rPr>
          <w:spacing w:val="-2"/>
          <w:sz w:val="22"/>
        </w:rPr>
        <w:t> </w:t>
      </w:r>
      <w:r>
        <w:rPr>
          <w:spacing w:val="-5"/>
          <w:sz w:val="22"/>
        </w:rPr>
        <w:t>lot</w:t>
      </w:r>
    </w:p>
    <w:p>
      <w:pPr>
        <w:pStyle w:val="ListParagraph"/>
        <w:numPr>
          <w:ilvl w:val="1"/>
          <w:numId w:val="16"/>
        </w:numPr>
        <w:tabs>
          <w:tab w:pos="839" w:val="left" w:leader="none"/>
          <w:tab w:pos="840" w:val="left" w:leader="none"/>
        </w:tabs>
        <w:spacing w:line="240" w:lineRule="auto" w:before="52" w:after="0"/>
        <w:ind w:left="840" w:right="0" w:hanging="360"/>
        <w:jc w:val="left"/>
        <w:rPr>
          <w:rFonts w:ascii="Symbol" w:hAnsi="Symbol"/>
          <w:sz w:val="20"/>
        </w:rPr>
      </w:pPr>
      <w:r>
        <w:rPr>
          <w:sz w:val="22"/>
        </w:rPr>
        <w:t>Rehabilitation</w:t>
      </w:r>
      <w:r>
        <w:rPr>
          <w:spacing w:val="-8"/>
          <w:sz w:val="22"/>
        </w:rPr>
        <w:t> </w:t>
      </w:r>
      <w:r>
        <w:rPr>
          <w:sz w:val="22"/>
        </w:rPr>
        <w:t>that</w:t>
      </w:r>
      <w:r>
        <w:rPr>
          <w:spacing w:val="-6"/>
          <w:sz w:val="22"/>
        </w:rPr>
        <w:t> </w:t>
      </w:r>
      <w:r>
        <w:rPr>
          <w:sz w:val="22"/>
        </w:rPr>
        <w:t>makes</w:t>
      </w:r>
      <w:r>
        <w:rPr>
          <w:spacing w:val="-5"/>
          <w:sz w:val="22"/>
        </w:rPr>
        <w:t> </w:t>
      </w:r>
      <w:r>
        <w:rPr>
          <w:sz w:val="22"/>
        </w:rPr>
        <w:t>the</w:t>
      </w:r>
      <w:r>
        <w:rPr>
          <w:spacing w:val="-7"/>
          <w:sz w:val="22"/>
        </w:rPr>
        <w:t> </w:t>
      </w:r>
      <w:r>
        <w:rPr>
          <w:sz w:val="22"/>
        </w:rPr>
        <w:t>home</w:t>
      </w:r>
      <w:r>
        <w:rPr>
          <w:spacing w:val="-8"/>
          <w:sz w:val="22"/>
        </w:rPr>
        <w:t> </w:t>
      </w:r>
      <w:r>
        <w:rPr>
          <w:sz w:val="22"/>
        </w:rPr>
        <w:t>inconsistent</w:t>
      </w:r>
      <w:r>
        <w:rPr>
          <w:spacing w:val="-6"/>
          <w:sz w:val="22"/>
        </w:rPr>
        <w:t> </w:t>
      </w:r>
      <w:r>
        <w:rPr>
          <w:sz w:val="22"/>
        </w:rPr>
        <w:t>with</w:t>
      </w:r>
      <w:r>
        <w:rPr>
          <w:spacing w:val="-6"/>
          <w:sz w:val="22"/>
        </w:rPr>
        <w:t> </w:t>
      </w:r>
      <w:r>
        <w:rPr>
          <w:sz w:val="22"/>
        </w:rPr>
        <w:t>the</w:t>
      </w:r>
      <w:r>
        <w:rPr>
          <w:spacing w:val="-7"/>
          <w:sz w:val="22"/>
        </w:rPr>
        <w:t> </w:t>
      </w:r>
      <w:r>
        <w:rPr>
          <w:sz w:val="22"/>
        </w:rPr>
        <w:t>neighborhood</w:t>
      </w:r>
      <w:r>
        <w:rPr>
          <w:spacing w:val="-7"/>
          <w:sz w:val="22"/>
        </w:rPr>
        <w:t> </w:t>
      </w:r>
      <w:r>
        <w:rPr>
          <w:spacing w:val="-2"/>
          <w:sz w:val="22"/>
        </w:rPr>
        <w:t>character</w:t>
      </w:r>
    </w:p>
    <w:p>
      <w:pPr>
        <w:pStyle w:val="BodyText"/>
        <w:spacing w:before="9"/>
        <w:rPr>
          <w:sz w:val="30"/>
        </w:rPr>
      </w:pPr>
    </w:p>
    <w:p>
      <w:pPr>
        <w:pStyle w:val="Heading5"/>
        <w:ind w:left="119"/>
        <w:jc w:val="left"/>
      </w:pPr>
      <w:r>
        <w:rPr/>
        <w:t>Applicant</w:t>
      </w:r>
      <w:r>
        <w:rPr>
          <w:spacing w:val="-6"/>
        </w:rPr>
        <w:t> </w:t>
      </w:r>
      <w:r>
        <w:rPr/>
        <w:t>Eligibility</w:t>
      </w:r>
      <w:r>
        <w:rPr>
          <w:spacing w:val="-6"/>
        </w:rPr>
        <w:t> </w:t>
      </w:r>
      <w:r>
        <w:rPr/>
        <w:t>for</w:t>
      </w:r>
      <w:r>
        <w:rPr>
          <w:spacing w:val="-6"/>
        </w:rPr>
        <w:t> </w:t>
      </w:r>
      <w:r>
        <w:rPr/>
        <w:t>Home</w:t>
      </w:r>
      <w:r>
        <w:rPr>
          <w:spacing w:val="-4"/>
        </w:rPr>
        <w:t> </w:t>
      </w:r>
      <w:r>
        <w:rPr/>
        <w:t>Repair</w:t>
      </w:r>
      <w:r>
        <w:rPr>
          <w:spacing w:val="-5"/>
        </w:rPr>
        <w:t> </w:t>
      </w:r>
      <w:r>
        <w:rPr>
          <w:spacing w:val="-2"/>
        </w:rPr>
        <w:t>Activities</w:t>
      </w:r>
    </w:p>
    <w:p>
      <w:pPr>
        <w:pStyle w:val="ListParagraph"/>
        <w:numPr>
          <w:ilvl w:val="1"/>
          <w:numId w:val="16"/>
        </w:numPr>
        <w:tabs>
          <w:tab w:pos="839" w:val="left" w:leader="none"/>
          <w:tab w:pos="840" w:val="left" w:leader="none"/>
        </w:tabs>
        <w:spacing w:line="288" w:lineRule="auto" w:before="50" w:after="0"/>
        <w:ind w:left="839" w:right="158" w:hanging="360"/>
        <w:jc w:val="left"/>
        <w:rPr>
          <w:rFonts w:ascii="Symbol" w:hAnsi="Symbol"/>
          <w:sz w:val="20"/>
        </w:rPr>
      </w:pPr>
      <w:r>
        <w:rPr>
          <w:sz w:val="22"/>
        </w:rPr>
        <w:t>Property owners who reside in owner-occupied single-family houses located in QCTs or </w:t>
      </w:r>
      <w:r>
        <w:rPr>
          <w:spacing w:val="-4"/>
          <w:sz w:val="22"/>
        </w:rPr>
        <w:t>ARPA</w:t>
      </w:r>
    </w:p>
    <w:p>
      <w:pPr>
        <w:pStyle w:val="ListParagraph"/>
        <w:numPr>
          <w:ilvl w:val="1"/>
          <w:numId w:val="16"/>
        </w:numPr>
        <w:tabs>
          <w:tab w:pos="840" w:val="left" w:leader="none"/>
        </w:tabs>
        <w:spacing w:line="240" w:lineRule="auto" w:before="0" w:after="0"/>
        <w:ind w:left="840" w:right="0" w:hanging="360"/>
        <w:jc w:val="both"/>
        <w:rPr>
          <w:rFonts w:ascii="Symbol" w:hAnsi="Symbol"/>
          <w:sz w:val="20"/>
        </w:rPr>
      </w:pPr>
      <w:r>
        <w:rPr>
          <w:sz w:val="22"/>
        </w:rPr>
        <w:t>Eligible</w:t>
      </w:r>
      <w:r>
        <w:rPr>
          <w:spacing w:val="-8"/>
          <w:sz w:val="22"/>
        </w:rPr>
        <w:t> </w:t>
      </w:r>
      <w:r>
        <w:rPr>
          <w:sz w:val="22"/>
        </w:rPr>
        <w:t>Households,</w:t>
      </w:r>
      <w:r>
        <w:rPr>
          <w:spacing w:val="-3"/>
          <w:sz w:val="22"/>
        </w:rPr>
        <w:t> </w:t>
      </w:r>
      <w:r>
        <w:rPr>
          <w:sz w:val="22"/>
        </w:rPr>
        <w:t>are</w:t>
      </w:r>
      <w:r>
        <w:rPr>
          <w:spacing w:val="-9"/>
          <w:sz w:val="22"/>
        </w:rPr>
        <w:t> </w:t>
      </w:r>
      <w:r>
        <w:rPr>
          <w:sz w:val="22"/>
        </w:rPr>
        <w:t>eligible</w:t>
      </w:r>
      <w:r>
        <w:rPr>
          <w:spacing w:val="-5"/>
          <w:sz w:val="22"/>
        </w:rPr>
        <w:t> </w:t>
      </w:r>
      <w:r>
        <w:rPr>
          <w:sz w:val="22"/>
        </w:rPr>
        <w:t>for</w:t>
      </w:r>
      <w:r>
        <w:rPr>
          <w:spacing w:val="-3"/>
          <w:sz w:val="22"/>
        </w:rPr>
        <w:t> </w:t>
      </w:r>
      <w:r>
        <w:rPr>
          <w:sz w:val="22"/>
        </w:rPr>
        <w:t>the</w:t>
      </w:r>
      <w:r>
        <w:rPr>
          <w:spacing w:val="-7"/>
          <w:sz w:val="22"/>
        </w:rPr>
        <w:t> </w:t>
      </w:r>
      <w:r>
        <w:rPr>
          <w:sz w:val="22"/>
        </w:rPr>
        <w:t>ARPA</w:t>
      </w:r>
      <w:r>
        <w:rPr>
          <w:spacing w:val="-5"/>
          <w:sz w:val="22"/>
        </w:rPr>
        <w:t> </w:t>
      </w:r>
      <w:r>
        <w:rPr>
          <w:sz w:val="22"/>
        </w:rPr>
        <w:t>Home</w:t>
      </w:r>
      <w:r>
        <w:rPr>
          <w:spacing w:val="-5"/>
          <w:sz w:val="22"/>
        </w:rPr>
        <w:t> </w:t>
      </w:r>
      <w:r>
        <w:rPr>
          <w:sz w:val="22"/>
        </w:rPr>
        <w:t>Repair</w:t>
      </w:r>
      <w:r>
        <w:rPr>
          <w:spacing w:val="-6"/>
          <w:sz w:val="22"/>
        </w:rPr>
        <w:t> </w:t>
      </w:r>
      <w:r>
        <w:rPr>
          <w:spacing w:val="-2"/>
          <w:sz w:val="22"/>
        </w:rPr>
        <w:t>Program.</w:t>
      </w:r>
    </w:p>
    <w:p>
      <w:pPr>
        <w:pStyle w:val="ListParagraph"/>
        <w:numPr>
          <w:ilvl w:val="1"/>
          <w:numId w:val="16"/>
        </w:numPr>
        <w:tabs>
          <w:tab w:pos="840" w:val="left" w:leader="none"/>
        </w:tabs>
        <w:spacing w:line="288" w:lineRule="auto" w:before="52" w:after="0"/>
        <w:ind w:left="840" w:right="157" w:hanging="360"/>
        <w:jc w:val="both"/>
        <w:rPr>
          <w:rFonts w:ascii="Symbol" w:hAnsi="Symbol"/>
          <w:sz w:val="20"/>
        </w:rPr>
      </w:pPr>
      <w:r>
        <w:rPr>
          <w:sz w:val="22"/>
        </w:rPr>
        <w:t>Property owners who rent or sell their property to families under 80 percent of the Area Median Income (AMI) established by the U.S. Department of Housing and Urban Development are eligible.</w:t>
      </w:r>
    </w:p>
    <w:p>
      <w:pPr>
        <w:pStyle w:val="ListParagraph"/>
        <w:numPr>
          <w:ilvl w:val="1"/>
          <w:numId w:val="16"/>
        </w:numPr>
        <w:tabs>
          <w:tab w:pos="840" w:val="left" w:leader="none"/>
        </w:tabs>
        <w:spacing w:line="288" w:lineRule="auto" w:before="0" w:after="0"/>
        <w:ind w:left="840" w:right="156" w:hanging="360"/>
        <w:jc w:val="both"/>
        <w:rPr>
          <w:rFonts w:ascii="Symbol" w:hAnsi="Symbol"/>
          <w:sz w:val="20"/>
        </w:rPr>
      </w:pPr>
      <w:r>
        <w:rPr>
          <w:sz w:val="22"/>
        </w:rPr>
        <w:t>Property</w:t>
      </w:r>
      <w:r>
        <w:rPr>
          <w:spacing w:val="-4"/>
          <w:sz w:val="22"/>
        </w:rPr>
        <w:t> </w:t>
      </w:r>
      <w:r>
        <w:rPr>
          <w:sz w:val="22"/>
        </w:rPr>
        <w:t>owners</w:t>
      </w:r>
      <w:r>
        <w:rPr>
          <w:spacing w:val="-6"/>
          <w:sz w:val="22"/>
        </w:rPr>
        <w:t> </w:t>
      </w:r>
      <w:r>
        <w:rPr>
          <w:sz w:val="22"/>
        </w:rPr>
        <w:t>who</w:t>
      </w:r>
      <w:r>
        <w:rPr>
          <w:spacing w:val="-4"/>
          <w:sz w:val="22"/>
        </w:rPr>
        <w:t> </w:t>
      </w:r>
      <w:r>
        <w:rPr>
          <w:sz w:val="22"/>
        </w:rPr>
        <w:t>own</w:t>
      </w:r>
      <w:r>
        <w:rPr>
          <w:spacing w:val="-4"/>
          <w:sz w:val="22"/>
        </w:rPr>
        <w:t> </w:t>
      </w:r>
      <w:r>
        <w:rPr>
          <w:sz w:val="22"/>
        </w:rPr>
        <w:t>a</w:t>
      </w:r>
      <w:r>
        <w:rPr>
          <w:spacing w:val="-4"/>
          <w:sz w:val="22"/>
        </w:rPr>
        <w:t> </w:t>
      </w:r>
      <w:r>
        <w:rPr>
          <w:sz w:val="22"/>
        </w:rPr>
        <w:t>non-occupied</w:t>
      </w:r>
      <w:r>
        <w:rPr>
          <w:spacing w:val="-4"/>
          <w:sz w:val="22"/>
        </w:rPr>
        <w:t> </w:t>
      </w:r>
      <w:r>
        <w:rPr>
          <w:sz w:val="22"/>
        </w:rPr>
        <w:t>home</w:t>
      </w:r>
      <w:r>
        <w:rPr>
          <w:spacing w:val="-7"/>
          <w:sz w:val="22"/>
        </w:rPr>
        <w:t> </w:t>
      </w:r>
      <w:r>
        <w:rPr>
          <w:sz w:val="22"/>
        </w:rPr>
        <w:t>that</w:t>
      </w:r>
      <w:r>
        <w:rPr>
          <w:spacing w:val="-3"/>
          <w:sz w:val="22"/>
        </w:rPr>
        <w:t> </w:t>
      </w:r>
      <w:r>
        <w:rPr>
          <w:sz w:val="22"/>
        </w:rPr>
        <w:t>they</w:t>
      </w:r>
      <w:r>
        <w:rPr>
          <w:spacing w:val="-4"/>
          <w:sz w:val="22"/>
        </w:rPr>
        <w:t> </w:t>
      </w:r>
      <w:r>
        <w:rPr>
          <w:sz w:val="22"/>
        </w:rPr>
        <w:t>wish</w:t>
      </w:r>
      <w:r>
        <w:rPr>
          <w:spacing w:val="-4"/>
          <w:sz w:val="22"/>
        </w:rPr>
        <w:t> </w:t>
      </w:r>
      <w:r>
        <w:rPr>
          <w:sz w:val="22"/>
        </w:rPr>
        <w:t>to</w:t>
      </w:r>
      <w:r>
        <w:rPr>
          <w:spacing w:val="-7"/>
          <w:sz w:val="22"/>
        </w:rPr>
        <w:t> </w:t>
      </w:r>
      <w:r>
        <w:rPr>
          <w:sz w:val="22"/>
        </w:rPr>
        <w:t>(1)</w:t>
      </w:r>
      <w:r>
        <w:rPr>
          <w:spacing w:val="-5"/>
          <w:sz w:val="22"/>
        </w:rPr>
        <w:t> </w:t>
      </w:r>
      <w:r>
        <w:rPr>
          <w:sz w:val="22"/>
        </w:rPr>
        <w:t>rent</w:t>
      </w:r>
      <w:r>
        <w:rPr>
          <w:spacing w:val="-5"/>
          <w:sz w:val="22"/>
        </w:rPr>
        <w:t> </w:t>
      </w:r>
      <w:r>
        <w:rPr>
          <w:sz w:val="22"/>
        </w:rPr>
        <w:t>or</w:t>
      </w:r>
      <w:r>
        <w:rPr>
          <w:spacing w:val="-3"/>
          <w:sz w:val="22"/>
        </w:rPr>
        <w:t> </w:t>
      </w:r>
      <w:r>
        <w:rPr>
          <w:sz w:val="22"/>
        </w:rPr>
        <w:t>sell</w:t>
      </w:r>
      <w:r>
        <w:rPr>
          <w:spacing w:val="-5"/>
          <w:sz w:val="22"/>
        </w:rPr>
        <w:t> </w:t>
      </w:r>
      <w:r>
        <w:rPr>
          <w:sz w:val="22"/>
        </w:rPr>
        <w:t>to</w:t>
      </w:r>
      <w:r>
        <w:rPr>
          <w:spacing w:val="-4"/>
          <w:sz w:val="22"/>
        </w:rPr>
        <w:t> </w:t>
      </w:r>
      <w:r>
        <w:rPr>
          <w:sz w:val="22"/>
        </w:rPr>
        <w:t>a</w:t>
      </w:r>
      <w:r>
        <w:rPr>
          <w:spacing w:val="-6"/>
          <w:sz w:val="22"/>
        </w:rPr>
        <w:t> </w:t>
      </w:r>
      <w:r>
        <w:rPr>
          <w:sz w:val="22"/>
        </w:rPr>
        <w:t>low- to-moderate</w:t>
      </w:r>
      <w:r>
        <w:rPr>
          <w:spacing w:val="-16"/>
          <w:sz w:val="22"/>
        </w:rPr>
        <w:t> </w:t>
      </w:r>
      <w:r>
        <w:rPr>
          <w:sz w:val="22"/>
        </w:rPr>
        <w:t>income</w:t>
      </w:r>
      <w:r>
        <w:rPr>
          <w:spacing w:val="-15"/>
          <w:sz w:val="22"/>
        </w:rPr>
        <w:t> </w:t>
      </w:r>
      <w:r>
        <w:rPr>
          <w:sz w:val="22"/>
        </w:rPr>
        <w:t>family,</w:t>
      </w:r>
      <w:r>
        <w:rPr>
          <w:spacing w:val="-15"/>
          <w:sz w:val="22"/>
        </w:rPr>
        <w:t> </w:t>
      </w:r>
      <w:r>
        <w:rPr>
          <w:sz w:val="22"/>
        </w:rPr>
        <w:t>under</w:t>
      </w:r>
      <w:r>
        <w:rPr>
          <w:spacing w:val="-16"/>
          <w:sz w:val="22"/>
        </w:rPr>
        <w:t> </w:t>
      </w:r>
      <w:r>
        <w:rPr>
          <w:sz w:val="22"/>
        </w:rPr>
        <w:t>80</w:t>
      </w:r>
      <w:r>
        <w:rPr>
          <w:spacing w:val="-15"/>
          <w:sz w:val="22"/>
        </w:rPr>
        <w:t> </w:t>
      </w:r>
      <w:r>
        <w:rPr>
          <w:sz w:val="22"/>
        </w:rPr>
        <w:t>percent</w:t>
      </w:r>
      <w:r>
        <w:rPr>
          <w:spacing w:val="-15"/>
          <w:sz w:val="22"/>
        </w:rPr>
        <w:t> </w:t>
      </w:r>
      <w:r>
        <w:rPr>
          <w:sz w:val="22"/>
        </w:rPr>
        <w:t>AMI;</w:t>
      </w:r>
      <w:r>
        <w:rPr>
          <w:spacing w:val="-15"/>
          <w:sz w:val="22"/>
        </w:rPr>
        <w:t> </w:t>
      </w:r>
      <w:r>
        <w:rPr>
          <w:sz w:val="22"/>
        </w:rPr>
        <w:t>or</w:t>
      </w:r>
      <w:r>
        <w:rPr>
          <w:spacing w:val="-16"/>
          <w:sz w:val="22"/>
        </w:rPr>
        <w:t> </w:t>
      </w:r>
      <w:r>
        <w:rPr>
          <w:sz w:val="22"/>
        </w:rPr>
        <w:t>(2)</w:t>
      </w:r>
      <w:r>
        <w:rPr>
          <w:spacing w:val="-15"/>
          <w:sz w:val="22"/>
        </w:rPr>
        <w:t> </w:t>
      </w:r>
      <w:r>
        <w:rPr>
          <w:sz w:val="22"/>
        </w:rPr>
        <w:t>occupy</w:t>
      </w:r>
      <w:r>
        <w:rPr>
          <w:spacing w:val="-15"/>
          <w:sz w:val="22"/>
        </w:rPr>
        <w:t> </w:t>
      </w:r>
      <w:r>
        <w:rPr>
          <w:sz w:val="22"/>
        </w:rPr>
        <w:t>as</w:t>
      </w:r>
      <w:r>
        <w:rPr>
          <w:spacing w:val="-16"/>
          <w:sz w:val="22"/>
        </w:rPr>
        <w:t> </w:t>
      </w:r>
      <w:r>
        <w:rPr>
          <w:sz w:val="22"/>
        </w:rPr>
        <w:t>their</w:t>
      </w:r>
      <w:r>
        <w:rPr>
          <w:spacing w:val="-15"/>
          <w:sz w:val="22"/>
        </w:rPr>
        <w:t> </w:t>
      </w:r>
      <w:r>
        <w:rPr>
          <w:sz w:val="22"/>
        </w:rPr>
        <w:t>primary</w:t>
      </w:r>
      <w:r>
        <w:rPr>
          <w:spacing w:val="-15"/>
          <w:sz w:val="22"/>
        </w:rPr>
        <w:t> </w:t>
      </w:r>
      <w:r>
        <w:rPr>
          <w:sz w:val="22"/>
        </w:rPr>
        <w:t>residence at completion of the repairs are eligible.</w:t>
      </w:r>
    </w:p>
    <w:p>
      <w:pPr>
        <w:pStyle w:val="ListParagraph"/>
        <w:numPr>
          <w:ilvl w:val="1"/>
          <w:numId w:val="16"/>
        </w:numPr>
        <w:tabs>
          <w:tab w:pos="840" w:val="left" w:leader="none"/>
        </w:tabs>
        <w:spacing w:line="288" w:lineRule="auto" w:before="0" w:after="0"/>
        <w:ind w:left="840" w:right="153" w:hanging="360"/>
        <w:jc w:val="both"/>
        <w:rPr>
          <w:rFonts w:ascii="Symbol" w:hAnsi="Symbol"/>
          <w:sz w:val="20"/>
        </w:rPr>
      </w:pPr>
      <w:r>
        <w:rPr>
          <w:sz w:val="22"/>
        </w:rPr>
        <w:t>Entities who own unoccupied homes are eligible if, after the repairs are completed, the entity (1) rents to a low-to-moderate income family, under 80 percent AMI, who must occupy the home as their primary residence; or (2) sells the home to a buyer under the same income threshold, who must occupy the home as their primary residence.</w:t>
      </w:r>
    </w:p>
    <w:p>
      <w:pPr>
        <w:pStyle w:val="BodyText"/>
        <w:spacing w:before="3"/>
        <w:rPr>
          <w:sz w:val="26"/>
        </w:rPr>
      </w:pPr>
    </w:p>
    <w:p>
      <w:pPr>
        <w:pStyle w:val="Heading5"/>
        <w:spacing w:before="1"/>
        <w:ind w:left="119"/>
        <w:jc w:val="left"/>
      </w:pPr>
      <w:r>
        <w:rPr/>
        <w:t>Eligible</w:t>
      </w:r>
      <w:r>
        <w:rPr>
          <w:spacing w:val="-3"/>
        </w:rPr>
        <w:t> </w:t>
      </w:r>
      <w:r>
        <w:rPr>
          <w:spacing w:val="-2"/>
        </w:rPr>
        <w:t>Areas</w:t>
      </w:r>
    </w:p>
    <w:p>
      <w:pPr>
        <w:spacing w:after="0"/>
        <w:jc w:val="left"/>
        <w:sectPr>
          <w:pgSz w:w="12240" w:h="15840"/>
          <w:pgMar w:header="0" w:footer="1738" w:top="1360" w:bottom="1920" w:left="1320" w:right="1280"/>
        </w:sectPr>
      </w:pPr>
    </w:p>
    <w:p>
      <w:pPr>
        <w:pStyle w:val="BodyText"/>
        <w:spacing w:line="288" w:lineRule="auto" w:before="80"/>
        <w:ind w:left="119" w:right="158"/>
        <w:jc w:val="both"/>
      </w:pPr>
      <w:r>
        <w:rPr/>
        <w:pict>
          <v:shape style="position:absolute;margin-left:90.065002pt;margin-top:101.208832pt;width:395.3pt;height:419pt;mso-position-horizontal-relative:page;mso-position-vertical-relative:paragraph;z-index:-17710592" id="docshape68" coordorigin="1801,2024" coordsize="7906,8380" path="m4498,9288l4492,9215,4477,9136,4455,9054,4432,8984,4403,8912,4367,8837,4325,8759,4276,8679,4237,8620,4200,8569,4200,9255,4197,9311,4186,9368,4167,9425,4138,9485,4097,9548,4044,9614,3979,9683,3674,9989,2216,8531,2517,8230,2598,8154,2672,8094,2740,8051,2801,8024,2868,8009,2941,8005,3020,8012,3105,8030,3195,8059,3255,8085,3317,8117,3380,8156,3446,8201,3514,8252,3584,8311,3656,8375,3729,8447,3789,8508,3845,8568,3896,8627,3943,8685,3986,8742,4025,8797,4059,8851,4101,8926,4136,8998,4163,9067,4183,9134,4196,9198,4200,9255,4200,8569,4194,8560,4148,8500,4098,8439,4045,8378,3989,8317,3929,8255,3865,8193,3801,8135,3737,8080,3673,8028,3643,8005,3609,7980,3546,7936,3482,7894,3419,7857,3346,7819,3274,7786,3203,7759,3132,7737,3062,7720,2992,7708,2923,7701,2850,7699,2779,7706,2709,7721,2642,7744,2577,7774,2528,7803,2476,7840,2420,7885,2359,7939,2294,8002,1801,8495,3710,10403,4124,9989,4226,9887,4287,9822,4341,9756,4386,9690,4424,9624,4454,9557,4476,9491,4491,9424,4498,9356,4498,9288xm6418,7695l6056,7567,5650,7424,5561,7395,5475,7371,5393,7352,5365,7347,5314,7338,5239,7328,5193,7326,5143,7329,5089,7336,5030,7347,5073,7277,5109,7208,5136,7139,5154,7070,5164,7001,5165,6933,5157,6865,5139,6787,5111,6711,5075,6636,5030,6564,4976,6493,4956,6470,4913,6424,4872,6386,4872,6943,4868,6999,4854,7054,4830,7110,4794,7169,4747,7230,4687,7293,4280,7701,3649,7069,4102,6616,4166,6559,4229,6516,4293,6487,4358,6471,4422,6470,4501,6485,4577,6515,4649,6560,4718,6619,4761,6667,4797,6718,4827,6772,4851,6828,4867,6886,4872,6943,4872,6386,4849,6365,4782,6312,4713,6267,4641,6228,4566,6196,4474,6168,4386,6155,4303,6157,4225,6173,4163,6198,4098,6234,4030,6283,3958,6342,3883,6413,3248,7048,5157,8956,5346,8767,4499,7919,4718,7701,4753,7666,4783,7639,4810,7618,4833,7603,4863,7590,4896,7579,4932,7571,4971,7567,5014,7567,5066,7572,5125,7583,5194,7599,5256,7616,5328,7637,5407,7662,5496,7691,6180,7933,6418,7695xm7780,6332l7415,6137,6555,5683,6555,5990,6070,6476,6030,6404,5989,6332,5748,5902,5708,5830,5668,5759,5629,5693,5590,5628,5550,5564,5509,5501,5467,5439,5424,5378,5380,5317,5436,5353,5498,5391,5564,5430,5635,5472,5792,5563,6555,5990,6555,5683,5862,5317,5286,5010,5082,5214,5277,5565,5316,5635,5701,6332,6207,7251,6441,7672,6642,7471,6565,7338,6298,6869,6221,6736,6481,6476,6820,6137,7173,6332,7565,6548,7780,6332xm8131,5982l7264,5115,7936,4443,7711,4218,7039,4890,6448,4299,7224,3523,6999,3297,6033,4263,7941,6171,8131,5982xm9707,4406l8024,2723,8497,2249,8272,2024,7138,3159,7363,3384,7834,2912,9517,4595,9707,4406xe" filled="true" fillcolor="#c0c0c0" stroked="false">
            <v:path arrowok="t"/>
            <v:fill opacity="32896f" type="solid"/>
            <w10:wrap type="none"/>
          </v:shape>
        </w:pict>
      </w:r>
      <w:r>
        <w:rPr/>
        <w:t>On [November 9, 2022] City Council authorized changes to the ARPA Home Repair and Infrastructure Program, to expand the program to serve more qualified households throughout the City of Dallas. The ARPA</w:t>
      </w:r>
      <w:r>
        <w:rPr>
          <w:spacing w:val="-1"/>
        </w:rPr>
        <w:t> </w:t>
      </w:r>
      <w:r>
        <w:rPr/>
        <w:t>Home Repair and</w:t>
      </w:r>
      <w:r>
        <w:rPr>
          <w:spacing w:val="-3"/>
        </w:rPr>
        <w:t> </w:t>
      </w:r>
      <w:r>
        <w:rPr/>
        <w:t>Infrastructure</w:t>
      </w:r>
      <w:r>
        <w:rPr>
          <w:spacing w:val="-1"/>
        </w:rPr>
        <w:t> </w:t>
      </w:r>
      <w:r>
        <w:rPr/>
        <w:t>Program eligible areas include (1) Tenth</w:t>
      </w:r>
      <w:r>
        <w:rPr>
          <w:spacing w:val="-7"/>
        </w:rPr>
        <w:t> </w:t>
      </w:r>
      <w:r>
        <w:rPr/>
        <w:t>Street</w:t>
      </w:r>
      <w:r>
        <w:rPr>
          <w:spacing w:val="-8"/>
        </w:rPr>
        <w:t> </w:t>
      </w:r>
      <w:r>
        <w:rPr/>
        <w:t>Historic</w:t>
      </w:r>
      <w:r>
        <w:rPr>
          <w:spacing w:val="-9"/>
        </w:rPr>
        <w:t> </w:t>
      </w:r>
      <w:r>
        <w:rPr/>
        <w:t>District,</w:t>
      </w:r>
      <w:r>
        <w:rPr>
          <w:spacing w:val="-8"/>
        </w:rPr>
        <w:t> </w:t>
      </w:r>
      <w:r>
        <w:rPr/>
        <w:t>Five</w:t>
      </w:r>
      <w:r>
        <w:rPr>
          <w:spacing w:val="-10"/>
        </w:rPr>
        <w:t> </w:t>
      </w:r>
      <w:r>
        <w:rPr/>
        <w:t>Mile</w:t>
      </w:r>
      <w:r>
        <w:rPr>
          <w:spacing w:val="-10"/>
        </w:rPr>
        <w:t> </w:t>
      </w:r>
      <w:r>
        <w:rPr/>
        <w:t>Neighborhood,</w:t>
      </w:r>
      <w:r>
        <w:rPr>
          <w:spacing w:val="-7"/>
        </w:rPr>
        <w:t> </w:t>
      </w:r>
      <w:r>
        <w:rPr/>
        <w:t>Freedman's</w:t>
      </w:r>
      <w:r>
        <w:rPr>
          <w:spacing w:val="-12"/>
        </w:rPr>
        <w:t> </w:t>
      </w:r>
      <w:r>
        <w:rPr/>
        <w:t>towns,</w:t>
      </w:r>
      <w:r>
        <w:rPr>
          <w:spacing w:val="-11"/>
        </w:rPr>
        <w:t> </w:t>
      </w:r>
      <w:r>
        <w:rPr/>
        <w:t>and</w:t>
      </w:r>
      <w:r>
        <w:rPr>
          <w:spacing w:val="-7"/>
        </w:rPr>
        <w:t> </w:t>
      </w:r>
      <w:r>
        <w:rPr/>
        <w:t>Joppa/Joppee,</w:t>
      </w:r>
      <w:r>
        <w:rPr>
          <w:spacing w:val="-11"/>
        </w:rPr>
        <w:t> </w:t>
      </w:r>
      <w:r>
        <w:rPr/>
        <w:t>(2) other households in all QCT's throughout the City of Dallas; or (3) households outside of QCTs whose household may have been disproportionally impacted by the COVID-19 pandemic and currently receives federal benefits.</w:t>
      </w:r>
    </w:p>
    <w:p>
      <w:pPr>
        <w:pStyle w:val="ListParagraph"/>
        <w:numPr>
          <w:ilvl w:val="1"/>
          <w:numId w:val="16"/>
        </w:numPr>
        <w:tabs>
          <w:tab w:pos="840" w:val="left" w:leader="none"/>
        </w:tabs>
        <w:spacing w:line="252" w:lineRule="exact" w:before="0" w:after="0"/>
        <w:ind w:left="840" w:right="0" w:hanging="360"/>
        <w:jc w:val="both"/>
        <w:rPr>
          <w:rFonts w:ascii="Symbol" w:hAnsi="Symbol"/>
          <w:sz w:val="20"/>
        </w:rPr>
      </w:pPr>
      <w:r>
        <w:rPr>
          <w:sz w:val="22"/>
        </w:rPr>
        <w:t>The</w:t>
      </w:r>
      <w:r>
        <w:rPr>
          <w:spacing w:val="-5"/>
          <w:sz w:val="22"/>
        </w:rPr>
        <w:t> </w:t>
      </w:r>
      <w:r>
        <w:rPr>
          <w:sz w:val="22"/>
        </w:rPr>
        <w:t>eligible</w:t>
      </w:r>
      <w:r>
        <w:rPr>
          <w:spacing w:val="-4"/>
          <w:sz w:val="22"/>
        </w:rPr>
        <w:t> </w:t>
      </w:r>
      <w:r>
        <w:rPr>
          <w:sz w:val="22"/>
        </w:rPr>
        <w:t>area</w:t>
      </w:r>
      <w:r>
        <w:rPr>
          <w:spacing w:val="-4"/>
          <w:sz w:val="22"/>
        </w:rPr>
        <w:t> </w:t>
      </w:r>
      <w:r>
        <w:rPr>
          <w:sz w:val="22"/>
        </w:rPr>
        <w:t>for</w:t>
      </w:r>
      <w:r>
        <w:rPr>
          <w:spacing w:val="-2"/>
          <w:sz w:val="22"/>
        </w:rPr>
        <w:t> </w:t>
      </w:r>
      <w:r>
        <w:rPr>
          <w:sz w:val="22"/>
        </w:rPr>
        <w:t>Joppa/Joppee</w:t>
      </w:r>
      <w:r>
        <w:rPr>
          <w:spacing w:val="-4"/>
          <w:sz w:val="22"/>
        </w:rPr>
        <w:t> </w:t>
      </w:r>
      <w:r>
        <w:rPr>
          <w:sz w:val="22"/>
        </w:rPr>
        <w:t>can</w:t>
      </w:r>
      <w:r>
        <w:rPr>
          <w:spacing w:val="-4"/>
          <w:sz w:val="22"/>
        </w:rPr>
        <w:t> </w:t>
      </w:r>
      <w:r>
        <w:rPr>
          <w:sz w:val="22"/>
        </w:rPr>
        <w:t>be</w:t>
      </w:r>
      <w:r>
        <w:rPr>
          <w:spacing w:val="-6"/>
          <w:sz w:val="22"/>
        </w:rPr>
        <w:t> </w:t>
      </w:r>
      <w:r>
        <w:rPr>
          <w:sz w:val="22"/>
        </w:rPr>
        <w:t>seen</w:t>
      </w:r>
      <w:r>
        <w:rPr>
          <w:spacing w:val="-4"/>
          <w:sz w:val="22"/>
        </w:rPr>
        <w:t> </w:t>
      </w:r>
      <w:r>
        <w:rPr>
          <w:sz w:val="22"/>
        </w:rPr>
        <w:t>in</w:t>
      </w:r>
      <w:r>
        <w:rPr>
          <w:spacing w:val="-4"/>
          <w:sz w:val="22"/>
        </w:rPr>
        <w:t> </w:t>
      </w:r>
      <w:r>
        <w:rPr>
          <w:sz w:val="22"/>
        </w:rPr>
        <w:t>map</w:t>
      </w:r>
      <w:r>
        <w:rPr>
          <w:spacing w:val="-5"/>
          <w:sz w:val="22"/>
        </w:rPr>
        <w:t> 1.</w:t>
      </w:r>
    </w:p>
    <w:p>
      <w:pPr>
        <w:pStyle w:val="ListParagraph"/>
        <w:numPr>
          <w:ilvl w:val="1"/>
          <w:numId w:val="16"/>
        </w:numPr>
        <w:tabs>
          <w:tab w:pos="840" w:val="left" w:leader="none"/>
        </w:tabs>
        <w:spacing w:line="240" w:lineRule="auto" w:before="52" w:after="0"/>
        <w:ind w:left="840" w:right="0" w:hanging="360"/>
        <w:jc w:val="both"/>
        <w:rPr>
          <w:rFonts w:ascii="Symbol" w:hAnsi="Symbol"/>
          <w:sz w:val="20"/>
        </w:rPr>
      </w:pPr>
      <w:r>
        <w:rPr>
          <w:sz w:val="22"/>
        </w:rPr>
        <w:t>The</w:t>
      </w:r>
      <w:r>
        <w:rPr>
          <w:spacing w:val="-2"/>
          <w:sz w:val="22"/>
        </w:rPr>
        <w:t> </w:t>
      </w:r>
      <w:r>
        <w:rPr>
          <w:sz w:val="22"/>
        </w:rPr>
        <w:t>eligible</w:t>
      </w:r>
      <w:r>
        <w:rPr>
          <w:spacing w:val="-3"/>
          <w:sz w:val="22"/>
        </w:rPr>
        <w:t> </w:t>
      </w:r>
      <w:r>
        <w:rPr>
          <w:sz w:val="22"/>
        </w:rPr>
        <w:t>area</w:t>
      </w:r>
      <w:r>
        <w:rPr>
          <w:spacing w:val="-3"/>
          <w:sz w:val="22"/>
        </w:rPr>
        <w:t> </w:t>
      </w:r>
      <w:r>
        <w:rPr>
          <w:sz w:val="22"/>
        </w:rPr>
        <w:t>for</w:t>
      </w:r>
      <w:r>
        <w:rPr>
          <w:spacing w:val="-1"/>
          <w:sz w:val="22"/>
        </w:rPr>
        <w:t> </w:t>
      </w:r>
      <w:r>
        <w:rPr>
          <w:sz w:val="22"/>
        </w:rPr>
        <w:t>Five</w:t>
      </w:r>
      <w:r>
        <w:rPr>
          <w:spacing w:val="-4"/>
          <w:sz w:val="22"/>
        </w:rPr>
        <w:t> </w:t>
      </w:r>
      <w:r>
        <w:rPr>
          <w:sz w:val="22"/>
        </w:rPr>
        <w:t>Mile</w:t>
      </w:r>
      <w:r>
        <w:rPr>
          <w:spacing w:val="-3"/>
          <w:sz w:val="22"/>
        </w:rPr>
        <w:t> </w:t>
      </w:r>
      <w:r>
        <w:rPr>
          <w:sz w:val="22"/>
        </w:rPr>
        <w:t>can</w:t>
      </w:r>
      <w:r>
        <w:rPr>
          <w:spacing w:val="-5"/>
          <w:sz w:val="22"/>
        </w:rPr>
        <w:t> </w:t>
      </w:r>
      <w:r>
        <w:rPr>
          <w:sz w:val="22"/>
        </w:rPr>
        <w:t>be</w:t>
      </w:r>
      <w:r>
        <w:rPr>
          <w:spacing w:val="-2"/>
          <w:sz w:val="22"/>
        </w:rPr>
        <w:t> </w:t>
      </w:r>
      <w:r>
        <w:rPr>
          <w:sz w:val="22"/>
        </w:rPr>
        <w:t>seen</w:t>
      </w:r>
      <w:r>
        <w:rPr>
          <w:spacing w:val="-5"/>
          <w:sz w:val="22"/>
        </w:rPr>
        <w:t> </w:t>
      </w:r>
      <w:r>
        <w:rPr>
          <w:sz w:val="22"/>
        </w:rPr>
        <w:t>in</w:t>
      </w:r>
      <w:r>
        <w:rPr>
          <w:spacing w:val="-5"/>
          <w:sz w:val="22"/>
        </w:rPr>
        <w:t> </w:t>
      </w:r>
      <w:r>
        <w:rPr>
          <w:sz w:val="22"/>
        </w:rPr>
        <w:t>map</w:t>
      </w:r>
      <w:r>
        <w:rPr>
          <w:spacing w:val="-4"/>
          <w:sz w:val="22"/>
        </w:rPr>
        <w:t> </w:t>
      </w:r>
      <w:r>
        <w:rPr>
          <w:spacing w:val="-5"/>
          <w:sz w:val="22"/>
        </w:rPr>
        <w:t>2.</w:t>
      </w:r>
    </w:p>
    <w:p>
      <w:pPr>
        <w:pStyle w:val="ListParagraph"/>
        <w:numPr>
          <w:ilvl w:val="1"/>
          <w:numId w:val="16"/>
        </w:numPr>
        <w:tabs>
          <w:tab w:pos="840" w:val="left" w:leader="none"/>
        </w:tabs>
        <w:spacing w:line="288" w:lineRule="auto" w:before="49" w:after="0"/>
        <w:ind w:left="839" w:right="158" w:hanging="360"/>
        <w:jc w:val="both"/>
        <w:rPr>
          <w:rFonts w:ascii="Symbol" w:hAnsi="Symbol"/>
          <w:sz w:val="20"/>
        </w:rPr>
      </w:pPr>
      <w:r>
        <w:rPr>
          <w:sz w:val="22"/>
        </w:rPr>
        <w:t>The original and adjusted eligible area for Tenth Street Historic District can be seen in map 3 and 4.</w:t>
      </w:r>
    </w:p>
    <w:p>
      <w:pPr>
        <w:pStyle w:val="ListParagraph"/>
        <w:numPr>
          <w:ilvl w:val="1"/>
          <w:numId w:val="16"/>
        </w:numPr>
        <w:tabs>
          <w:tab w:pos="840" w:val="left" w:leader="none"/>
        </w:tabs>
        <w:spacing w:line="240" w:lineRule="auto" w:before="0" w:after="0"/>
        <w:ind w:left="840" w:right="0" w:hanging="360"/>
        <w:jc w:val="both"/>
        <w:rPr>
          <w:rFonts w:ascii="Symbol" w:hAnsi="Symbol"/>
          <w:sz w:val="20"/>
        </w:rPr>
      </w:pPr>
      <w:r>
        <w:rPr>
          <w:sz w:val="22"/>
        </w:rPr>
        <w:t>All</w:t>
      </w:r>
      <w:r>
        <w:rPr>
          <w:spacing w:val="-5"/>
          <w:sz w:val="22"/>
        </w:rPr>
        <w:t> </w:t>
      </w:r>
      <w:r>
        <w:rPr>
          <w:sz w:val="22"/>
        </w:rPr>
        <w:t>eligible</w:t>
      </w:r>
      <w:r>
        <w:rPr>
          <w:spacing w:val="-4"/>
          <w:sz w:val="22"/>
        </w:rPr>
        <w:t> </w:t>
      </w:r>
      <w:r>
        <w:rPr>
          <w:sz w:val="22"/>
        </w:rPr>
        <w:t>QCTs</w:t>
      </w:r>
      <w:r>
        <w:rPr>
          <w:spacing w:val="-3"/>
          <w:sz w:val="22"/>
        </w:rPr>
        <w:t> </w:t>
      </w:r>
      <w:r>
        <w:rPr>
          <w:sz w:val="22"/>
        </w:rPr>
        <w:t>throughout</w:t>
      </w:r>
      <w:r>
        <w:rPr>
          <w:spacing w:val="-2"/>
          <w:sz w:val="22"/>
        </w:rPr>
        <w:t> </w:t>
      </w:r>
      <w:r>
        <w:rPr>
          <w:sz w:val="22"/>
        </w:rPr>
        <w:t>Dallas</w:t>
      </w:r>
      <w:r>
        <w:rPr>
          <w:spacing w:val="-3"/>
          <w:sz w:val="22"/>
        </w:rPr>
        <w:t> </w:t>
      </w:r>
      <w:r>
        <w:rPr>
          <w:sz w:val="22"/>
        </w:rPr>
        <w:t>can</w:t>
      </w:r>
      <w:r>
        <w:rPr>
          <w:spacing w:val="-6"/>
          <w:sz w:val="22"/>
        </w:rPr>
        <w:t> </w:t>
      </w:r>
      <w:r>
        <w:rPr>
          <w:sz w:val="22"/>
        </w:rPr>
        <w:t>be</w:t>
      </w:r>
      <w:r>
        <w:rPr>
          <w:spacing w:val="-4"/>
          <w:sz w:val="22"/>
        </w:rPr>
        <w:t> </w:t>
      </w:r>
      <w:r>
        <w:rPr>
          <w:sz w:val="22"/>
        </w:rPr>
        <w:t>seen</w:t>
      </w:r>
      <w:r>
        <w:rPr>
          <w:spacing w:val="-6"/>
          <w:sz w:val="22"/>
        </w:rPr>
        <w:t> </w:t>
      </w:r>
      <w:r>
        <w:rPr>
          <w:sz w:val="22"/>
        </w:rPr>
        <w:t>in</w:t>
      </w:r>
      <w:r>
        <w:rPr>
          <w:spacing w:val="-5"/>
          <w:sz w:val="22"/>
        </w:rPr>
        <w:t> </w:t>
      </w:r>
      <w:r>
        <w:rPr>
          <w:sz w:val="22"/>
        </w:rPr>
        <w:t>map</w:t>
      </w:r>
      <w:r>
        <w:rPr>
          <w:spacing w:val="-5"/>
          <w:sz w:val="22"/>
        </w:rPr>
        <w:t> 5.</w:t>
      </w:r>
    </w:p>
    <w:p>
      <w:pPr>
        <w:pStyle w:val="BodyText"/>
        <w:spacing w:before="9"/>
        <w:rPr>
          <w:sz w:val="30"/>
        </w:rPr>
      </w:pPr>
    </w:p>
    <w:p>
      <w:pPr>
        <w:pStyle w:val="BodyText"/>
        <w:spacing w:line="288" w:lineRule="auto"/>
        <w:ind w:left="120" w:right="158"/>
        <w:jc w:val="both"/>
      </w:pPr>
      <w:r>
        <w:rPr/>
        <w:t>The City Manager may make modifications to funding applicability and timelines as funding becomes available.</w:t>
      </w:r>
    </w:p>
    <w:p>
      <w:pPr>
        <w:pStyle w:val="BodyText"/>
        <w:spacing w:before="6"/>
        <w:rPr>
          <w:sz w:val="26"/>
        </w:rPr>
      </w:pPr>
    </w:p>
    <w:p>
      <w:pPr>
        <w:pStyle w:val="Heading5"/>
      </w:pPr>
      <w:r>
        <w:rPr/>
        <w:t>Ineligible</w:t>
      </w:r>
      <w:r>
        <w:rPr>
          <w:spacing w:val="-4"/>
        </w:rPr>
        <w:t> </w:t>
      </w:r>
      <w:r>
        <w:rPr>
          <w:spacing w:val="-2"/>
        </w:rPr>
        <w:t>Participants</w:t>
      </w:r>
    </w:p>
    <w:p>
      <w:pPr>
        <w:pStyle w:val="ListParagraph"/>
        <w:numPr>
          <w:ilvl w:val="1"/>
          <w:numId w:val="16"/>
        </w:numPr>
        <w:tabs>
          <w:tab w:pos="840" w:val="left" w:leader="none"/>
        </w:tabs>
        <w:spacing w:line="288" w:lineRule="auto" w:before="50" w:after="0"/>
        <w:ind w:left="840" w:right="159" w:hanging="360"/>
        <w:jc w:val="both"/>
        <w:rPr>
          <w:rFonts w:ascii="Symbol" w:hAnsi="Symbol"/>
          <w:sz w:val="20"/>
        </w:rPr>
      </w:pPr>
      <w:r>
        <w:rPr>
          <w:sz w:val="22"/>
        </w:rPr>
        <w:t>Property owners who have or will receive funds for the same repairs/replacement, including but not limited to insurance proceeds.</w:t>
      </w:r>
    </w:p>
    <w:p>
      <w:pPr>
        <w:pStyle w:val="ListParagraph"/>
        <w:numPr>
          <w:ilvl w:val="1"/>
          <w:numId w:val="16"/>
        </w:numPr>
        <w:tabs>
          <w:tab w:pos="840" w:val="left" w:leader="none"/>
        </w:tabs>
        <w:spacing w:line="288" w:lineRule="auto" w:before="0" w:after="0"/>
        <w:ind w:left="839" w:right="156" w:hanging="360"/>
        <w:jc w:val="both"/>
        <w:rPr>
          <w:rFonts w:ascii="Symbol" w:hAnsi="Symbol"/>
          <w:sz w:val="20"/>
        </w:rPr>
      </w:pPr>
      <w:r>
        <w:rPr>
          <w:sz w:val="22"/>
        </w:rPr>
        <w:t>City</w:t>
      </w:r>
      <w:r>
        <w:rPr>
          <w:spacing w:val="-10"/>
          <w:sz w:val="22"/>
        </w:rPr>
        <w:t> </w:t>
      </w:r>
      <w:r>
        <w:rPr>
          <w:sz w:val="22"/>
        </w:rPr>
        <w:t>Council</w:t>
      </w:r>
      <w:r>
        <w:rPr>
          <w:spacing w:val="-11"/>
          <w:sz w:val="22"/>
        </w:rPr>
        <w:t> </w:t>
      </w:r>
      <w:r>
        <w:rPr>
          <w:sz w:val="22"/>
        </w:rPr>
        <w:t>members,</w:t>
      </w:r>
      <w:r>
        <w:rPr>
          <w:spacing w:val="-9"/>
          <w:sz w:val="22"/>
        </w:rPr>
        <w:t> </w:t>
      </w:r>
      <w:r>
        <w:rPr>
          <w:sz w:val="22"/>
        </w:rPr>
        <w:t>Housing</w:t>
      </w:r>
      <w:r>
        <w:rPr>
          <w:spacing w:val="-11"/>
          <w:sz w:val="22"/>
        </w:rPr>
        <w:t> </w:t>
      </w:r>
      <w:r>
        <w:rPr>
          <w:sz w:val="22"/>
        </w:rPr>
        <w:t>employees</w:t>
      </w:r>
      <w:r>
        <w:rPr>
          <w:spacing w:val="-10"/>
          <w:sz w:val="22"/>
        </w:rPr>
        <w:t> </w:t>
      </w:r>
      <w:r>
        <w:rPr>
          <w:sz w:val="22"/>
        </w:rPr>
        <w:t>and</w:t>
      </w:r>
      <w:r>
        <w:rPr>
          <w:spacing w:val="-12"/>
          <w:sz w:val="22"/>
        </w:rPr>
        <w:t> </w:t>
      </w:r>
      <w:r>
        <w:rPr>
          <w:sz w:val="22"/>
        </w:rPr>
        <w:t>any</w:t>
      </w:r>
      <w:r>
        <w:rPr>
          <w:spacing w:val="-10"/>
          <w:sz w:val="22"/>
        </w:rPr>
        <w:t> </w:t>
      </w:r>
      <w:r>
        <w:rPr>
          <w:sz w:val="22"/>
        </w:rPr>
        <w:t>employee,</w:t>
      </w:r>
      <w:r>
        <w:rPr>
          <w:spacing w:val="-9"/>
          <w:sz w:val="22"/>
        </w:rPr>
        <w:t> </w:t>
      </w:r>
      <w:r>
        <w:rPr>
          <w:sz w:val="22"/>
        </w:rPr>
        <w:t>official</w:t>
      </w:r>
      <w:r>
        <w:rPr>
          <w:spacing w:val="-11"/>
          <w:sz w:val="22"/>
        </w:rPr>
        <w:t> </w:t>
      </w:r>
      <w:r>
        <w:rPr>
          <w:sz w:val="22"/>
        </w:rPr>
        <w:t>or</w:t>
      </w:r>
      <w:r>
        <w:rPr>
          <w:spacing w:val="-11"/>
          <w:sz w:val="22"/>
        </w:rPr>
        <w:t> </w:t>
      </w:r>
      <w:r>
        <w:rPr>
          <w:sz w:val="22"/>
        </w:rPr>
        <w:t>agent</w:t>
      </w:r>
      <w:r>
        <w:rPr>
          <w:spacing w:val="-9"/>
          <w:sz w:val="22"/>
        </w:rPr>
        <w:t> </w:t>
      </w:r>
      <w:r>
        <w:rPr>
          <w:sz w:val="22"/>
        </w:rPr>
        <w:t>of</w:t>
      </w:r>
      <w:r>
        <w:rPr>
          <w:spacing w:val="-11"/>
          <w:sz w:val="22"/>
        </w:rPr>
        <w:t> </w:t>
      </w:r>
      <w:r>
        <w:rPr>
          <w:sz w:val="22"/>
        </w:rPr>
        <w:t>the</w:t>
      </w:r>
      <w:r>
        <w:rPr>
          <w:spacing w:val="-11"/>
          <w:sz w:val="22"/>
        </w:rPr>
        <w:t> </w:t>
      </w:r>
      <w:r>
        <w:rPr>
          <w:sz w:val="22"/>
        </w:rPr>
        <w:t>City who exercises any policy or program decision-making function in connection with the program are ineligible for assistance under the program.</w:t>
      </w:r>
    </w:p>
    <w:p>
      <w:pPr>
        <w:pStyle w:val="Heading5"/>
        <w:spacing w:before="1"/>
        <w:ind w:left="119"/>
      </w:pPr>
      <w:r>
        <w:rPr/>
        <w:t>Property</w:t>
      </w:r>
      <w:r>
        <w:rPr>
          <w:spacing w:val="-6"/>
        </w:rPr>
        <w:t> </w:t>
      </w:r>
      <w:r>
        <w:rPr>
          <w:spacing w:val="-2"/>
        </w:rPr>
        <w:t>Eligibility</w:t>
      </w:r>
    </w:p>
    <w:p>
      <w:pPr>
        <w:pStyle w:val="ListParagraph"/>
        <w:numPr>
          <w:ilvl w:val="1"/>
          <w:numId w:val="16"/>
        </w:numPr>
        <w:tabs>
          <w:tab w:pos="840" w:val="left" w:leader="none"/>
        </w:tabs>
        <w:spacing w:line="288" w:lineRule="auto" w:before="49" w:after="0"/>
        <w:ind w:left="840" w:right="158" w:hanging="360"/>
        <w:jc w:val="both"/>
        <w:rPr>
          <w:rFonts w:ascii="Symbol" w:hAnsi="Symbol"/>
          <w:sz w:val="20"/>
        </w:rPr>
      </w:pPr>
      <w:r>
        <w:rPr>
          <w:sz w:val="22"/>
        </w:rPr>
        <w:t>The</w:t>
      </w:r>
      <w:r>
        <w:rPr>
          <w:spacing w:val="-2"/>
          <w:sz w:val="22"/>
        </w:rPr>
        <w:t> </w:t>
      </w:r>
      <w:r>
        <w:rPr>
          <w:sz w:val="22"/>
        </w:rPr>
        <w:t>property</w:t>
      </w:r>
      <w:r>
        <w:rPr>
          <w:spacing w:val="-5"/>
          <w:sz w:val="22"/>
        </w:rPr>
        <w:t> </w:t>
      </w:r>
      <w:r>
        <w:rPr>
          <w:sz w:val="22"/>
        </w:rPr>
        <w:t>must</w:t>
      </w:r>
      <w:r>
        <w:rPr>
          <w:spacing w:val="-1"/>
          <w:sz w:val="22"/>
        </w:rPr>
        <w:t> </w:t>
      </w:r>
      <w:r>
        <w:rPr>
          <w:sz w:val="22"/>
        </w:rPr>
        <w:t>be</w:t>
      </w:r>
      <w:r>
        <w:rPr>
          <w:spacing w:val="-3"/>
          <w:sz w:val="22"/>
        </w:rPr>
        <w:t> </w:t>
      </w:r>
      <w:r>
        <w:rPr>
          <w:sz w:val="22"/>
        </w:rPr>
        <w:t>a</w:t>
      </w:r>
      <w:r>
        <w:rPr>
          <w:spacing w:val="-7"/>
          <w:sz w:val="22"/>
        </w:rPr>
        <w:t> </w:t>
      </w:r>
      <w:r>
        <w:rPr>
          <w:sz w:val="22"/>
        </w:rPr>
        <w:t>detached</w:t>
      </w:r>
      <w:r>
        <w:rPr>
          <w:spacing w:val="-3"/>
          <w:sz w:val="22"/>
        </w:rPr>
        <w:t> </w:t>
      </w:r>
      <w:r>
        <w:rPr>
          <w:sz w:val="22"/>
        </w:rPr>
        <w:t>single-family</w:t>
      </w:r>
      <w:r>
        <w:rPr>
          <w:spacing w:val="-2"/>
          <w:sz w:val="22"/>
        </w:rPr>
        <w:t> </w:t>
      </w:r>
      <w:r>
        <w:rPr>
          <w:sz w:val="22"/>
        </w:rPr>
        <w:t>dwelling</w:t>
      </w:r>
      <w:r>
        <w:rPr>
          <w:spacing w:val="-3"/>
          <w:sz w:val="22"/>
        </w:rPr>
        <w:t> </w:t>
      </w:r>
      <w:r>
        <w:rPr>
          <w:sz w:val="22"/>
        </w:rPr>
        <w:t>that</w:t>
      </w:r>
      <w:r>
        <w:rPr>
          <w:spacing w:val="-1"/>
          <w:sz w:val="22"/>
        </w:rPr>
        <w:t> </w:t>
      </w:r>
      <w:r>
        <w:rPr>
          <w:sz w:val="22"/>
        </w:rPr>
        <w:t>is</w:t>
      </w:r>
      <w:r>
        <w:rPr>
          <w:spacing w:val="-2"/>
          <w:sz w:val="22"/>
        </w:rPr>
        <w:t> </w:t>
      </w:r>
      <w:r>
        <w:rPr>
          <w:sz w:val="22"/>
        </w:rPr>
        <w:t>owner</w:t>
      </w:r>
      <w:r>
        <w:rPr>
          <w:spacing w:val="-1"/>
          <w:sz w:val="22"/>
        </w:rPr>
        <w:t> </w:t>
      </w:r>
      <w:r>
        <w:rPr>
          <w:sz w:val="22"/>
        </w:rPr>
        <w:t>occupied,</w:t>
      </w:r>
      <w:r>
        <w:rPr>
          <w:spacing w:val="-1"/>
          <w:sz w:val="22"/>
        </w:rPr>
        <w:t> </w:t>
      </w:r>
      <w:r>
        <w:rPr>
          <w:sz w:val="22"/>
        </w:rPr>
        <w:t>rented</w:t>
      </w:r>
      <w:r>
        <w:rPr>
          <w:spacing w:val="-3"/>
          <w:sz w:val="22"/>
        </w:rPr>
        <w:t> </w:t>
      </w:r>
      <w:r>
        <w:rPr>
          <w:sz w:val="22"/>
        </w:rPr>
        <w:t>or sold to an income qualifying household at or below 80% AMI, or vacant.</w:t>
      </w:r>
    </w:p>
    <w:p>
      <w:pPr>
        <w:pStyle w:val="ListParagraph"/>
        <w:numPr>
          <w:ilvl w:val="1"/>
          <w:numId w:val="16"/>
        </w:numPr>
        <w:tabs>
          <w:tab w:pos="840" w:val="left" w:leader="none"/>
        </w:tabs>
        <w:spacing w:line="288" w:lineRule="auto" w:before="0" w:after="0"/>
        <w:ind w:left="840" w:right="156" w:hanging="360"/>
        <w:jc w:val="both"/>
        <w:rPr>
          <w:rFonts w:ascii="Symbol" w:hAnsi="Symbol"/>
          <w:sz w:val="20"/>
        </w:rPr>
      </w:pPr>
      <w:r>
        <w:rPr>
          <w:sz w:val="22"/>
        </w:rPr>
        <w:t>The</w:t>
      </w:r>
      <w:r>
        <w:rPr>
          <w:spacing w:val="-10"/>
          <w:sz w:val="22"/>
        </w:rPr>
        <w:t> </w:t>
      </w:r>
      <w:r>
        <w:rPr>
          <w:sz w:val="22"/>
        </w:rPr>
        <w:t>property</w:t>
      </w:r>
      <w:r>
        <w:rPr>
          <w:spacing w:val="-11"/>
          <w:sz w:val="22"/>
        </w:rPr>
        <w:t> </w:t>
      </w:r>
      <w:r>
        <w:rPr>
          <w:sz w:val="22"/>
        </w:rPr>
        <w:t>must</w:t>
      </w:r>
      <w:r>
        <w:rPr>
          <w:spacing w:val="-11"/>
          <w:sz w:val="22"/>
        </w:rPr>
        <w:t> </w:t>
      </w:r>
      <w:r>
        <w:rPr>
          <w:sz w:val="22"/>
        </w:rPr>
        <w:t>either</w:t>
      </w:r>
      <w:r>
        <w:rPr>
          <w:spacing w:val="-12"/>
          <w:sz w:val="22"/>
        </w:rPr>
        <w:t> </w:t>
      </w:r>
      <w:r>
        <w:rPr>
          <w:sz w:val="22"/>
        </w:rPr>
        <w:t>be,</w:t>
      </w:r>
      <w:r>
        <w:rPr>
          <w:spacing w:val="-11"/>
          <w:sz w:val="22"/>
        </w:rPr>
        <w:t> </w:t>
      </w:r>
      <w:r>
        <w:rPr>
          <w:sz w:val="22"/>
        </w:rPr>
        <w:t>(1)</w:t>
      </w:r>
      <w:r>
        <w:rPr>
          <w:spacing w:val="-11"/>
          <w:sz w:val="22"/>
        </w:rPr>
        <w:t> </w:t>
      </w:r>
      <w:r>
        <w:rPr>
          <w:sz w:val="22"/>
        </w:rPr>
        <w:t>in</w:t>
      </w:r>
      <w:r>
        <w:rPr>
          <w:spacing w:val="-11"/>
          <w:sz w:val="22"/>
        </w:rPr>
        <w:t> </w:t>
      </w:r>
      <w:r>
        <w:rPr>
          <w:sz w:val="22"/>
        </w:rPr>
        <w:t>a</w:t>
      </w:r>
      <w:r>
        <w:rPr>
          <w:spacing w:val="-11"/>
          <w:sz w:val="22"/>
        </w:rPr>
        <w:t> </w:t>
      </w:r>
      <w:r>
        <w:rPr>
          <w:sz w:val="22"/>
        </w:rPr>
        <w:t>QCT,</w:t>
      </w:r>
      <w:r>
        <w:rPr>
          <w:spacing w:val="-8"/>
          <w:sz w:val="22"/>
        </w:rPr>
        <w:t> </w:t>
      </w:r>
      <w:r>
        <w:rPr>
          <w:sz w:val="22"/>
        </w:rPr>
        <w:t>including</w:t>
      </w:r>
      <w:r>
        <w:rPr>
          <w:spacing w:val="-10"/>
          <w:sz w:val="22"/>
        </w:rPr>
        <w:t> </w:t>
      </w:r>
      <w:r>
        <w:rPr>
          <w:sz w:val="22"/>
        </w:rPr>
        <w:t>but</w:t>
      </w:r>
      <w:r>
        <w:rPr>
          <w:spacing w:val="-11"/>
          <w:sz w:val="22"/>
        </w:rPr>
        <w:t> </w:t>
      </w:r>
      <w:r>
        <w:rPr>
          <w:sz w:val="22"/>
        </w:rPr>
        <w:t>not</w:t>
      </w:r>
      <w:r>
        <w:rPr>
          <w:spacing w:val="-11"/>
          <w:sz w:val="22"/>
        </w:rPr>
        <w:t> </w:t>
      </w:r>
      <w:r>
        <w:rPr>
          <w:sz w:val="22"/>
        </w:rPr>
        <w:t>limited</w:t>
      </w:r>
      <w:r>
        <w:rPr>
          <w:spacing w:val="-11"/>
          <w:sz w:val="22"/>
        </w:rPr>
        <w:t> </w:t>
      </w:r>
      <w:r>
        <w:rPr>
          <w:sz w:val="22"/>
        </w:rPr>
        <w:t>to</w:t>
      </w:r>
      <w:r>
        <w:rPr>
          <w:spacing w:val="-11"/>
          <w:sz w:val="22"/>
        </w:rPr>
        <w:t> </w:t>
      </w:r>
      <w:r>
        <w:rPr>
          <w:sz w:val="22"/>
        </w:rPr>
        <w:t>Tenth</w:t>
      </w:r>
      <w:r>
        <w:rPr>
          <w:spacing w:val="-11"/>
          <w:sz w:val="22"/>
        </w:rPr>
        <w:t> </w:t>
      </w:r>
      <w:r>
        <w:rPr>
          <w:sz w:val="22"/>
        </w:rPr>
        <w:t>Street</w:t>
      </w:r>
      <w:r>
        <w:rPr>
          <w:spacing w:val="-11"/>
          <w:sz w:val="22"/>
        </w:rPr>
        <w:t> </w:t>
      </w:r>
      <w:r>
        <w:rPr>
          <w:sz w:val="22"/>
        </w:rPr>
        <w:t>Historic District, Five Mile Neighborhood, Freedman's towns, and Joppa/Joppee; or (2) occupied by a household, located in the City of Dallas and outside of a QCT, that has been disproportionally impacted by the COVID-19 pandemic and currently receives federal benefits, described above.</w:t>
      </w:r>
    </w:p>
    <w:p>
      <w:pPr>
        <w:pStyle w:val="ListParagraph"/>
        <w:numPr>
          <w:ilvl w:val="1"/>
          <w:numId w:val="16"/>
        </w:numPr>
        <w:tabs>
          <w:tab w:pos="840" w:val="left" w:leader="none"/>
        </w:tabs>
        <w:spacing w:line="240" w:lineRule="auto" w:before="2" w:after="0"/>
        <w:ind w:left="840" w:right="0" w:hanging="360"/>
        <w:jc w:val="both"/>
        <w:rPr>
          <w:rFonts w:ascii="Symbol" w:hAnsi="Symbol"/>
          <w:sz w:val="20"/>
        </w:rPr>
      </w:pPr>
      <w:r>
        <w:rPr>
          <w:sz w:val="22"/>
        </w:rPr>
        <w:t>Home</w:t>
      </w:r>
      <w:r>
        <w:rPr>
          <w:spacing w:val="-6"/>
          <w:sz w:val="22"/>
        </w:rPr>
        <w:t> </w:t>
      </w:r>
      <w:r>
        <w:rPr>
          <w:sz w:val="22"/>
        </w:rPr>
        <w:t>must</w:t>
      </w:r>
      <w:r>
        <w:rPr>
          <w:spacing w:val="-3"/>
          <w:sz w:val="22"/>
        </w:rPr>
        <w:t> </w:t>
      </w:r>
      <w:r>
        <w:rPr>
          <w:sz w:val="22"/>
        </w:rPr>
        <w:t>have</w:t>
      </w:r>
      <w:r>
        <w:rPr>
          <w:spacing w:val="-6"/>
          <w:sz w:val="22"/>
        </w:rPr>
        <w:t> </w:t>
      </w:r>
      <w:r>
        <w:rPr>
          <w:sz w:val="22"/>
        </w:rPr>
        <w:t>been</w:t>
      </w:r>
      <w:r>
        <w:rPr>
          <w:spacing w:val="-3"/>
          <w:sz w:val="22"/>
        </w:rPr>
        <w:t> </w:t>
      </w:r>
      <w:r>
        <w:rPr>
          <w:sz w:val="22"/>
        </w:rPr>
        <w:t>constructed</w:t>
      </w:r>
      <w:r>
        <w:rPr>
          <w:spacing w:val="-4"/>
          <w:sz w:val="22"/>
        </w:rPr>
        <w:t> </w:t>
      </w:r>
      <w:r>
        <w:rPr>
          <w:sz w:val="22"/>
        </w:rPr>
        <w:t>in</w:t>
      </w:r>
      <w:r>
        <w:rPr>
          <w:spacing w:val="-5"/>
          <w:sz w:val="22"/>
        </w:rPr>
        <w:t> </w:t>
      </w:r>
      <w:r>
        <w:rPr>
          <w:sz w:val="22"/>
        </w:rPr>
        <w:t>or</w:t>
      </w:r>
      <w:r>
        <w:rPr>
          <w:spacing w:val="-5"/>
          <w:sz w:val="22"/>
        </w:rPr>
        <w:t> </w:t>
      </w:r>
      <w:r>
        <w:rPr>
          <w:sz w:val="22"/>
        </w:rPr>
        <w:t>before</w:t>
      </w:r>
      <w:r>
        <w:rPr>
          <w:spacing w:val="-3"/>
          <w:sz w:val="22"/>
        </w:rPr>
        <w:t> </w:t>
      </w:r>
      <w:r>
        <w:rPr>
          <w:spacing w:val="-2"/>
          <w:sz w:val="22"/>
        </w:rPr>
        <w:t>1959.</w:t>
      </w:r>
    </w:p>
    <w:p>
      <w:pPr>
        <w:pStyle w:val="ListParagraph"/>
        <w:numPr>
          <w:ilvl w:val="1"/>
          <w:numId w:val="16"/>
        </w:numPr>
        <w:tabs>
          <w:tab w:pos="840" w:val="left" w:leader="none"/>
        </w:tabs>
        <w:spacing w:line="240" w:lineRule="auto" w:before="49" w:after="0"/>
        <w:ind w:left="840" w:right="0" w:hanging="360"/>
        <w:jc w:val="both"/>
        <w:rPr>
          <w:rFonts w:ascii="Symbol" w:hAnsi="Symbol"/>
          <w:sz w:val="20"/>
        </w:rPr>
      </w:pPr>
      <w:r>
        <w:rPr>
          <w:sz w:val="22"/>
        </w:rPr>
        <w:t>Home</w:t>
      </w:r>
      <w:r>
        <w:rPr>
          <w:spacing w:val="-7"/>
          <w:sz w:val="22"/>
        </w:rPr>
        <w:t> </w:t>
      </w:r>
      <w:r>
        <w:rPr>
          <w:sz w:val="22"/>
        </w:rPr>
        <w:t>must</w:t>
      </w:r>
      <w:r>
        <w:rPr>
          <w:spacing w:val="-5"/>
          <w:sz w:val="22"/>
        </w:rPr>
        <w:t> </w:t>
      </w:r>
      <w:r>
        <w:rPr>
          <w:sz w:val="22"/>
        </w:rPr>
        <w:t>need</w:t>
      </w:r>
      <w:r>
        <w:rPr>
          <w:spacing w:val="-5"/>
          <w:sz w:val="22"/>
        </w:rPr>
        <w:t> </w:t>
      </w:r>
      <w:r>
        <w:rPr>
          <w:sz w:val="22"/>
        </w:rPr>
        <w:t>eligible</w:t>
      </w:r>
      <w:r>
        <w:rPr>
          <w:spacing w:val="-4"/>
          <w:sz w:val="22"/>
        </w:rPr>
        <w:t> </w:t>
      </w:r>
      <w:r>
        <w:rPr>
          <w:spacing w:val="-2"/>
          <w:sz w:val="22"/>
        </w:rPr>
        <w:t>repairs.</w:t>
      </w:r>
    </w:p>
    <w:p>
      <w:pPr>
        <w:pStyle w:val="ListParagraph"/>
        <w:numPr>
          <w:ilvl w:val="1"/>
          <w:numId w:val="16"/>
        </w:numPr>
        <w:tabs>
          <w:tab w:pos="840" w:val="left" w:leader="none"/>
        </w:tabs>
        <w:spacing w:line="288" w:lineRule="auto" w:before="52" w:after="0"/>
        <w:ind w:left="839" w:right="156" w:hanging="360"/>
        <w:jc w:val="both"/>
        <w:rPr>
          <w:rFonts w:ascii="Symbol" w:hAnsi="Symbol"/>
          <w:sz w:val="20"/>
        </w:rPr>
      </w:pPr>
      <w:r>
        <w:rPr>
          <w:sz w:val="22"/>
        </w:rPr>
        <w:t>In the absence of a deed or other instrument proving property ownership, owners of property</w:t>
      </w:r>
      <w:r>
        <w:rPr>
          <w:spacing w:val="-6"/>
          <w:sz w:val="22"/>
        </w:rPr>
        <w:t> </w:t>
      </w:r>
      <w:r>
        <w:rPr>
          <w:sz w:val="22"/>
        </w:rPr>
        <w:t>may</w:t>
      </w:r>
      <w:r>
        <w:rPr>
          <w:spacing w:val="-6"/>
          <w:sz w:val="22"/>
        </w:rPr>
        <w:t> </w:t>
      </w:r>
      <w:r>
        <w:rPr>
          <w:sz w:val="22"/>
        </w:rPr>
        <w:t>self-certify</w:t>
      </w:r>
      <w:r>
        <w:rPr>
          <w:spacing w:val="-8"/>
          <w:sz w:val="22"/>
        </w:rPr>
        <w:t> </w:t>
      </w:r>
      <w:r>
        <w:rPr>
          <w:sz w:val="22"/>
        </w:rPr>
        <w:t>that</w:t>
      </w:r>
      <w:r>
        <w:rPr>
          <w:spacing w:val="-7"/>
          <w:sz w:val="22"/>
        </w:rPr>
        <w:t> </w:t>
      </w:r>
      <w:r>
        <w:rPr>
          <w:sz w:val="22"/>
        </w:rPr>
        <w:t>they</w:t>
      </w:r>
      <w:r>
        <w:rPr>
          <w:spacing w:val="-6"/>
          <w:sz w:val="22"/>
        </w:rPr>
        <w:t> </w:t>
      </w:r>
      <w:r>
        <w:rPr>
          <w:sz w:val="22"/>
        </w:rPr>
        <w:t>own</w:t>
      </w:r>
      <w:r>
        <w:rPr>
          <w:spacing w:val="-6"/>
          <w:sz w:val="22"/>
        </w:rPr>
        <w:t> </w:t>
      </w:r>
      <w:r>
        <w:rPr>
          <w:sz w:val="22"/>
        </w:rPr>
        <w:t>the</w:t>
      </w:r>
      <w:r>
        <w:rPr>
          <w:spacing w:val="-6"/>
          <w:sz w:val="22"/>
        </w:rPr>
        <w:t> </w:t>
      </w:r>
      <w:r>
        <w:rPr>
          <w:sz w:val="22"/>
        </w:rPr>
        <w:t>home.</w:t>
      </w:r>
      <w:r>
        <w:rPr>
          <w:spacing w:val="-7"/>
          <w:sz w:val="22"/>
        </w:rPr>
        <w:t> </w:t>
      </w:r>
      <w:r>
        <w:rPr>
          <w:sz w:val="22"/>
        </w:rPr>
        <w:t>The</w:t>
      </w:r>
      <w:r>
        <w:rPr>
          <w:spacing w:val="-6"/>
          <w:sz w:val="22"/>
        </w:rPr>
        <w:t> </w:t>
      </w:r>
      <w:r>
        <w:rPr>
          <w:sz w:val="22"/>
        </w:rPr>
        <w:t>means</w:t>
      </w:r>
      <w:r>
        <w:rPr>
          <w:spacing w:val="-6"/>
          <w:sz w:val="22"/>
        </w:rPr>
        <w:t> </w:t>
      </w:r>
      <w:r>
        <w:rPr>
          <w:sz w:val="22"/>
        </w:rPr>
        <w:t>in</w:t>
      </w:r>
      <w:r>
        <w:rPr>
          <w:spacing w:val="-6"/>
          <w:sz w:val="22"/>
        </w:rPr>
        <w:t> </w:t>
      </w:r>
      <w:r>
        <w:rPr>
          <w:sz w:val="22"/>
        </w:rPr>
        <w:t>which</w:t>
      </w:r>
      <w:r>
        <w:rPr>
          <w:spacing w:val="-4"/>
          <w:sz w:val="22"/>
        </w:rPr>
        <w:t> </w:t>
      </w:r>
      <w:r>
        <w:rPr>
          <w:sz w:val="22"/>
        </w:rPr>
        <w:t>an</w:t>
      </w:r>
      <w:r>
        <w:rPr>
          <w:spacing w:val="-6"/>
          <w:sz w:val="22"/>
        </w:rPr>
        <w:t> </w:t>
      </w:r>
      <w:r>
        <w:rPr>
          <w:sz w:val="22"/>
        </w:rPr>
        <w:t>owner</w:t>
      </w:r>
      <w:r>
        <w:rPr>
          <w:spacing w:val="-4"/>
          <w:sz w:val="22"/>
        </w:rPr>
        <w:t> </w:t>
      </w:r>
      <w:r>
        <w:rPr>
          <w:sz w:val="22"/>
        </w:rPr>
        <w:t>may</w:t>
      </w:r>
      <w:r>
        <w:rPr>
          <w:spacing w:val="-6"/>
          <w:sz w:val="22"/>
        </w:rPr>
        <w:t> </w:t>
      </w:r>
      <w:r>
        <w:rPr>
          <w:sz w:val="22"/>
        </w:rPr>
        <w:t>self- certify include but is not limited to a printout from the Dallas Central Appraisal District website or the Dallas County website reflecting the applicant as the owner, an affidavit signed by the applicant attesting to home ownership, a tax receipt for the property that reflects the applicant as the owner, or proof of insurance on the property.</w:t>
      </w:r>
    </w:p>
    <w:p>
      <w:pPr>
        <w:pStyle w:val="Heading5"/>
        <w:jc w:val="left"/>
      </w:pPr>
      <w:r>
        <w:rPr>
          <w:spacing w:val="-2"/>
        </w:rPr>
        <w:t>Assistance</w:t>
      </w:r>
    </w:p>
    <w:p>
      <w:pPr>
        <w:spacing w:after="0"/>
        <w:jc w:val="left"/>
        <w:sectPr>
          <w:pgSz w:w="12240" w:h="15840"/>
          <w:pgMar w:header="0" w:footer="1738" w:top="1360" w:bottom="1920" w:left="1320" w:right="1280"/>
        </w:sectPr>
      </w:pPr>
    </w:p>
    <w:p>
      <w:pPr>
        <w:pStyle w:val="BodyText"/>
        <w:spacing w:line="288" w:lineRule="auto" w:before="80"/>
        <w:ind w:left="120" w:right="50"/>
      </w:pPr>
      <w:r>
        <w:rPr/>
        <w:t>Assistance</w:t>
      </w:r>
      <w:r>
        <w:rPr>
          <w:spacing w:val="-6"/>
        </w:rPr>
        <w:t> </w:t>
      </w:r>
      <w:r>
        <w:rPr/>
        <w:t>for</w:t>
      </w:r>
      <w:r>
        <w:rPr>
          <w:spacing w:val="-3"/>
        </w:rPr>
        <w:t> </w:t>
      </w:r>
      <w:r>
        <w:rPr/>
        <w:t>home</w:t>
      </w:r>
      <w:r>
        <w:rPr>
          <w:spacing w:val="-7"/>
        </w:rPr>
        <w:t> </w:t>
      </w:r>
      <w:r>
        <w:rPr/>
        <w:t>repairs</w:t>
      </w:r>
      <w:r>
        <w:rPr>
          <w:spacing w:val="-4"/>
        </w:rPr>
        <w:t> </w:t>
      </w:r>
      <w:r>
        <w:rPr/>
        <w:t>will</w:t>
      </w:r>
      <w:r>
        <w:rPr>
          <w:spacing w:val="-5"/>
        </w:rPr>
        <w:t> </w:t>
      </w:r>
      <w:r>
        <w:rPr/>
        <w:t>be</w:t>
      </w:r>
      <w:r>
        <w:rPr>
          <w:spacing w:val="-4"/>
        </w:rPr>
        <w:t> </w:t>
      </w:r>
      <w:r>
        <w:rPr/>
        <w:t>provided</w:t>
      </w:r>
      <w:r>
        <w:rPr>
          <w:spacing w:val="-4"/>
        </w:rPr>
        <w:t> </w:t>
      </w:r>
      <w:r>
        <w:rPr/>
        <w:t>as</w:t>
      </w:r>
      <w:r>
        <w:rPr>
          <w:spacing w:val="-4"/>
        </w:rPr>
        <w:t> </w:t>
      </w:r>
      <w:r>
        <w:rPr/>
        <w:t>a</w:t>
      </w:r>
      <w:r>
        <w:rPr>
          <w:spacing w:val="-6"/>
        </w:rPr>
        <w:t> </w:t>
      </w:r>
      <w:r>
        <w:rPr/>
        <w:t>grant</w:t>
      </w:r>
      <w:r>
        <w:rPr>
          <w:spacing w:val="-5"/>
        </w:rPr>
        <w:t> </w:t>
      </w:r>
      <w:r>
        <w:rPr/>
        <w:t>on</w:t>
      </w:r>
      <w:r>
        <w:rPr>
          <w:spacing w:val="-4"/>
        </w:rPr>
        <w:t> </w:t>
      </w:r>
      <w:r>
        <w:rPr/>
        <w:t>behalf</w:t>
      </w:r>
      <w:r>
        <w:rPr>
          <w:spacing w:val="-5"/>
        </w:rPr>
        <w:t> </w:t>
      </w:r>
      <w:r>
        <w:rPr/>
        <w:t>of</w:t>
      </w:r>
      <w:r>
        <w:rPr>
          <w:spacing w:val="-5"/>
        </w:rPr>
        <w:t> </w:t>
      </w:r>
      <w:r>
        <w:rPr/>
        <w:t>the</w:t>
      </w:r>
      <w:r>
        <w:rPr>
          <w:spacing w:val="-4"/>
        </w:rPr>
        <w:t> </w:t>
      </w:r>
      <w:r>
        <w:rPr/>
        <w:t>property</w:t>
      </w:r>
      <w:r>
        <w:rPr>
          <w:spacing w:val="-6"/>
        </w:rPr>
        <w:t> </w:t>
      </w:r>
      <w:r>
        <w:rPr/>
        <w:t>owner</w:t>
      </w:r>
      <w:r>
        <w:rPr>
          <w:spacing w:val="-3"/>
        </w:rPr>
        <w:t> </w:t>
      </w:r>
      <w:r>
        <w:rPr/>
        <w:t>and</w:t>
      </w:r>
      <w:r>
        <w:rPr>
          <w:spacing w:val="-6"/>
        </w:rPr>
        <w:t> </w:t>
      </w:r>
      <w:r>
        <w:rPr/>
        <w:t>shall not exceed $100,000.00 per property. All funds will be paid directly to the contractor.</w:t>
      </w:r>
    </w:p>
    <w:p>
      <w:pPr>
        <w:pStyle w:val="BodyText"/>
        <w:spacing w:line="288" w:lineRule="auto"/>
        <w:ind w:left="119" w:right="155"/>
      </w:pPr>
      <w:r>
        <w:rPr/>
        <w:t>Applicants must provide documentation to determine eligibility, which includes but is not limited to the following:</w:t>
      </w:r>
    </w:p>
    <w:p>
      <w:pPr>
        <w:pStyle w:val="ListParagraph"/>
        <w:numPr>
          <w:ilvl w:val="1"/>
          <w:numId w:val="16"/>
        </w:numPr>
        <w:tabs>
          <w:tab w:pos="839" w:val="left" w:leader="none"/>
          <w:tab w:pos="840" w:val="left" w:leader="none"/>
        </w:tabs>
        <w:spacing w:line="240" w:lineRule="auto" w:before="0" w:after="0"/>
        <w:ind w:left="840" w:right="0" w:hanging="360"/>
        <w:jc w:val="left"/>
        <w:rPr>
          <w:rFonts w:ascii="Symbol" w:hAnsi="Symbol"/>
          <w:sz w:val="20"/>
        </w:rPr>
      </w:pPr>
      <w:r>
        <w:rPr>
          <w:spacing w:val="-2"/>
          <w:sz w:val="22"/>
        </w:rPr>
        <w:t>Application</w:t>
      </w:r>
    </w:p>
    <w:p>
      <w:pPr>
        <w:pStyle w:val="ListParagraph"/>
        <w:numPr>
          <w:ilvl w:val="1"/>
          <w:numId w:val="16"/>
        </w:numPr>
        <w:tabs>
          <w:tab w:pos="839" w:val="left" w:leader="none"/>
          <w:tab w:pos="840" w:val="left" w:leader="none"/>
        </w:tabs>
        <w:spacing w:line="240" w:lineRule="auto" w:before="49" w:after="0"/>
        <w:ind w:left="840" w:right="0" w:hanging="360"/>
        <w:jc w:val="left"/>
        <w:rPr>
          <w:rFonts w:ascii="Symbol" w:hAnsi="Symbol"/>
          <w:sz w:val="20"/>
        </w:rPr>
      </w:pPr>
      <w:r>
        <w:rPr>
          <w:sz w:val="22"/>
        </w:rPr>
        <w:t>Proof</w:t>
      </w:r>
      <w:r>
        <w:rPr>
          <w:spacing w:val="-1"/>
          <w:sz w:val="22"/>
        </w:rPr>
        <w:t> </w:t>
      </w:r>
      <w:r>
        <w:rPr>
          <w:sz w:val="22"/>
        </w:rPr>
        <w:t>of</w:t>
      </w:r>
      <w:r>
        <w:rPr>
          <w:spacing w:val="-1"/>
          <w:sz w:val="22"/>
        </w:rPr>
        <w:t> </w:t>
      </w:r>
      <w:r>
        <w:rPr>
          <w:spacing w:val="-2"/>
          <w:sz w:val="22"/>
        </w:rPr>
        <w:t>identity</w:t>
      </w:r>
    </w:p>
    <w:p>
      <w:pPr>
        <w:pStyle w:val="ListParagraph"/>
        <w:numPr>
          <w:ilvl w:val="1"/>
          <w:numId w:val="16"/>
        </w:numPr>
        <w:tabs>
          <w:tab w:pos="839" w:val="left" w:leader="none"/>
          <w:tab w:pos="840" w:val="left" w:leader="none"/>
        </w:tabs>
        <w:spacing w:line="288" w:lineRule="auto" w:before="52" w:after="0"/>
        <w:ind w:left="840" w:right="159" w:hanging="360"/>
        <w:jc w:val="left"/>
        <w:rPr>
          <w:rFonts w:ascii="Symbol" w:hAnsi="Symbol"/>
          <w:sz w:val="20"/>
        </w:rPr>
      </w:pPr>
      <w:r>
        <w:rPr/>
        <w:pict>
          <v:shape style="position:absolute;margin-left:90.065002pt;margin-top:8.728817pt;width:395.3pt;height:419pt;mso-position-horizontal-relative:page;mso-position-vertical-relative:paragraph;z-index:-17710080" id="docshape69" coordorigin="1801,175" coordsize="7906,8380" path="m4498,7438l4492,7365,4477,7287,4455,7204,4432,7135,4403,7063,4367,6988,4325,6910,4276,6829,4237,6770,4200,6719,4200,7405,4197,7461,4186,7518,4167,7576,4138,7635,4097,7698,4044,7764,3979,7833,3674,8139,2216,6681,2517,6380,2598,6304,2672,6244,2740,6201,2801,6174,2868,6160,2941,6156,3020,6163,3105,6180,3195,6209,3255,6235,3317,6267,3380,6306,3446,6351,3514,6403,3584,6461,3656,6526,3729,6597,3789,6658,3845,6719,3896,6778,3943,6835,3986,6892,4025,6947,4059,7001,4101,7076,4136,7148,4163,7218,4183,7285,4196,7349,4200,7405,4200,6719,4194,6710,4148,6650,4098,6590,4045,6529,3989,6467,3929,6406,3865,6344,3801,6285,3737,6230,3673,6179,3643,6156,3609,6131,3546,6086,3482,6045,3419,6007,3346,5969,3274,5937,3203,5910,3132,5888,3062,5871,2992,5859,2923,5851,2850,5850,2779,5857,2709,5872,2642,5894,2577,5925,2528,5953,2476,5990,2420,6036,2359,6090,2294,6152,1801,6645,3710,8554,4124,8139,4226,8037,4287,7972,4341,7907,4386,7841,4424,7774,4454,7708,4476,7641,4491,7575,4498,7507,4498,7438xm6418,5845l6056,5718,5650,5575,5561,5546,5475,5522,5393,5502,5365,5497,5314,5488,5239,5478,5193,5476,5143,5479,5089,5486,5030,5497,5073,5428,5109,5358,5136,5289,5154,5220,5164,5151,5165,5083,5157,5015,5139,4938,5111,4861,5075,4787,5030,4714,4976,4643,4956,4621,4913,4575,4872,4537,4872,5094,4868,5150,4854,5204,4830,5261,4794,5319,4747,5380,4687,5444,4280,5851,3649,5220,4102,4767,4166,4710,4229,4666,4293,4637,4358,4622,4422,4621,4501,4636,4577,4666,4649,4710,4718,4770,4761,4817,4797,4868,4827,4922,4851,4978,4867,5037,4872,5094,4872,4537,4849,4515,4782,4463,4713,4417,4641,4379,4566,4347,4474,4318,4386,4305,4303,4307,4225,4323,4163,4348,4098,4385,4030,4433,3958,4493,3883,4564,3248,5198,5157,7107,5346,6917,4499,6070,4718,5851,4753,5816,4783,5789,4810,5768,4833,5754,4863,5740,4896,5729,4932,5722,4971,5718,5014,5718,5066,5723,5125,5733,5194,5749,5256,5767,5328,5788,5407,5813,5496,5842,6180,6083,6418,5845xm7780,4483l7415,4288,6555,3834,6555,4141,6070,4626,6030,4554,5989,4483,5748,4052,5708,3980,5668,3909,5629,3843,5590,3779,5550,3715,5509,3652,5467,3589,5424,3528,5380,3467,5436,3503,5498,3541,5564,3581,5635,3623,5792,3713,6555,4141,6555,3834,5862,3467,5286,3161,5082,3365,5277,3715,5316,3785,5701,4483,6207,5402,6441,5823,6642,5621,6565,5488,6298,5020,6221,4886,6481,4626,6820,4288,7173,4483,7565,4699,7780,4483xm8131,4132l7264,3265,7936,2594,7711,2368,7039,3040,6448,2449,7224,1673,6999,1448,6033,2414,7941,4322,8131,4132xm9707,2556l8024,873,8497,400,8272,175,7138,1309,7363,1534,7834,1063,9517,2746,9707,2556xe" filled="true" fillcolor="#c0c0c0" stroked="false">
            <v:path arrowok="t"/>
            <v:fill opacity="32896f" type="solid"/>
            <w10:wrap type="none"/>
          </v:shape>
        </w:pict>
      </w:r>
      <w:r>
        <w:rPr>
          <w:sz w:val="22"/>
        </w:rPr>
        <w:t>Proof of primary</w:t>
      </w:r>
      <w:r>
        <w:rPr>
          <w:spacing w:val="26"/>
          <w:sz w:val="22"/>
        </w:rPr>
        <w:t> </w:t>
      </w:r>
      <w:r>
        <w:rPr>
          <w:sz w:val="22"/>
        </w:rPr>
        <w:t>homeowner</w:t>
      </w:r>
      <w:r>
        <w:rPr>
          <w:spacing w:val="26"/>
          <w:sz w:val="22"/>
        </w:rPr>
        <w:t> </w:t>
      </w:r>
      <w:r>
        <w:rPr>
          <w:sz w:val="22"/>
        </w:rPr>
        <w:t>occupancy or occupancy</w:t>
      </w:r>
      <w:r>
        <w:rPr>
          <w:spacing w:val="26"/>
          <w:sz w:val="22"/>
        </w:rPr>
        <w:t> </w:t>
      </w:r>
      <w:r>
        <w:rPr>
          <w:sz w:val="22"/>
        </w:rPr>
        <w:t>by a qualifying household at or below AMI</w:t>
      </w:r>
    </w:p>
    <w:p>
      <w:pPr>
        <w:pStyle w:val="ListParagraph"/>
        <w:numPr>
          <w:ilvl w:val="1"/>
          <w:numId w:val="16"/>
        </w:numPr>
        <w:tabs>
          <w:tab w:pos="839" w:val="left" w:leader="none"/>
          <w:tab w:pos="840" w:val="left" w:leader="none"/>
        </w:tabs>
        <w:spacing w:line="240" w:lineRule="auto" w:before="0" w:after="0"/>
        <w:ind w:left="840" w:right="0" w:hanging="360"/>
        <w:jc w:val="left"/>
        <w:rPr>
          <w:rFonts w:ascii="Symbol" w:hAnsi="Symbol"/>
          <w:sz w:val="20"/>
        </w:rPr>
      </w:pPr>
      <w:r>
        <w:rPr>
          <w:sz w:val="22"/>
        </w:rPr>
        <w:t>Proof</w:t>
      </w:r>
      <w:r>
        <w:rPr>
          <w:spacing w:val="-2"/>
          <w:sz w:val="22"/>
        </w:rPr>
        <w:t> </w:t>
      </w:r>
      <w:r>
        <w:rPr>
          <w:sz w:val="22"/>
        </w:rPr>
        <w:t>of</w:t>
      </w:r>
      <w:r>
        <w:rPr>
          <w:spacing w:val="-2"/>
          <w:sz w:val="22"/>
        </w:rPr>
        <w:t> </w:t>
      </w:r>
      <w:r>
        <w:rPr>
          <w:sz w:val="22"/>
        </w:rPr>
        <w:t>income</w:t>
      </w:r>
      <w:r>
        <w:rPr>
          <w:spacing w:val="-6"/>
          <w:sz w:val="22"/>
        </w:rPr>
        <w:t> </w:t>
      </w:r>
      <w:r>
        <w:rPr>
          <w:sz w:val="22"/>
        </w:rPr>
        <w:t>for</w:t>
      </w:r>
      <w:r>
        <w:rPr>
          <w:spacing w:val="-4"/>
          <w:sz w:val="22"/>
        </w:rPr>
        <w:t> </w:t>
      </w:r>
      <w:r>
        <w:rPr>
          <w:spacing w:val="-2"/>
          <w:sz w:val="22"/>
        </w:rPr>
        <w:t>tenants</w:t>
      </w:r>
    </w:p>
    <w:p>
      <w:pPr>
        <w:pStyle w:val="ListParagraph"/>
        <w:numPr>
          <w:ilvl w:val="1"/>
          <w:numId w:val="16"/>
        </w:numPr>
        <w:tabs>
          <w:tab w:pos="839" w:val="left" w:leader="none"/>
          <w:tab w:pos="840" w:val="left" w:leader="none"/>
        </w:tabs>
        <w:spacing w:line="240" w:lineRule="auto" w:before="50" w:after="0"/>
        <w:ind w:left="840" w:right="0" w:hanging="360"/>
        <w:jc w:val="left"/>
        <w:rPr>
          <w:rFonts w:ascii="Symbol" w:hAnsi="Symbol"/>
          <w:sz w:val="20"/>
        </w:rPr>
      </w:pPr>
      <w:r>
        <w:rPr>
          <w:sz w:val="22"/>
        </w:rPr>
        <w:t>Proof</w:t>
      </w:r>
      <w:r>
        <w:rPr>
          <w:spacing w:val="-6"/>
          <w:sz w:val="22"/>
        </w:rPr>
        <w:t> </w:t>
      </w:r>
      <w:r>
        <w:rPr>
          <w:sz w:val="22"/>
        </w:rPr>
        <w:t>of</w:t>
      </w:r>
      <w:r>
        <w:rPr>
          <w:spacing w:val="-7"/>
          <w:sz w:val="22"/>
        </w:rPr>
        <w:t> </w:t>
      </w:r>
      <w:r>
        <w:rPr>
          <w:sz w:val="22"/>
        </w:rPr>
        <w:t>ownership</w:t>
      </w:r>
      <w:r>
        <w:rPr>
          <w:spacing w:val="-9"/>
          <w:sz w:val="22"/>
        </w:rPr>
        <w:t> </w:t>
      </w:r>
      <w:r>
        <w:rPr>
          <w:sz w:val="22"/>
        </w:rPr>
        <w:t>(including</w:t>
      </w:r>
      <w:r>
        <w:rPr>
          <w:spacing w:val="-7"/>
          <w:sz w:val="22"/>
        </w:rPr>
        <w:t> </w:t>
      </w:r>
      <w:r>
        <w:rPr>
          <w:sz w:val="22"/>
        </w:rPr>
        <w:t>self-certification,</w:t>
      </w:r>
      <w:r>
        <w:rPr>
          <w:spacing w:val="-5"/>
          <w:sz w:val="22"/>
        </w:rPr>
        <w:t> </w:t>
      </w:r>
      <w:r>
        <w:rPr>
          <w:sz w:val="22"/>
        </w:rPr>
        <w:t>as</w:t>
      </w:r>
      <w:r>
        <w:rPr>
          <w:spacing w:val="-9"/>
          <w:sz w:val="22"/>
        </w:rPr>
        <w:t> </w:t>
      </w:r>
      <w:r>
        <w:rPr>
          <w:sz w:val="22"/>
        </w:rPr>
        <w:t>detailed</w:t>
      </w:r>
      <w:r>
        <w:rPr>
          <w:spacing w:val="-6"/>
          <w:sz w:val="22"/>
        </w:rPr>
        <w:t> </w:t>
      </w:r>
      <w:r>
        <w:rPr>
          <w:spacing w:val="-2"/>
          <w:sz w:val="22"/>
        </w:rPr>
        <w:t>above)</w:t>
      </w:r>
    </w:p>
    <w:p>
      <w:pPr>
        <w:pStyle w:val="ListParagraph"/>
        <w:numPr>
          <w:ilvl w:val="1"/>
          <w:numId w:val="16"/>
        </w:numPr>
        <w:tabs>
          <w:tab w:pos="839" w:val="left" w:leader="none"/>
          <w:tab w:pos="840" w:val="left" w:leader="none"/>
        </w:tabs>
        <w:spacing w:line="240" w:lineRule="auto" w:before="51" w:after="0"/>
        <w:ind w:left="840" w:right="0" w:hanging="360"/>
        <w:jc w:val="left"/>
        <w:rPr>
          <w:rFonts w:ascii="Symbol" w:hAnsi="Symbol"/>
          <w:sz w:val="20"/>
        </w:rPr>
      </w:pPr>
      <w:r>
        <w:rPr>
          <w:sz w:val="22"/>
        </w:rPr>
        <w:t>Grant</w:t>
      </w:r>
      <w:r>
        <w:rPr>
          <w:spacing w:val="-3"/>
          <w:sz w:val="22"/>
        </w:rPr>
        <w:t> </w:t>
      </w:r>
      <w:r>
        <w:rPr>
          <w:spacing w:val="-2"/>
          <w:sz w:val="22"/>
        </w:rPr>
        <w:t>Terms</w:t>
      </w:r>
    </w:p>
    <w:p>
      <w:pPr>
        <w:pStyle w:val="ListParagraph"/>
        <w:numPr>
          <w:ilvl w:val="1"/>
          <w:numId w:val="16"/>
        </w:numPr>
        <w:tabs>
          <w:tab w:pos="840" w:val="left" w:leader="none"/>
        </w:tabs>
        <w:spacing w:line="288" w:lineRule="auto" w:before="50" w:after="0"/>
        <w:ind w:left="840" w:right="158" w:hanging="360"/>
        <w:jc w:val="both"/>
        <w:rPr>
          <w:rFonts w:ascii="Symbol" w:hAnsi="Symbol"/>
          <w:sz w:val="20"/>
        </w:rPr>
      </w:pPr>
      <w:r>
        <w:rPr>
          <w:sz w:val="22"/>
        </w:rPr>
        <w:t>In addition to the triparty agreement, the owner of the property shall execute and record deed restrictions in the Real Property records of Dallas County, Texas (and other applicable counties) for a period of five years.</w:t>
      </w:r>
    </w:p>
    <w:p>
      <w:pPr>
        <w:pStyle w:val="BodyText"/>
        <w:spacing w:before="4"/>
        <w:rPr>
          <w:sz w:val="26"/>
        </w:rPr>
      </w:pPr>
    </w:p>
    <w:p>
      <w:pPr>
        <w:pStyle w:val="BodyText"/>
        <w:spacing w:line="288" w:lineRule="auto" w:before="1"/>
        <w:ind w:left="119" w:right="157"/>
        <w:jc w:val="both"/>
      </w:pPr>
      <w:r>
        <w:rPr/>
        <w:t>This program statement may be amended by the City Manager to include amendments as appropriate to meet funding requirements and/or to comply with ARPA regulations/guidance, as </w:t>
      </w:r>
      <w:r>
        <w:rPr>
          <w:spacing w:val="-2"/>
        </w:rPr>
        <w:t>applicable.</w:t>
      </w:r>
    </w:p>
    <w:p>
      <w:pPr>
        <w:pStyle w:val="BodyText"/>
        <w:spacing w:before="4"/>
        <w:rPr>
          <w:sz w:val="26"/>
        </w:rPr>
      </w:pPr>
    </w:p>
    <w:p>
      <w:pPr>
        <w:pStyle w:val="Heading5"/>
        <w:ind w:left="119"/>
      </w:pPr>
      <w:r>
        <w:rPr/>
        <w:t>Program</w:t>
      </w:r>
      <w:r>
        <w:rPr>
          <w:spacing w:val="-5"/>
        </w:rPr>
        <w:t> </w:t>
      </w:r>
      <w:r>
        <w:rPr>
          <w:spacing w:val="-2"/>
        </w:rPr>
        <w:t>Review</w:t>
      </w:r>
    </w:p>
    <w:p>
      <w:pPr>
        <w:pStyle w:val="BodyText"/>
        <w:spacing w:line="288" w:lineRule="auto" w:before="52"/>
        <w:ind w:left="119" w:right="155"/>
        <w:jc w:val="both"/>
      </w:pPr>
      <w:r>
        <w:rPr/>
        <w:t>The program expanded to serve more households in QC Ts throughout the City of Dallas on November 9, 2022. The Program will be reviewed as more funding becomes available through Councilmember</w:t>
      </w:r>
      <w:r>
        <w:rPr>
          <w:spacing w:val="-5"/>
        </w:rPr>
        <w:t> </w:t>
      </w:r>
      <w:r>
        <w:rPr/>
        <w:t>allocation</w:t>
      </w:r>
      <w:r>
        <w:rPr>
          <w:spacing w:val="-4"/>
        </w:rPr>
        <w:t> </w:t>
      </w:r>
      <w:r>
        <w:rPr/>
        <w:t>of</w:t>
      </w:r>
      <w:r>
        <w:rPr>
          <w:spacing w:val="-5"/>
        </w:rPr>
        <w:t> </w:t>
      </w:r>
      <w:r>
        <w:rPr/>
        <w:t>discretionary</w:t>
      </w:r>
      <w:r>
        <w:rPr>
          <w:spacing w:val="-6"/>
        </w:rPr>
        <w:t> </w:t>
      </w:r>
      <w:r>
        <w:rPr/>
        <w:t>funding</w:t>
      </w:r>
      <w:r>
        <w:rPr>
          <w:spacing w:val="-6"/>
        </w:rPr>
        <w:t> </w:t>
      </w:r>
      <w:r>
        <w:rPr/>
        <w:t>or</w:t>
      </w:r>
      <w:r>
        <w:rPr>
          <w:spacing w:val="-5"/>
        </w:rPr>
        <w:t> </w:t>
      </w:r>
      <w:r>
        <w:rPr/>
        <w:t>other</w:t>
      </w:r>
      <w:r>
        <w:rPr>
          <w:spacing w:val="-5"/>
        </w:rPr>
        <w:t> </w:t>
      </w:r>
      <w:r>
        <w:rPr/>
        <w:t>resources,</w:t>
      </w:r>
      <w:r>
        <w:rPr>
          <w:spacing w:val="-4"/>
        </w:rPr>
        <w:t> </w:t>
      </w:r>
      <w:r>
        <w:rPr/>
        <w:t>including</w:t>
      </w:r>
      <w:r>
        <w:rPr>
          <w:spacing w:val="-4"/>
        </w:rPr>
        <w:t> </w:t>
      </w:r>
      <w:r>
        <w:rPr/>
        <w:t>additional</w:t>
      </w:r>
      <w:r>
        <w:rPr>
          <w:spacing w:val="-4"/>
        </w:rPr>
        <w:t> </w:t>
      </w:r>
      <w:r>
        <w:rPr/>
        <w:t>ARPA CSLFRF funding, allocated to the ARPA Home Repair and Infrastructure Program through FY 2024.</w:t>
      </w:r>
      <w:r>
        <w:rPr>
          <w:spacing w:val="-7"/>
        </w:rPr>
        <w:t> </w:t>
      </w:r>
      <w:r>
        <w:rPr/>
        <w:t>The</w:t>
      </w:r>
      <w:r>
        <w:rPr>
          <w:spacing w:val="-9"/>
        </w:rPr>
        <w:t> </w:t>
      </w:r>
      <w:r>
        <w:rPr/>
        <w:t>City</w:t>
      </w:r>
      <w:r>
        <w:rPr>
          <w:spacing w:val="-11"/>
        </w:rPr>
        <w:t> </w:t>
      </w:r>
      <w:r>
        <w:rPr/>
        <w:t>Manager</w:t>
      </w:r>
      <w:r>
        <w:rPr>
          <w:spacing w:val="-10"/>
        </w:rPr>
        <w:t> </w:t>
      </w:r>
      <w:r>
        <w:rPr/>
        <w:t>may</w:t>
      </w:r>
      <w:r>
        <w:rPr>
          <w:spacing w:val="-11"/>
        </w:rPr>
        <w:t> </w:t>
      </w:r>
      <w:r>
        <w:rPr/>
        <w:t>make</w:t>
      </w:r>
      <w:r>
        <w:rPr>
          <w:spacing w:val="-11"/>
        </w:rPr>
        <w:t> </w:t>
      </w:r>
      <w:r>
        <w:rPr/>
        <w:t>modifications</w:t>
      </w:r>
      <w:r>
        <w:rPr>
          <w:spacing w:val="-11"/>
        </w:rPr>
        <w:t> </w:t>
      </w:r>
      <w:r>
        <w:rPr/>
        <w:t>to</w:t>
      </w:r>
      <w:r>
        <w:rPr>
          <w:spacing w:val="-9"/>
        </w:rPr>
        <w:t> </w:t>
      </w:r>
      <w:r>
        <w:rPr/>
        <w:t>funding</w:t>
      </w:r>
      <w:r>
        <w:rPr>
          <w:spacing w:val="-9"/>
        </w:rPr>
        <w:t> </w:t>
      </w:r>
      <w:r>
        <w:rPr/>
        <w:t>applicability</w:t>
      </w:r>
      <w:r>
        <w:rPr>
          <w:spacing w:val="-8"/>
        </w:rPr>
        <w:t> </w:t>
      </w:r>
      <w:r>
        <w:rPr/>
        <w:t>and</w:t>
      </w:r>
      <w:r>
        <w:rPr>
          <w:spacing w:val="-9"/>
        </w:rPr>
        <w:t> </w:t>
      </w:r>
      <w:r>
        <w:rPr/>
        <w:t>timelines</w:t>
      </w:r>
      <w:r>
        <w:rPr>
          <w:spacing w:val="-8"/>
        </w:rPr>
        <w:t> </w:t>
      </w:r>
      <w:r>
        <w:rPr/>
        <w:t>as</w:t>
      </w:r>
      <w:r>
        <w:rPr>
          <w:spacing w:val="-8"/>
        </w:rPr>
        <w:t> </w:t>
      </w:r>
      <w:r>
        <w:rPr/>
        <w:t>funding becomes available.</w:t>
      </w:r>
    </w:p>
    <w:p>
      <w:pPr>
        <w:spacing w:after="0" w:line="288" w:lineRule="auto"/>
        <w:jc w:val="both"/>
        <w:sectPr>
          <w:pgSz w:w="12240" w:h="15840"/>
          <w:pgMar w:header="0" w:footer="1738" w:top="1360" w:bottom="1920" w:left="1320" w:right="1280"/>
        </w:sectPr>
      </w:pPr>
    </w:p>
    <w:p>
      <w:pPr>
        <w:pStyle w:val="Heading4"/>
        <w:jc w:val="both"/>
      </w:pPr>
      <w:bookmarkStart w:name="DEVELOPER PROGRAMS" w:id="46"/>
      <w:bookmarkEnd w:id="46"/>
      <w:r>
        <w:rPr>
          <w:b w:val="0"/>
        </w:rPr>
      </w:r>
      <w:bookmarkStart w:name="_bookmark15" w:id="47"/>
      <w:bookmarkEnd w:id="47"/>
      <w:r>
        <w:rPr>
          <w:b w:val="0"/>
        </w:rPr>
      </w:r>
      <w:r>
        <w:rPr/>
        <w:t>DEVELOPER</w:t>
      </w:r>
      <w:r>
        <w:rPr>
          <w:spacing w:val="-5"/>
        </w:rPr>
        <w:t> </w:t>
      </w:r>
      <w:r>
        <w:rPr>
          <w:spacing w:val="-2"/>
        </w:rPr>
        <w:t>PROGRAMS</w:t>
      </w:r>
    </w:p>
    <w:p>
      <w:pPr>
        <w:pStyle w:val="BodyText"/>
        <w:spacing w:before="7"/>
        <w:rPr>
          <w:b/>
          <w:sz w:val="25"/>
        </w:rPr>
      </w:pPr>
    </w:p>
    <w:p>
      <w:pPr>
        <w:pStyle w:val="Heading3"/>
        <w:spacing w:line="259" w:lineRule="auto" w:before="0"/>
        <w:ind w:right="1087"/>
        <w:jc w:val="both"/>
      </w:pPr>
      <w:bookmarkStart w:name="New Construction and Substantial Rehabil" w:id="48"/>
      <w:bookmarkEnd w:id="48"/>
      <w:r>
        <w:rPr/>
      </w:r>
      <w:bookmarkStart w:name="_bookmark16" w:id="49"/>
      <w:bookmarkEnd w:id="49"/>
      <w:r>
        <w:rPr/>
      </w:r>
      <w:r>
        <w:rPr>
          <w:color w:val="001F5F"/>
        </w:rPr>
        <w:t>New</w:t>
      </w:r>
      <w:r>
        <w:rPr>
          <w:color w:val="001F5F"/>
          <w:spacing w:val="-8"/>
        </w:rPr>
        <w:t> </w:t>
      </w:r>
      <w:r>
        <w:rPr>
          <w:color w:val="001F5F"/>
        </w:rPr>
        <w:t>Construction</w:t>
      </w:r>
      <w:r>
        <w:rPr>
          <w:color w:val="001F5F"/>
          <w:spacing w:val="-8"/>
        </w:rPr>
        <w:t> </w:t>
      </w:r>
      <w:r>
        <w:rPr>
          <w:color w:val="001F5F"/>
        </w:rPr>
        <w:t>and</w:t>
      </w:r>
      <w:r>
        <w:rPr>
          <w:color w:val="001F5F"/>
          <w:spacing w:val="-8"/>
        </w:rPr>
        <w:t> </w:t>
      </w:r>
      <w:r>
        <w:rPr>
          <w:color w:val="001F5F"/>
        </w:rPr>
        <w:t>Substantial</w:t>
      </w:r>
      <w:r>
        <w:rPr>
          <w:color w:val="001F5F"/>
          <w:spacing w:val="-7"/>
        </w:rPr>
        <w:t> </w:t>
      </w:r>
      <w:r>
        <w:rPr>
          <w:color w:val="001F5F"/>
        </w:rPr>
        <w:t>Rehabilitation</w:t>
      </w:r>
      <w:r>
        <w:rPr>
          <w:color w:val="001F5F"/>
          <w:spacing w:val="-8"/>
        </w:rPr>
        <w:t> </w:t>
      </w:r>
      <w:r>
        <w:rPr>
          <w:color w:val="001F5F"/>
        </w:rPr>
        <w:t>Program</w:t>
      </w:r>
      <w:r>
        <w:rPr>
          <w:color w:val="001F5F"/>
          <w:spacing w:val="-2"/>
        </w:rPr>
        <w:t> </w:t>
      </w:r>
      <w:r>
        <w:rPr>
          <w:color w:val="001F5F"/>
        </w:rPr>
        <w:t>– </w:t>
      </w:r>
      <w:r>
        <w:rPr>
          <w:color w:val="FF0000"/>
        </w:rPr>
        <w:t>Pillars 1, ,2, 4, 6, 7</w:t>
      </w:r>
    </w:p>
    <w:p>
      <w:pPr>
        <w:pStyle w:val="BodyText"/>
        <w:ind w:left="120" w:right="156"/>
        <w:jc w:val="both"/>
      </w:pPr>
      <w:r>
        <w:rPr/>
        <w:pict>
          <v:shape style="position:absolute;margin-left:90.065002pt;margin-top:17.888826pt;width:395.3pt;height:419pt;mso-position-horizontal-relative:page;mso-position-vertical-relative:paragraph;z-index:-17709568" id="docshape70" coordorigin="1801,358" coordsize="7906,8380" path="m4498,7621l4492,7548,4477,7470,4455,7387,4432,7318,4403,7246,4367,7171,4325,7093,4276,7012,4237,6953,4200,6903,4200,7588,4197,7645,4186,7701,4167,7759,4138,7818,4097,7881,4044,7947,3979,8017,3674,8322,2216,6864,2517,6564,2598,6487,2672,6428,2740,6384,2801,6358,2868,6343,2941,6339,3020,6346,3105,6364,3195,6393,3255,6418,3317,6451,3380,6489,3446,6534,3514,6586,3584,6644,3656,6709,3729,6780,3789,6842,3845,6902,3896,6961,3943,7019,3986,7075,4025,7130,4059,7184,4101,7259,4136,7331,4163,7401,4183,7468,4196,7532,4200,7588,4200,6903,4194,6894,4148,6834,4098,6773,4045,6712,3989,6651,3929,6589,3865,6527,3801,6468,3737,6413,3673,6362,3643,6339,3609,6314,3546,6269,3482,6228,3419,6190,3346,6152,3274,6120,3203,6093,3132,6071,3062,6054,2992,6042,2923,6035,2850,6033,2779,6040,2709,6055,2642,6078,2577,6108,2528,6136,2476,6173,2420,6219,2359,6273,2294,6336,1801,6829,3710,8737,4124,8322,4226,8220,4287,8155,4341,8090,4386,8024,4424,7957,4454,7891,4476,7824,4491,7758,4498,7690,4498,7621xm6418,6028l6056,5901,5650,5758,5561,5729,5475,5705,5393,5686,5365,5680,5314,5671,5239,5661,5193,5660,5143,5663,5089,5670,5030,5680,5073,5611,5109,5541,5136,5472,5154,5403,5164,5335,5165,5266,5157,5199,5139,5121,5111,5044,5075,4970,5030,4897,4976,4827,4956,4804,4913,4758,4872,4720,4872,5277,4868,5333,4854,5388,4830,5444,4794,5502,4747,5563,4687,5627,4280,6034,3649,5403,4102,4950,4166,4893,4229,4850,4293,4820,4358,4805,4422,4804,4501,4819,4577,4849,4649,4893,4718,4953,4761,5001,4797,5051,4827,5105,4851,5162,4867,5220,4872,5277,4872,4720,4849,4698,4782,4646,4713,4600,4641,4562,4566,4530,4474,4501,4386,4489,4303,4491,4225,4507,4163,4532,4098,4568,4030,4616,3958,4676,3883,4747,3248,5382,5157,7290,5346,7100,4499,6253,4718,6034,4753,6000,4783,5972,4810,5951,4833,5937,4863,5923,4896,5912,4932,5905,4971,5901,5014,5901,5066,5906,5125,5916,5194,5933,5256,5950,5328,5971,5407,5996,5496,6025,6180,6266,6418,6028xm7780,4666l7415,4471,6555,4017,6555,4324,6070,4809,6030,4738,5989,4666,5748,4235,5708,4164,5668,4092,5629,4027,5590,3962,5550,3898,5509,3835,5467,3773,5424,3711,5380,3651,5436,3686,5498,3724,5564,3764,5635,3806,5792,3896,6555,4324,6555,4017,5862,3651,5286,3344,5082,3548,5277,3898,5316,3968,5701,4666,6207,5585,6441,6006,6642,5805,6565,5671,6298,5203,6221,5069,6481,4809,6820,4471,7173,4666,7565,4882,7780,4666xm8131,4316l7264,3449,7936,2777,7711,2552,7039,3223,6448,2633,7224,1856,6999,1631,6033,2597,7941,4505,8131,4316xm9707,2740l8024,1057,8497,583,8272,358,7138,1492,7363,1718,7834,1246,9517,2929,9707,2740xe" filled="true" fillcolor="#c0c0c0" stroked="false">
            <v:path arrowok="t"/>
            <v:fill opacity="32896f" type="solid"/>
            <w10:wrap type="none"/>
          </v:shape>
        </w:pict>
      </w:r>
      <w:r>
        <w:rPr/>
        <w:t>The purpose of the New Construction and Substantial Rehabilitation Program (Development) is to provide financial assistance to new developments and substantial rehabilitation of existing property,</w:t>
      </w:r>
      <w:r>
        <w:rPr>
          <w:spacing w:val="-11"/>
        </w:rPr>
        <w:t> </w:t>
      </w:r>
      <w:r>
        <w:rPr/>
        <w:t>where</w:t>
      </w:r>
      <w:r>
        <w:rPr>
          <w:spacing w:val="-12"/>
        </w:rPr>
        <w:t> </w:t>
      </w:r>
      <w:r>
        <w:rPr/>
        <w:t>such</w:t>
      </w:r>
      <w:r>
        <w:rPr>
          <w:spacing w:val="-12"/>
        </w:rPr>
        <w:t> </w:t>
      </w:r>
      <w:r>
        <w:rPr/>
        <w:t>assistance</w:t>
      </w:r>
      <w:r>
        <w:rPr>
          <w:spacing w:val="-10"/>
        </w:rPr>
        <w:t> </w:t>
      </w:r>
      <w:r>
        <w:rPr/>
        <w:t>is</w:t>
      </w:r>
      <w:r>
        <w:rPr>
          <w:spacing w:val="-9"/>
        </w:rPr>
        <w:t> </w:t>
      </w:r>
      <w:r>
        <w:rPr/>
        <w:t>necessary,</w:t>
      </w:r>
      <w:r>
        <w:rPr>
          <w:spacing w:val="-11"/>
        </w:rPr>
        <w:t> </w:t>
      </w:r>
      <w:r>
        <w:rPr/>
        <w:t>and</w:t>
      </w:r>
      <w:r>
        <w:rPr>
          <w:spacing w:val="-12"/>
        </w:rPr>
        <w:t> </w:t>
      </w:r>
      <w:r>
        <w:rPr/>
        <w:t>to</w:t>
      </w:r>
      <w:r>
        <w:rPr>
          <w:spacing w:val="-12"/>
        </w:rPr>
        <w:t> </w:t>
      </w:r>
      <w:r>
        <w:rPr/>
        <w:t>appropriately</w:t>
      </w:r>
      <w:r>
        <w:rPr>
          <w:spacing w:val="-9"/>
        </w:rPr>
        <w:t> </w:t>
      </w:r>
      <w:r>
        <w:rPr/>
        <w:t>incentivize</w:t>
      </w:r>
      <w:r>
        <w:rPr>
          <w:spacing w:val="-10"/>
        </w:rPr>
        <w:t> </w:t>
      </w:r>
      <w:r>
        <w:rPr/>
        <w:t>private</w:t>
      </w:r>
      <w:r>
        <w:rPr>
          <w:spacing w:val="-10"/>
        </w:rPr>
        <w:t> </w:t>
      </w:r>
      <w:r>
        <w:rPr/>
        <w:t>investment for the development of high quality, sustainable housing that is affordable to the residents of the </w:t>
      </w:r>
      <w:r>
        <w:rPr>
          <w:spacing w:val="-2"/>
        </w:rPr>
        <w:t>City.</w:t>
      </w:r>
    </w:p>
    <w:p>
      <w:pPr>
        <w:pStyle w:val="BodyText"/>
        <w:spacing w:before="10"/>
        <w:rPr>
          <w:sz w:val="21"/>
        </w:rPr>
      </w:pPr>
    </w:p>
    <w:p>
      <w:pPr>
        <w:pStyle w:val="BodyText"/>
        <w:ind w:left="120" w:right="157"/>
        <w:jc w:val="both"/>
      </w:pPr>
      <w:r>
        <w:rPr/>
        <w:t>The City shall award funds, when available, through a competitive Notice of Funding Availability (NOFA) or a Request for Applications (RFA) process in accordance with the program’s scoring policy. The scoring policy shall be determined by the City’s development priorities and clearly outlined in the corresponding NOFA or RFA.</w:t>
      </w:r>
    </w:p>
    <w:p>
      <w:pPr>
        <w:pStyle w:val="BodyText"/>
        <w:spacing w:before="11"/>
        <w:rPr>
          <w:sz w:val="21"/>
        </w:rPr>
      </w:pPr>
    </w:p>
    <w:p>
      <w:pPr>
        <w:pStyle w:val="BodyText"/>
        <w:ind w:left="120"/>
      </w:pPr>
      <w:r>
        <w:rPr/>
        <w:t>Funds</w:t>
      </w:r>
      <w:r>
        <w:rPr>
          <w:spacing w:val="-2"/>
        </w:rPr>
        <w:t> </w:t>
      </w:r>
      <w:r>
        <w:rPr/>
        <w:t>may</w:t>
      </w:r>
      <w:r>
        <w:rPr>
          <w:spacing w:val="-2"/>
        </w:rPr>
        <w:t> </w:t>
      </w:r>
      <w:r>
        <w:rPr/>
        <w:t>be</w:t>
      </w:r>
      <w:r>
        <w:rPr>
          <w:spacing w:val="-5"/>
        </w:rPr>
        <w:t> </w:t>
      </w:r>
      <w:r>
        <w:rPr/>
        <w:t>used</w:t>
      </w:r>
      <w:r>
        <w:rPr>
          <w:spacing w:val="-4"/>
        </w:rPr>
        <w:t> </w:t>
      </w:r>
      <w:r>
        <w:rPr>
          <w:spacing w:val="-5"/>
        </w:rPr>
        <w:t>to:</w:t>
      </w:r>
    </w:p>
    <w:p>
      <w:pPr>
        <w:pStyle w:val="ListParagraph"/>
        <w:numPr>
          <w:ilvl w:val="1"/>
          <w:numId w:val="16"/>
        </w:numPr>
        <w:tabs>
          <w:tab w:pos="840" w:val="left" w:leader="none"/>
          <w:tab w:pos="841" w:val="left" w:leader="none"/>
        </w:tabs>
        <w:spacing w:line="269" w:lineRule="exact" w:before="1" w:after="0"/>
        <w:ind w:left="840" w:right="0" w:hanging="361"/>
        <w:jc w:val="left"/>
        <w:rPr>
          <w:rFonts w:ascii="Symbol" w:hAnsi="Symbol"/>
          <w:sz w:val="22"/>
        </w:rPr>
      </w:pPr>
      <w:r>
        <w:rPr>
          <w:sz w:val="22"/>
        </w:rPr>
        <w:t>Build</w:t>
      </w:r>
      <w:r>
        <w:rPr>
          <w:spacing w:val="-5"/>
          <w:sz w:val="22"/>
        </w:rPr>
        <w:t> </w:t>
      </w:r>
      <w:r>
        <w:rPr>
          <w:sz w:val="22"/>
        </w:rPr>
        <w:t>new</w:t>
      </w:r>
      <w:r>
        <w:rPr>
          <w:spacing w:val="-4"/>
          <w:sz w:val="22"/>
        </w:rPr>
        <w:t> </w:t>
      </w:r>
      <w:r>
        <w:rPr>
          <w:sz w:val="22"/>
        </w:rPr>
        <w:t>single-family</w:t>
      </w:r>
      <w:r>
        <w:rPr>
          <w:spacing w:val="-4"/>
          <w:sz w:val="22"/>
        </w:rPr>
        <w:t> </w:t>
      </w:r>
      <w:r>
        <w:rPr>
          <w:sz w:val="22"/>
        </w:rPr>
        <w:t>developments</w:t>
      </w:r>
      <w:r>
        <w:rPr>
          <w:spacing w:val="-6"/>
          <w:sz w:val="22"/>
        </w:rPr>
        <w:t> </w:t>
      </w:r>
      <w:r>
        <w:rPr>
          <w:sz w:val="22"/>
        </w:rPr>
        <w:t>with</w:t>
      </w:r>
      <w:r>
        <w:rPr>
          <w:spacing w:val="-4"/>
          <w:sz w:val="22"/>
        </w:rPr>
        <w:t> </w:t>
      </w:r>
      <w:r>
        <w:rPr>
          <w:sz w:val="22"/>
        </w:rPr>
        <w:t>5</w:t>
      </w:r>
      <w:r>
        <w:rPr>
          <w:spacing w:val="-7"/>
          <w:sz w:val="22"/>
        </w:rPr>
        <w:t> </w:t>
      </w:r>
      <w:r>
        <w:rPr>
          <w:sz w:val="22"/>
        </w:rPr>
        <w:t>or</w:t>
      </w:r>
      <w:r>
        <w:rPr>
          <w:spacing w:val="-5"/>
          <w:sz w:val="22"/>
        </w:rPr>
        <w:t> </w:t>
      </w:r>
      <w:r>
        <w:rPr>
          <w:sz w:val="22"/>
        </w:rPr>
        <w:t>more</w:t>
      </w:r>
      <w:r>
        <w:rPr>
          <w:spacing w:val="-4"/>
          <w:sz w:val="22"/>
        </w:rPr>
        <w:t> </w:t>
      </w:r>
      <w:r>
        <w:rPr>
          <w:spacing w:val="-2"/>
          <w:sz w:val="22"/>
        </w:rPr>
        <w:t>homes</w:t>
      </w:r>
    </w:p>
    <w:p>
      <w:pPr>
        <w:pStyle w:val="ListParagraph"/>
        <w:numPr>
          <w:ilvl w:val="1"/>
          <w:numId w:val="16"/>
        </w:numPr>
        <w:tabs>
          <w:tab w:pos="840" w:val="left" w:leader="none"/>
          <w:tab w:pos="841" w:val="left" w:leader="none"/>
        </w:tabs>
        <w:spacing w:line="269" w:lineRule="exact" w:before="0" w:after="0"/>
        <w:ind w:left="840" w:right="0" w:hanging="361"/>
        <w:jc w:val="left"/>
        <w:rPr>
          <w:rFonts w:ascii="Symbol" w:hAnsi="Symbol"/>
          <w:sz w:val="22"/>
        </w:rPr>
      </w:pPr>
      <w:r>
        <w:rPr>
          <w:sz w:val="22"/>
        </w:rPr>
        <w:t>Build</w:t>
      </w:r>
      <w:r>
        <w:rPr>
          <w:spacing w:val="-7"/>
          <w:sz w:val="22"/>
        </w:rPr>
        <w:t> </w:t>
      </w:r>
      <w:r>
        <w:rPr>
          <w:sz w:val="22"/>
        </w:rPr>
        <w:t>new</w:t>
      </w:r>
      <w:r>
        <w:rPr>
          <w:spacing w:val="-5"/>
          <w:sz w:val="22"/>
        </w:rPr>
        <w:t> </w:t>
      </w:r>
      <w:r>
        <w:rPr>
          <w:sz w:val="22"/>
        </w:rPr>
        <w:t>or</w:t>
      </w:r>
      <w:r>
        <w:rPr>
          <w:spacing w:val="-3"/>
          <w:sz w:val="22"/>
        </w:rPr>
        <w:t> </w:t>
      </w:r>
      <w:r>
        <w:rPr>
          <w:sz w:val="22"/>
        </w:rPr>
        <w:t>substantially</w:t>
      </w:r>
      <w:r>
        <w:rPr>
          <w:spacing w:val="-4"/>
          <w:sz w:val="22"/>
        </w:rPr>
        <w:t> </w:t>
      </w:r>
      <w:r>
        <w:rPr>
          <w:sz w:val="22"/>
        </w:rPr>
        <w:t>rehabilitate</w:t>
      </w:r>
      <w:r>
        <w:rPr>
          <w:spacing w:val="-7"/>
          <w:sz w:val="22"/>
        </w:rPr>
        <w:t> </w:t>
      </w:r>
      <w:r>
        <w:rPr>
          <w:sz w:val="22"/>
        </w:rPr>
        <w:t>multi-family</w:t>
      </w:r>
      <w:r>
        <w:rPr>
          <w:spacing w:val="-4"/>
          <w:sz w:val="22"/>
        </w:rPr>
        <w:t> </w:t>
      </w:r>
      <w:r>
        <w:rPr>
          <w:sz w:val="22"/>
        </w:rPr>
        <w:t>rental</w:t>
      </w:r>
      <w:r>
        <w:rPr>
          <w:spacing w:val="-5"/>
          <w:sz w:val="22"/>
        </w:rPr>
        <w:t> </w:t>
      </w:r>
      <w:r>
        <w:rPr>
          <w:sz w:val="22"/>
        </w:rPr>
        <w:t>housing</w:t>
      </w:r>
      <w:r>
        <w:rPr>
          <w:spacing w:val="-5"/>
          <w:sz w:val="22"/>
        </w:rPr>
        <w:t> </w:t>
      </w:r>
      <w:r>
        <w:rPr>
          <w:sz w:val="22"/>
        </w:rPr>
        <w:t>with</w:t>
      </w:r>
      <w:r>
        <w:rPr>
          <w:spacing w:val="-7"/>
          <w:sz w:val="22"/>
        </w:rPr>
        <w:t> </w:t>
      </w:r>
      <w:r>
        <w:rPr>
          <w:sz w:val="22"/>
        </w:rPr>
        <w:t>5</w:t>
      </w:r>
      <w:r>
        <w:rPr>
          <w:spacing w:val="-5"/>
          <w:sz w:val="22"/>
        </w:rPr>
        <w:t> </w:t>
      </w:r>
      <w:r>
        <w:rPr>
          <w:sz w:val="22"/>
        </w:rPr>
        <w:t>or</w:t>
      </w:r>
      <w:r>
        <w:rPr>
          <w:spacing w:val="-6"/>
          <w:sz w:val="22"/>
        </w:rPr>
        <w:t> </w:t>
      </w:r>
      <w:r>
        <w:rPr>
          <w:sz w:val="22"/>
        </w:rPr>
        <w:t>more</w:t>
      </w:r>
      <w:r>
        <w:rPr>
          <w:spacing w:val="-6"/>
          <w:sz w:val="22"/>
        </w:rPr>
        <w:t> </w:t>
      </w:r>
      <w:r>
        <w:rPr>
          <w:spacing w:val="-2"/>
          <w:sz w:val="22"/>
        </w:rPr>
        <w:t>units</w:t>
      </w:r>
    </w:p>
    <w:p>
      <w:pPr>
        <w:pStyle w:val="BodyText"/>
        <w:spacing w:before="7"/>
        <w:rPr>
          <w:sz w:val="21"/>
        </w:rPr>
      </w:pPr>
    </w:p>
    <w:p>
      <w:pPr>
        <w:pStyle w:val="Heading5"/>
        <w:spacing w:before="1"/>
        <w:jc w:val="left"/>
      </w:pPr>
      <w:r>
        <w:rPr>
          <w:spacing w:val="-2"/>
        </w:rPr>
        <w:t>Eligibility</w:t>
      </w:r>
    </w:p>
    <w:p>
      <w:pPr>
        <w:pStyle w:val="BodyText"/>
        <w:spacing w:before="51"/>
        <w:ind w:left="120" w:right="50"/>
      </w:pPr>
      <w:r>
        <w:rPr/>
        <w:t>To be eligible for funding under the New Construction and Substantial Rehabilitation Program</w:t>
      </w:r>
      <w:r>
        <w:rPr>
          <w:spacing w:val="40"/>
        </w:rPr>
        <w:t> </w:t>
      </w:r>
      <w:r>
        <w:rPr/>
        <w:t>assistance, the proposed project must meet all of the following basic criteria:</w:t>
      </w:r>
    </w:p>
    <w:p>
      <w:pPr>
        <w:pStyle w:val="ListParagraph"/>
        <w:numPr>
          <w:ilvl w:val="1"/>
          <w:numId w:val="16"/>
        </w:numPr>
        <w:tabs>
          <w:tab w:pos="840" w:val="left" w:leader="none"/>
          <w:tab w:pos="841" w:val="left" w:leader="none"/>
        </w:tabs>
        <w:spacing w:line="237" w:lineRule="auto" w:before="2" w:after="0"/>
        <w:ind w:left="840" w:right="157" w:hanging="361"/>
        <w:jc w:val="left"/>
        <w:rPr>
          <w:rFonts w:ascii="Symbol" w:hAnsi="Symbol"/>
          <w:sz w:val="22"/>
        </w:rPr>
      </w:pPr>
      <w:r>
        <w:rPr>
          <w:sz w:val="22"/>
        </w:rPr>
        <w:t>Project</w:t>
      </w:r>
      <w:r>
        <w:rPr>
          <w:spacing w:val="-6"/>
          <w:sz w:val="22"/>
        </w:rPr>
        <w:t> </w:t>
      </w:r>
      <w:r>
        <w:rPr>
          <w:sz w:val="22"/>
        </w:rPr>
        <w:t>must</w:t>
      </w:r>
      <w:r>
        <w:rPr>
          <w:spacing w:val="-6"/>
          <w:sz w:val="22"/>
        </w:rPr>
        <w:t> </w:t>
      </w:r>
      <w:r>
        <w:rPr>
          <w:sz w:val="22"/>
        </w:rPr>
        <w:t>consist</w:t>
      </w:r>
      <w:r>
        <w:rPr>
          <w:spacing w:val="-6"/>
          <w:sz w:val="22"/>
        </w:rPr>
        <w:t> </w:t>
      </w:r>
      <w:r>
        <w:rPr>
          <w:sz w:val="22"/>
        </w:rPr>
        <w:t>of</w:t>
      </w:r>
      <w:r>
        <w:rPr>
          <w:spacing w:val="-6"/>
          <w:sz w:val="22"/>
        </w:rPr>
        <w:t> </w:t>
      </w:r>
      <w:r>
        <w:rPr>
          <w:sz w:val="22"/>
        </w:rPr>
        <w:t>5</w:t>
      </w:r>
      <w:r>
        <w:rPr>
          <w:spacing w:val="-9"/>
          <w:sz w:val="22"/>
        </w:rPr>
        <w:t> </w:t>
      </w:r>
      <w:r>
        <w:rPr>
          <w:sz w:val="22"/>
        </w:rPr>
        <w:t>or</w:t>
      </w:r>
      <w:r>
        <w:rPr>
          <w:spacing w:val="-6"/>
          <w:sz w:val="22"/>
        </w:rPr>
        <w:t> </w:t>
      </w:r>
      <w:r>
        <w:rPr>
          <w:sz w:val="22"/>
        </w:rPr>
        <w:t>more</w:t>
      </w:r>
      <w:r>
        <w:rPr>
          <w:spacing w:val="-7"/>
          <w:sz w:val="22"/>
        </w:rPr>
        <w:t> </w:t>
      </w:r>
      <w:r>
        <w:rPr>
          <w:sz w:val="22"/>
        </w:rPr>
        <w:t>units</w:t>
      </w:r>
      <w:r>
        <w:rPr>
          <w:spacing w:val="-7"/>
          <w:sz w:val="22"/>
        </w:rPr>
        <w:t> </w:t>
      </w:r>
      <w:r>
        <w:rPr>
          <w:sz w:val="22"/>
        </w:rPr>
        <w:t>located</w:t>
      </w:r>
      <w:r>
        <w:rPr>
          <w:spacing w:val="-9"/>
          <w:sz w:val="22"/>
        </w:rPr>
        <w:t> </w:t>
      </w:r>
      <w:r>
        <w:rPr>
          <w:sz w:val="22"/>
        </w:rPr>
        <w:t>within</w:t>
      </w:r>
      <w:r>
        <w:rPr>
          <w:spacing w:val="-7"/>
          <w:sz w:val="22"/>
        </w:rPr>
        <w:t> </w:t>
      </w:r>
      <w:r>
        <w:rPr>
          <w:sz w:val="22"/>
        </w:rPr>
        <w:t>the</w:t>
      </w:r>
      <w:r>
        <w:rPr>
          <w:spacing w:val="-7"/>
          <w:sz w:val="22"/>
        </w:rPr>
        <w:t> </w:t>
      </w:r>
      <w:r>
        <w:rPr>
          <w:sz w:val="22"/>
        </w:rPr>
        <w:t>municipal</w:t>
      </w:r>
      <w:r>
        <w:rPr>
          <w:spacing w:val="-7"/>
          <w:sz w:val="22"/>
        </w:rPr>
        <w:t> </w:t>
      </w:r>
      <w:r>
        <w:rPr>
          <w:sz w:val="22"/>
        </w:rPr>
        <w:t>boundaries</w:t>
      </w:r>
      <w:r>
        <w:rPr>
          <w:spacing w:val="-7"/>
          <w:sz w:val="22"/>
        </w:rPr>
        <w:t> </w:t>
      </w:r>
      <w:r>
        <w:rPr>
          <w:sz w:val="22"/>
        </w:rPr>
        <w:t>of</w:t>
      </w:r>
      <w:r>
        <w:rPr>
          <w:spacing w:val="-6"/>
          <w:sz w:val="22"/>
        </w:rPr>
        <w:t> </w:t>
      </w:r>
      <w:r>
        <w:rPr>
          <w:sz w:val="22"/>
        </w:rPr>
        <w:t>the</w:t>
      </w:r>
      <w:r>
        <w:rPr>
          <w:spacing w:val="-7"/>
          <w:sz w:val="22"/>
        </w:rPr>
        <w:t> </w:t>
      </w:r>
      <w:r>
        <w:rPr>
          <w:sz w:val="22"/>
        </w:rPr>
        <w:t>City of</w:t>
      </w:r>
      <w:r>
        <w:rPr>
          <w:spacing w:val="-16"/>
          <w:sz w:val="22"/>
        </w:rPr>
        <w:t> </w:t>
      </w:r>
      <w:r>
        <w:rPr>
          <w:sz w:val="22"/>
        </w:rPr>
        <w:t>Dallas.</w:t>
      </w:r>
      <w:r>
        <w:rPr>
          <w:spacing w:val="-15"/>
          <w:sz w:val="22"/>
        </w:rPr>
        <w:t> </w:t>
      </w:r>
      <w:r>
        <w:rPr>
          <w:sz w:val="22"/>
        </w:rPr>
        <w:t>Note:</w:t>
      </w:r>
      <w:r>
        <w:rPr>
          <w:spacing w:val="-15"/>
          <w:sz w:val="22"/>
        </w:rPr>
        <w:t> </w:t>
      </w:r>
      <w:r>
        <w:rPr>
          <w:sz w:val="22"/>
        </w:rPr>
        <w:t>Extra</w:t>
      </w:r>
      <w:r>
        <w:rPr>
          <w:spacing w:val="-16"/>
          <w:sz w:val="22"/>
        </w:rPr>
        <w:t> </w:t>
      </w:r>
      <w:r>
        <w:rPr>
          <w:sz w:val="22"/>
        </w:rPr>
        <w:t>Territorial</w:t>
      </w:r>
      <w:r>
        <w:rPr>
          <w:spacing w:val="-15"/>
          <w:sz w:val="22"/>
        </w:rPr>
        <w:t> </w:t>
      </w:r>
      <w:r>
        <w:rPr>
          <w:sz w:val="22"/>
        </w:rPr>
        <w:t>Jurisdictions</w:t>
      </w:r>
      <w:r>
        <w:rPr>
          <w:spacing w:val="-15"/>
          <w:sz w:val="22"/>
        </w:rPr>
        <w:t> </w:t>
      </w:r>
      <w:r>
        <w:rPr>
          <w:sz w:val="22"/>
        </w:rPr>
        <w:t>areas</w:t>
      </w:r>
      <w:r>
        <w:rPr>
          <w:spacing w:val="-15"/>
          <w:sz w:val="22"/>
        </w:rPr>
        <w:t> </w:t>
      </w:r>
      <w:r>
        <w:rPr>
          <w:sz w:val="22"/>
        </w:rPr>
        <w:t>are</w:t>
      </w:r>
      <w:r>
        <w:rPr>
          <w:spacing w:val="-16"/>
          <w:sz w:val="22"/>
        </w:rPr>
        <w:t> </w:t>
      </w:r>
      <w:r>
        <w:rPr>
          <w:sz w:val="22"/>
        </w:rPr>
        <w:t>not</w:t>
      </w:r>
      <w:r>
        <w:rPr>
          <w:spacing w:val="-15"/>
          <w:sz w:val="22"/>
        </w:rPr>
        <w:t> </w:t>
      </w:r>
      <w:r>
        <w:rPr>
          <w:sz w:val="22"/>
        </w:rPr>
        <w:t>eligible</w:t>
      </w:r>
      <w:r>
        <w:rPr>
          <w:spacing w:val="-15"/>
          <w:sz w:val="22"/>
        </w:rPr>
        <w:t> </w:t>
      </w:r>
      <w:r>
        <w:rPr>
          <w:sz w:val="22"/>
        </w:rPr>
        <w:t>for</w:t>
      </w:r>
      <w:r>
        <w:rPr>
          <w:spacing w:val="-16"/>
          <w:sz w:val="22"/>
        </w:rPr>
        <w:t> </w:t>
      </w:r>
      <w:r>
        <w:rPr>
          <w:sz w:val="22"/>
        </w:rPr>
        <w:t>financial</w:t>
      </w:r>
      <w:r>
        <w:rPr>
          <w:spacing w:val="-15"/>
          <w:sz w:val="22"/>
        </w:rPr>
        <w:t> </w:t>
      </w:r>
      <w:r>
        <w:rPr>
          <w:sz w:val="22"/>
        </w:rPr>
        <w:t>assistance.</w:t>
      </w:r>
    </w:p>
    <w:p>
      <w:pPr>
        <w:pStyle w:val="ListParagraph"/>
        <w:numPr>
          <w:ilvl w:val="1"/>
          <w:numId w:val="16"/>
        </w:numPr>
        <w:tabs>
          <w:tab w:pos="840" w:val="left" w:leader="none"/>
          <w:tab w:pos="841" w:val="left" w:leader="none"/>
        </w:tabs>
        <w:spacing w:line="237" w:lineRule="auto" w:before="4" w:after="0"/>
        <w:ind w:left="840" w:right="159" w:hanging="361"/>
        <w:jc w:val="left"/>
        <w:rPr>
          <w:rFonts w:ascii="Symbol" w:hAnsi="Symbol"/>
          <w:sz w:val="22"/>
        </w:rPr>
      </w:pPr>
      <w:r>
        <w:rPr>
          <w:sz w:val="22"/>
        </w:rPr>
        <w:t>Substantial</w:t>
      </w:r>
      <w:r>
        <w:rPr>
          <w:spacing w:val="-1"/>
          <w:sz w:val="22"/>
        </w:rPr>
        <w:t> </w:t>
      </w:r>
      <w:r>
        <w:rPr>
          <w:sz w:val="22"/>
        </w:rPr>
        <w:t>rehabilitation</w:t>
      </w:r>
      <w:r>
        <w:rPr>
          <w:spacing w:val="-3"/>
          <w:sz w:val="22"/>
        </w:rPr>
        <w:t> </w:t>
      </w:r>
      <w:r>
        <w:rPr>
          <w:sz w:val="22"/>
        </w:rPr>
        <w:t>projects</w:t>
      </w:r>
      <w:r>
        <w:rPr>
          <w:spacing w:val="-2"/>
          <w:sz w:val="22"/>
        </w:rPr>
        <w:t> </w:t>
      </w:r>
      <w:r>
        <w:rPr>
          <w:sz w:val="22"/>
        </w:rPr>
        <w:t>must,</w:t>
      </w:r>
      <w:r>
        <w:rPr>
          <w:spacing w:val="-1"/>
          <w:sz w:val="22"/>
        </w:rPr>
        <w:t> </w:t>
      </w:r>
      <w:r>
        <w:rPr>
          <w:sz w:val="22"/>
        </w:rPr>
        <w:t>at a</w:t>
      </w:r>
      <w:r>
        <w:rPr>
          <w:spacing w:val="-3"/>
          <w:sz w:val="22"/>
        </w:rPr>
        <w:t> </w:t>
      </w:r>
      <w:r>
        <w:rPr>
          <w:sz w:val="22"/>
        </w:rPr>
        <w:t>minimum,</w:t>
      </w:r>
      <w:r>
        <w:rPr>
          <w:spacing w:val="-1"/>
          <w:sz w:val="22"/>
        </w:rPr>
        <w:t> </w:t>
      </w:r>
      <w:r>
        <w:rPr>
          <w:sz w:val="22"/>
        </w:rPr>
        <w:t>meet</w:t>
      </w:r>
      <w:r>
        <w:rPr>
          <w:spacing w:val="-1"/>
          <w:sz w:val="22"/>
        </w:rPr>
        <w:t> </w:t>
      </w:r>
      <w:r>
        <w:rPr>
          <w:sz w:val="22"/>
        </w:rPr>
        <w:t>the substantial</w:t>
      </w:r>
      <w:r>
        <w:rPr>
          <w:spacing w:val="-1"/>
          <w:sz w:val="22"/>
        </w:rPr>
        <w:t> </w:t>
      </w:r>
      <w:r>
        <w:rPr>
          <w:sz w:val="22"/>
        </w:rPr>
        <w:t>rehabilitation </w:t>
      </w:r>
      <w:r>
        <w:rPr>
          <w:spacing w:val="-2"/>
          <w:sz w:val="22"/>
        </w:rPr>
        <w:t>test.</w:t>
      </w:r>
    </w:p>
    <w:p>
      <w:pPr>
        <w:pStyle w:val="BodyText"/>
      </w:pPr>
    </w:p>
    <w:p>
      <w:pPr>
        <w:pStyle w:val="BodyText"/>
        <w:ind w:left="120" w:right="157"/>
        <w:jc w:val="both"/>
      </w:pPr>
      <w:r>
        <w:rPr/>
        <w:t>In addition to fully meeting the City's minimum code requirements, a project must meet one or more of the following Substantial Rehabilitation threshold tests:</w:t>
      </w:r>
    </w:p>
    <w:p>
      <w:pPr>
        <w:pStyle w:val="ListParagraph"/>
        <w:numPr>
          <w:ilvl w:val="1"/>
          <w:numId w:val="16"/>
        </w:numPr>
        <w:tabs>
          <w:tab w:pos="841" w:val="left" w:leader="none"/>
        </w:tabs>
        <w:spacing w:line="237" w:lineRule="auto" w:before="4" w:after="0"/>
        <w:ind w:left="840" w:right="158" w:hanging="361"/>
        <w:jc w:val="both"/>
        <w:rPr>
          <w:rFonts w:ascii="Symbol" w:hAnsi="Symbol"/>
          <w:sz w:val="22"/>
        </w:rPr>
      </w:pPr>
      <w:r>
        <w:rPr>
          <w:sz w:val="22"/>
        </w:rPr>
        <w:t>Replacement of two or more major building components (roof; wall or floor structures; foundations; plumbing, central HVAC or electrical system); </w:t>
      </w:r>
      <w:r>
        <w:rPr>
          <w:sz w:val="22"/>
          <w:u w:val="single"/>
        </w:rPr>
        <w:t>or</w:t>
      </w:r>
    </w:p>
    <w:p>
      <w:pPr>
        <w:pStyle w:val="ListParagraph"/>
        <w:numPr>
          <w:ilvl w:val="1"/>
          <w:numId w:val="16"/>
        </w:numPr>
        <w:tabs>
          <w:tab w:pos="841" w:val="left" w:leader="none"/>
        </w:tabs>
        <w:spacing w:line="240" w:lineRule="auto" w:before="1" w:after="0"/>
        <w:ind w:left="840" w:right="158" w:hanging="361"/>
        <w:jc w:val="both"/>
        <w:rPr>
          <w:rFonts w:ascii="Symbol" w:hAnsi="Symbol"/>
          <w:sz w:val="22"/>
        </w:rPr>
      </w:pPr>
      <w:r>
        <w:rPr>
          <w:sz w:val="22"/>
        </w:rPr>
        <w:t>costs are 15% or more, exclusive of any acquisition and/or acquisition and development soft costs, of the property's replacement cost (fair market value) after completion of all required repairs, replacements and improvements; </w:t>
      </w:r>
      <w:r>
        <w:rPr>
          <w:sz w:val="22"/>
          <w:u w:val="single"/>
        </w:rPr>
        <w:t>or</w:t>
      </w:r>
    </w:p>
    <w:p>
      <w:pPr>
        <w:pStyle w:val="ListParagraph"/>
        <w:numPr>
          <w:ilvl w:val="1"/>
          <w:numId w:val="16"/>
        </w:numPr>
        <w:tabs>
          <w:tab w:pos="841" w:val="left" w:leader="none"/>
        </w:tabs>
        <w:spacing w:line="269" w:lineRule="exact" w:before="0" w:after="0"/>
        <w:ind w:left="840" w:right="0" w:hanging="361"/>
        <w:jc w:val="both"/>
        <w:rPr>
          <w:rFonts w:ascii="Symbol" w:hAnsi="Symbol"/>
          <w:sz w:val="22"/>
        </w:rPr>
      </w:pPr>
      <w:r>
        <w:rPr>
          <w:sz w:val="22"/>
        </w:rPr>
        <w:t>rehabilitation</w:t>
      </w:r>
      <w:r>
        <w:rPr>
          <w:spacing w:val="-4"/>
          <w:sz w:val="22"/>
        </w:rPr>
        <w:t> </w:t>
      </w:r>
      <w:r>
        <w:rPr>
          <w:sz w:val="22"/>
        </w:rPr>
        <w:t>hard</w:t>
      </w:r>
      <w:r>
        <w:rPr>
          <w:spacing w:val="-6"/>
          <w:sz w:val="22"/>
        </w:rPr>
        <w:t> </w:t>
      </w:r>
      <w:r>
        <w:rPr>
          <w:sz w:val="22"/>
        </w:rPr>
        <w:t>costs</w:t>
      </w:r>
      <w:r>
        <w:rPr>
          <w:spacing w:val="-6"/>
          <w:sz w:val="22"/>
        </w:rPr>
        <w:t> </w:t>
      </w:r>
      <w:r>
        <w:rPr>
          <w:sz w:val="22"/>
        </w:rPr>
        <w:t>are</w:t>
      </w:r>
      <w:r>
        <w:rPr>
          <w:spacing w:val="-4"/>
          <w:sz w:val="22"/>
        </w:rPr>
        <w:t> </w:t>
      </w:r>
      <w:r>
        <w:rPr>
          <w:sz w:val="22"/>
        </w:rPr>
        <w:t>$10,000</w:t>
      </w:r>
      <w:r>
        <w:rPr>
          <w:spacing w:val="-4"/>
          <w:sz w:val="22"/>
        </w:rPr>
        <w:t> </w:t>
      </w:r>
      <w:r>
        <w:rPr>
          <w:sz w:val="22"/>
        </w:rPr>
        <w:t>or</w:t>
      </w:r>
      <w:r>
        <w:rPr>
          <w:spacing w:val="-5"/>
          <w:sz w:val="22"/>
        </w:rPr>
        <w:t> </w:t>
      </w:r>
      <w:r>
        <w:rPr>
          <w:sz w:val="22"/>
        </w:rPr>
        <w:t>more</w:t>
      </w:r>
      <w:r>
        <w:rPr>
          <w:spacing w:val="-6"/>
          <w:sz w:val="22"/>
        </w:rPr>
        <w:t> </w:t>
      </w:r>
      <w:r>
        <w:rPr>
          <w:sz w:val="22"/>
        </w:rPr>
        <w:t>per</w:t>
      </w:r>
      <w:r>
        <w:rPr>
          <w:spacing w:val="-6"/>
          <w:sz w:val="22"/>
        </w:rPr>
        <w:t> </w:t>
      </w:r>
      <w:r>
        <w:rPr>
          <w:spacing w:val="-2"/>
          <w:sz w:val="22"/>
        </w:rPr>
        <w:t>unit.</w:t>
      </w:r>
    </w:p>
    <w:p>
      <w:pPr>
        <w:pStyle w:val="BodyText"/>
        <w:spacing w:before="8"/>
        <w:rPr>
          <w:sz w:val="21"/>
        </w:rPr>
      </w:pPr>
    </w:p>
    <w:p>
      <w:pPr>
        <w:pStyle w:val="BodyText"/>
        <w:ind w:left="120"/>
      </w:pPr>
      <w:r>
        <w:rPr/>
        <w:t>The after-rehabilitation rents required to effectively support the property, including the additional rehabilitation project debt service, must be:</w:t>
      </w:r>
    </w:p>
    <w:p>
      <w:pPr>
        <w:pStyle w:val="ListParagraph"/>
        <w:numPr>
          <w:ilvl w:val="1"/>
          <w:numId w:val="16"/>
        </w:numPr>
        <w:tabs>
          <w:tab w:pos="840" w:val="left" w:leader="none"/>
          <w:tab w:pos="841" w:val="left" w:leader="none"/>
        </w:tabs>
        <w:spacing w:line="268" w:lineRule="exact" w:before="2" w:after="0"/>
        <w:ind w:left="840" w:right="0" w:hanging="361"/>
        <w:jc w:val="left"/>
        <w:rPr>
          <w:rFonts w:ascii="Symbol" w:hAnsi="Symbol"/>
          <w:sz w:val="22"/>
        </w:rPr>
      </w:pPr>
      <w:r>
        <w:rPr>
          <w:sz w:val="22"/>
        </w:rPr>
        <w:t>Reasonable,</w:t>
      </w:r>
      <w:r>
        <w:rPr>
          <w:spacing w:val="-5"/>
          <w:sz w:val="22"/>
        </w:rPr>
        <w:t> </w:t>
      </w:r>
      <w:r>
        <w:rPr>
          <w:sz w:val="22"/>
        </w:rPr>
        <w:t>and</w:t>
      </w:r>
      <w:r>
        <w:rPr>
          <w:spacing w:val="-8"/>
          <w:sz w:val="22"/>
        </w:rPr>
        <w:t> </w:t>
      </w:r>
      <w:r>
        <w:rPr>
          <w:sz w:val="22"/>
        </w:rPr>
        <w:t>fall</w:t>
      </w:r>
      <w:r>
        <w:rPr>
          <w:spacing w:val="-6"/>
          <w:sz w:val="22"/>
        </w:rPr>
        <w:t> </w:t>
      </w:r>
      <w:r>
        <w:rPr>
          <w:sz w:val="22"/>
        </w:rPr>
        <w:t>within</w:t>
      </w:r>
      <w:r>
        <w:rPr>
          <w:spacing w:val="-7"/>
          <w:sz w:val="22"/>
        </w:rPr>
        <w:t> </w:t>
      </w:r>
      <w:r>
        <w:rPr>
          <w:sz w:val="22"/>
        </w:rPr>
        <w:t>the</w:t>
      </w:r>
      <w:r>
        <w:rPr>
          <w:spacing w:val="-6"/>
          <w:sz w:val="22"/>
        </w:rPr>
        <w:t> </w:t>
      </w:r>
      <w:r>
        <w:rPr>
          <w:sz w:val="22"/>
        </w:rPr>
        <w:t>underwriting</w:t>
      </w:r>
      <w:r>
        <w:rPr>
          <w:spacing w:val="-8"/>
          <w:sz w:val="22"/>
        </w:rPr>
        <w:t> </w:t>
      </w:r>
      <w:r>
        <w:rPr>
          <w:sz w:val="22"/>
        </w:rPr>
        <w:t>standards;</w:t>
      </w:r>
      <w:r>
        <w:rPr>
          <w:spacing w:val="-6"/>
          <w:sz w:val="22"/>
        </w:rPr>
        <w:t> </w:t>
      </w:r>
      <w:r>
        <w:rPr>
          <w:spacing w:val="-5"/>
          <w:sz w:val="22"/>
        </w:rPr>
        <w:t>and</w:t>
      </w:r>
    </w:p>
    <w:p>
      <w:pPr>
        <w:pStyle w:val="ListParagraph"/>
        <w:numPr>
          <w:ilvl w:val="1"/>
          <w:numId w:val="16"/>
        </w:numPr>
        <w:tabs>
          <w:tab w:pos="840" w:val="left" w:leader="none"/>
          <w:tab w:pos="841" w:val="left" w:leader="none"/>
        </w:tabs>
        <w:spacing w:line="268" w:lineRule="exact" w:before="0" w:after="0"/>
        <w:ind w:left="840" w:right="0" w:hanging="361"/>
        <w:jc w:val="left"/>
        <w:rPr>
          <w:rFonts w:ascii="Symbol" w:hAnsi="Symbol"/>
          <w:sz w:val="22"/>
        </w:rPr>
      </w:pPr>
      <w:r>
        <w:rPr>
          <w:sz w:val="22"/>
        </w:rPr>
        <w:t>Affordable</w:t>
      </w:r>
      <w:r>
        <w:rPr>
          <w:spacing w:val="-6"/>
          <w:sz w:val="22"/>
        </w:rPr>
        <w:t> </w:t>
      </w:r>
      <w:r>
        <w:rPr>
          <w:sz w:val="22"/>
        </w:rPr>
        <w:t>and</w:t>
      </w:r>
      <w:r>
        <w:rPr>
          <w:spacing w:val="-6"/>
          <w:sz w:val="22"/>
        </w:rPr>
        <w:t> </w:t>
      </w:r>
      <w:r>
        <w:rPr>
          <w:sz w:val="22"/>
        </w:rPr>
        <w:t>meet</w:t>
      </w:r>
      <w:r>
        <w:rPr>
          <w:spacing w:val="-4"/>
          <w:sz w:val="22"/>
        </w:rPr>
        <w:t> </w:t>
      </w:r>
      <w:r>
        <w:rPr>
          <w:sz w:val="22"/>
        </w:rPr>
        <w:t>the</w:t>
      </w:r>
      <w:r>
        <w:rPr>
          <w:spacing w:val="-8"/>
          <w:sz w:val="22"/>
        </w:rPr>
        <w:t> </w:t>
      </w:r>
      <w:r>
        <w:rPr>
          <w:sz w:val="22"/>
        </w:rPr>
        <w:t>City’s</w:t>
      </w:r>
      <w:r>
        <w:rPr>
          <w:spacing w:val="-3"/>
          <w:sz w:val="22"/>
        </w:rPr>
        <w:t> </w:t>
      </w:r>
      <w:r>
        <w:rPr>
          <w:sz w:val="22"/>
        </w:rPr>
        <w:t>definition</w:t>
      </w:r>
      <w:r>
        <w:rPr>
          <w:spacing w:val="-4"/>
          <w:sz w:val="22"/>
        </w:rPr>
        <w:t> </w:t>
      </w:r>
      <w:r>
        <w:rPr>
          <w:sz w:val="22"/>
        </w:rPr>
        <w:t>of</w:t>
      </w:r>
      <w:r>
        <w:rPr>
          <w:spacing w:val="-1"/>
          <w:sz w:val="22"/>
        </w:rPr>
        <w:t> </w:t>
      </w:r>
      <w:r>
        <w:rPr>
          <w:spacing w:val="-2"/>
          <w:sz w:val="22"/>
        </w:rPr>
        <w:t>affordability.</w:t>
      </w:r>
    </w:p>
    <w:p>
      <w:pPr>
        <w:pStyle w:val="BodyText"/>
        <w:spacing w:before="10"/>
        <w:rPr>
          <w:sz w:val="21"/>
        </w:rPr>
      </w:pPr>
    </w:p>
    <w:p>
      <w:pPr>
        <w:pStyle w:val="BodyText"/>
        <w:spacing w:before="1"/>
        <w:ind w:left="120" w:right="155"/>
      </w:pPr>
      <w:r>
        <w:rPr/>
        <w:t>Owners must exhibit a cash equity participation of at least 10% in the rental property proposed for rehabilitation. Note: Housing tax credits proceeds are to be treated as equity.</w:t>
      </w:r>
    </w:p>
    <w:p>
      <w:pPr>
        <w:pStyle w:val="BodyText"/>
        <w:spacing w:before="10"/>
        <w:rPr>
          <w:sz w:val="21"/>
        </w:rPr>
      </w:pPr>
    </w:p>
    <w:p>
      <w:pPr>
        <w:pStyle w:val="Heading5"/>
        <w:jc w:val="left"/>
      </w:pPr>
      <w:r>
        <w:rPr/>
        <w:t>Loan</w:t>
      </w:r>
      <w:r>
        <w:rPr>
          <w:spacing w:val="-5"/>
        </w:rPr>
        <w:t> </w:t>
      </w:r>
      <w:r>
        <w:rPr>
          <w:spacing w:val="-2"/>
        </w:rPr>
        <w:t>Terms</w:t>
      </w:r>
    </w:p>
    <w:p>
      <w:pPr>
        <w:spacing w:after="0"/>
        <w:jc w:val="left"/>
        <w:sectPr>
          <w:pgSz w:w="12240" w:h="15840"/>
          <w:pgMar w:header="0" w:footer="1738" w:top="1580" w:bottom="1920" w:left="1320" w:right="1280"/>
        </w:sectPr>
      </w:pPr>
    </w:p>
    <w:p>
      <w:pPr>
        <w:pStyle w:val="BodyText"/>
        <w:spacing w:before="80"/>
        <w:ind w:left="120" w:right="152"/>
        <w:jc w:val="both"/>
      </w:pPr>
      <w:r>
        <w:rPr/>
        <w:pict>
          <v:shape style="position:absolute;margin-left:90.065002pt;margin-top:101.208832pt;width:395.3pt;height:419pt;mso-position-horizontal-relative:page;mso-position-vertical-relative:paragraph;z-index:-17709056" id="docshape71" coordorigin="1801,2024" coordsize="7906,8380" path="m4498,9288l4492,9215,4477,9136,4455,9054,4432,8984,4403,8912,4367,8837,4325,8759,4276,8679,4237,8620,4200,8569,4200,9255,4197,9311,4186,9368,4167,9425,4138,9485,4097,9548,4044,9614,3979,9683,3674,9989,2216,8531,2517,8230,2598,8154,2672,8094,2740,8051,2801,8024,2868,8009,2941,8005,3020,8012,3105,8030,3195,8059,3255,8085,3317,8117,3380,8156,3446,8201,3514,8252,3584,8311,3656,8375,3729,8447,3789,8508,3845,8568,3896,8627,3943,8685,3986,8742,4025,8797,4059,8851,4101,8926,4136,8998,4163,9067,4183,9134,4196,9198,4200,9255,4200,8569,4194,8560,4148,8500,4098,8439,4045,8378,3989,8317,3929,8255,3865,8193,3801,8135,3737,8080,3673,8028,3643,8005,3609,7980,3546,7936,3482,7894,3419,7857,3346,7819,3274,7786,3203,7759,3132,7737,3062,7720,2992,7708,2923,7701,2850,7699,2779,7706,2709,7721,2642,7744,2577,7774,2528,7803,2476,7840,2420,7885,2359,7939,2294,8002,1801,8495,3710,10403,4124,9989,4226,9887,4287,9822,4341,9756,4386,9690,4424,9624,4454,9557,4476,9491,4491,9424,4498,9356,4498,9288xm6418,7695l6056,7567,5650,7424,5561,7395,5475,7371,5393,7352,5365,7347,5314,7338,5239,7328,5193,7326,5143,7329,5089,7336,5030,7347,5073,7277,5109,7208,5136,7139,5154,7070,5164,7001,5165,6933,5157,6865,5139,6787,5111,6711,5075,6636,5030,6564,4976,6493,4956,6470,4913,6424,4872,6386,4872,6943,4868,6999,4854,7054,4830,7110,4794,7169,4747,7230,4687,7293,4280,7701,3649,7069,4102,6616,4166,6559,4229,6516,4293,6487,4358,6471,4422,6470,4501,6485,4577,6515,4649,6560,4718,6619,4761,6667,4797,6718,4827,6772,4851,6828,4867,6886,4872,6943,4872,6386,4849,6365,4782,6312,4713,6267,4641,6228,4566,6196,4474,6168,4386,6155,4303,6157,4225,6173,4163,6198,4098,6234,4030,6283,3958,6342,3883,6413,3248,7048,5157,8956,5346,8767,4499,7919,4718,7701,4753,7666,4783,7639,4810,7618,4833,7603,4863,7590,4896,7579,4932,7571,4971,7567,5014,7567,5066,7572,5125,7583,5194,7599,5256,7616,5328,7637,5407,7662,5496,7691,6180,7933,6418,7695xm7780,6332l7415,6137,6555,5683,6555,5990,6070,6476,6030,6404,5989,6332,5748,5902,5708,5830,5668,5759,5629,5693,5590,5628,5550,5564,5509,5501,5467,5439,5424,5378,5380,5317,5436,5353,5498,5391,5564,5430,5635,5472,5792,5563,6555,5990,6555,5683,5862,5317,5286,5010,5082,5214,5277,5565,5316,5635,5701,6332,6207,7251,6441,7672,6642,7471,6565,7338,6298,6869,6221,6736,6481,6476,6820,6137,7173,6332,7565,6548,7780,6332xm8131,5982l7264,5115,7936,4443,7711,4218,7039,4890,6448,4299,7224,3523,6999,3297,6033,4263,7941,6171,8131,5982xm9707,4406l8024,2723,8497,2249,8272,2024,7138,3159,7363,3384,7834,2912,9517,4595,9707,4406xe" filled="true" fillcolor="#c0c0c0" stroked="false">
            <v:path arrowok="t"/>
            <v:fill opacity="32896f" type="solid"/>
            <w10:wrap type="none"/>
          </v:shape>
        </w:pict>
      </w:r>
      <w:r>
        <w:rPr/>
        <w:t>Financial assistance can be provided in the form of a repayable loan as negotiated on a project by project basis and</w:t>
      </w:r>
      <w:r>
        <w:rPr>
          <w:spacing w:val="-3"/>
        </w:rPr>
        <w:t> </w:t>
      </w:r>
      <w:r>
        <w:rPr/>
        <w:t>demonstrated by</w:t>
      </w:r>
      <w:r>
        <w:rPr>
          <w:spacing w:val="-2"/>
        </w:rPr>
        <w:t> </w:t>
      </w:r>
      <w:r>
        <w:rPr/>
        <w:t>the</w:t>
      </w:r>
      <w:r>
        <w:rPr>
          <w:spacing w:val="-3"/>
        </w:rPr>
        <w:t> </w:t>
      </w:r>
      <w:r>
        <w:rPr/>
        <w:t>financial</w:t>
      </w:r>
      <w:r>
        <w:rPr>
          <w:spacing w:val="-1"/>
        </w:rPr>
        <w:t> </w:t>
      </w:r>
      <w:r>
        <w:rPr/>
        <w:t>underwriting. The</w:t>
      </w:r>
      <w:r>
        <w:rPr>
          <w:spacing w:val="-3"/>
        </w:rPr>
        <w:t> </w:t>
      </w:r>
      <w:r>
        <w:rPr/>
        <w:t>City</w:t>
      </w:r>
      <w:r>
        <w:rPr>
          <w:spacing w:val="-2"/>
        </w:rPr>
        <w:t> </w:t>
      </w:r>
      <w:r>
        <w:rPr/>
        <w:t>loan is</w:t>
      </w:r>
      <w:r>
        <w:rPr>
          <w:spacing w:val="-2"/>
        </w:rPr>
        <w:t> </w:t>
      </w:r>
      <w:r>
        <w:rPr/>
        <w:t>fully repayable, and the interest rate varies by the type of Borrower.</w:t>
      </w:r>
      <w:r>
        <w:rPr>
          <w:spacing w:val="40"/>
        </w:rPr>
        <w:t> </w:t>
      </w:r>
      <w:r>
        <w:rPr/>
        <w:t>The City may structure loans for projects including</w:t>
      </w:r>
      <w:r>
        <w:rPr>
          <w:spacing w:val="-11"/>
        </w:rPr>
        <w:t> </w:t>
      </w:r>
      <w:r>
        <w:rPr/>
        <w:t>permanent</w:t>
      </w:r>
      <w:r>
        <w:rPr>
          <w:spacing w:val="-10"/>
        </w:rPr>
        <w:t> </w:t>
      </w:r>
      <w:r>
        <w:rPr/>
        <w:t>supportive</w:t>
      </w:r>
      <w:r>
        <w:rPr>
          <w:spacing w:val="-11"/>
        </w:rPr>
        <w:t> </w:t>
      </w:r>
      <w:r>
        <w:rPr/>
        <w:t>housing</w:t>
      </w:r>
      <w:r>
        <w:rPr>
          <w:spacing w:val="-11"/>
        </w:rPr>
        <w:t> </w:t>
      </w:r>
      <w:r>
        <w:rPr/>
        <w:t>units</w:t>
      </w:r>
      <w:r>
        <w:rPr>
          <w:spacing w:val="-11"/>
        </w:rPr>
        <w:t> </w:t>
      </w:r>
      <w:r>
        <w:rPr/>
        <w:t>as</w:t>
      </w:r>
      <w:r>
        <w:rPr>
          <w:spacing w:val="-13"/>
        </w:rPr>
        <w:t> </w:t>
      </w:r>
      <w:r>
        <w:rPr/>
        <w:t>forgivable</w:t>
      </w:r>
      <w:r>
        <w:rPr>
          <w:spacing w:val="-11"/>
        </w:rPr>
        <w:t> </w:t>
      </w:r>
      <w:r>
        <w:rPr/>
        <w:t>loans.</w:t>
      </w:r>
      <w:r>
        <w:rPr>
          <w:spacing w:val="40"/>
        </w:rPr>
        <w:t> </w:t>
      </w:r>
      <w:r>
        <w:rPr/>
        <w:t>The</w:t>
      </w:r>
      <w:r>
        <w:rPr>
          <w:spacing w:val="-11"/>
        </w:rPr>
        <w:t> </w:t>
      </w:r>
      <w:r>
        <w:rPr/>
        <w:t>interest</w:t>
      </w:r>
      <w:r>
        <w:rPr>
          <w:spacing w:val="-12"/>
        </w:rPr>
        <w:t> </w:t>
      </w:r>
      <w:r>
        <w:rPr/>
        <w:t>rate</w:t>
      </w:r>
      <w:r>
        <w:rPr>
          <w:spacing w:val="-14"/>
        </w:rPr>
        <w:t> </w:t>
      </w:r>
      <w:r>
        <w:rPr/>
        <w:t>for</w:t>
      </w:r>
      <w:r>
        <w:rPr>
          <w:spacing w:val="-10"/>
        </w:rPr>
        <w:t> </w:t>
      </w:r>
      <w:r>
        <w:rPr/>
        <w:t>a</w:t>
      </w:r>
      <w:r>
        <w:rPr>
          <w:spacing w:val="-11"/>
        </w:rPr>
        <w:t> </w:t>
      </w:r>
      <w:r>
        <w:rPr/>
        <w:t>qualified CHDO Borrower or Sponsor shall be zero percent (0%) simple annual interest. The interest rate for a qualified nonprofit Borrower or Sponsors shall be one percent (1%) simple annual interest. The</w:t>
      </w:r>
      <w:r>
        <w:rPr>
          <w:spacing w:val="-4"/>
        </w:rPr>
        <w:t> </w:t>
      </w:r>
      <w:r>
        <w:rPr/>
        <w:t>base</w:t>
      </w:r>
      <w:r>
        <w:rPr>
          <w:spacing w:val="-6"/>
        </w:rPr>
        <w:t> </w:t>
      </w:r>
      <w:r>
        <w:rPr/>
        <w:t>interest</w:t>
      </w:r>
      <w:r>
        <w:rPr>
          <w:spacing w:val="-5"/>
        </w:rPr>
        <w:t> </w:t>
      </w:r>
      <w:r>
        <w:rPr/>
        <w:t>rate</w:t>
      </w:r>
      <w:r>
        <w:rPr>
          <w:spacing w:val="-7"/>
        </w:rPr>
        <w:t> </w:t>
      </w:r>
      <w:r>
        <w:rPr/>
        <w:t>for</w:t>
      </w:r>
      <w:r>
        <w:rPr>
          <w:spacing w:val="-5"/>
        </w:rPr>
        <w:t> </w:t>
      </w:r>
      <w:r>
        <w:rPr/>
        <w:t>all</w:t>
      </w:r>
      <w:r>
        <w:rPr>
          <w:spacing w:val="-5"/>
        </w:rPr>
        <w:t> </w:t>
      </w:r>
      <w:r>
        <w:rPr/>
        <w:t>other</w:t>
      </w:r>
      <w:r>
        <w:rPr>
          <w:spacing w:val="-3"/>
        </w:rPr>
        <w:t> </w:t>
      </w:r>
      <w:r>
        <w:rPr/>
        <w:t>Borrowers</w:t>
      </w:r>
      <w:r>
        <w:rPr>
          <w:spacing w:val="-4"/>
        </w:rPr>
        <w:t> </w:t>
      </w:r>
      <w:r>
        <w:rPr/>
        <w:t>shall</w:t>
      </w:r>
      <w:r>
        <w:rPr>
          <w:spacing w:val="-7"/>
        </w:rPr>
        <w:t> </w:t>
      </w:r>
      <w:r>
        <w:rPr/>
        <w:t>be</w:t>
      </w:r>
      <w:r>
        <w:rPr>
          <w:spacing w:val="-6"/>
        </w:rPr>
        <w:t> </w:t>
      </w:r>
      <w:r>
        <w:rPr/>
        <w:t>three</w:t>
      </w:r>
      <w:r>
        <w:rPr>
          <w:spacing w:val="-6"/>
        </w:rPr>
        <w:t> </w:t>
      </w:r>
      <w:r>
        <w:rPr/>
        <w:t>percent</w:t>
      </w:r>
      <w:r>
        <w:rPr>
          <w:spacing w:val="-5"/>
        </w:rPr>
        <w:t> </w:t>
      </w:r>
      <w:r>
        <w:rPr/>
        <w:t>(3%).</w:t>
      </w:r>
      <w:r>
        <w:rPr>
          <w:spacing w:val="-7"/>
        </w:rPr>
        <w:t> </w:t>
      </w:r>
      <w:r>
        <w:rPr/>
        <w:t>However,</w:t>
      </w:r>
      <w:r>
        <w:rPr>
          <w:spacing w:val="-5"/>
        </w:rPr>
        <w:t> </w:t>
      </w:r>
      <w:r>
        <w:rPr/>
        <w:t>the</w:t>
      </w:r>
      <w:r>
        <w:rPr>
          <w:spacing w:val="-6"/>
        </w:rPr>
        <w:t> </w:t>
      </w:r>
      <w:r>
        <w:rPr/>
        <w:t>3%</w:t>
      </w:r>
      <w:r>
        <w:rPr>
          <w:spacing w:val="-5"/>
        </w:rPr>
        <w:t> </w:t>
      </w:r>
      <w:r>
        <w:rPr/>
        <w:t>base rate can be reduced through a combination of one or more Borrower concessions:</w:t>
      </w:r>
    </w:p>
    <w:p>
      <w:pPr>
        <w:pStyle w:val="ListParagraph"/>
        <w:numPr>
          <w:ilvl w:val="1"/>
          <w:numId w:val="16"/>
        </w:numPr>
        <w:tabs>
          <w:tab w:pos="840" w:val="left" w:leader="none"/>
          <w:tab w:pos="841" w:val="left" w:leader="none"/>
        </w:tabs>
        <w:spacing w:line="237" w:lineRule="auto" w:before="3" w:after="0"/>
        <w:ind w:left="840" w:right="160" w:hanging="361"/>
        <w:jc w:val="left"/>
        <w:rPr>
          <w:rFonts w:ascii="Symbol" w:hAnsi="Symbol"/>
          <w:sz w:val="22"/>
        </w:rPr>
      </w:pPr>
      <w:r>
        <w:rPr>
          <w:sz w:val="22"/>
        </w:rPr>
        <w:t>A</w:t>
      </w:r>
      <w:r>
        <w:rPr>
          <w:spacing w:val="-5"/>
          <w:sz w:val="22"/>
        </w:rPr>
        <w:t> </w:t>
      </w:r>
      <w:r>
        <w:rPr>
          <w:sz w:val="22"/>
        </w:rPr>
        <w:t>Borrower</w:t>
      </w:r>
      <w:r>
        <w:rPr>
          <w:spacing w:val="-6"/>
          <w:sz w:val="22"/>
        </w:rPr>
        <w:t> </w:t>
      </w:r>
      <w:r>
        <w:rPr>
          <w:sz w:val="22"/>
        </w:rPr>
        <w:t>guarantee</w:t>
      </w:r>
      <w:r>
        <w:rPr>
          <w:spacing w:val="-6"/>
          <w:sz w:val="22"/>
        </w:rPr>
        <w:t> </w:t>
      </w:r>
      <w:r>
        <w:rPr>
          <w:sz w:val="22"/>
        </w:rPr>
        <w:t>to</w:t>
      </w:r>
      <w:r>
        <w:rPr>
          <w:spacing w:val="-9"/>
          <w:sz w:val="22"/>
        </w:rPr>
        <w:t> </w:t>
      </w:r>
      <w:r>
        <w:rPr>
          <w:sz w:val="22"/>
        </w:rPr>
        <w:t>make</w:t>
      </w:r>
      <w:r>
        <w:rPr>
          <w:spacing w:val="-5"/>
          <w:sz w:val="22"/>
        </w:rPr>
        <w:t> </w:t>
      </w:r>
      <w:r>
        <w:rPr>
          <w:sz w:val="22"/>
        </w:rPr>
        <w:t>annual</w:t>
      </w:r>
      <w:r>
        <w:rPr>
          <w:spacing w:val="-7"/>
          <w:sz w:val="22"/>
        </w:rPr>
        <w:t> </w:t>
      </w:r>
      <w:r>
        <w:rPr>
          <w:sz w:val="22"/>
        </w:rPr>
        <w:t>interest</w:t>
      </w:r>
      <w:r>
        <w:rPr>
          <w:spacing w:val="-4"/>
          <w:sz w:val="22"/>
        </w:rPr>
        <w:t> </w:t>
      </w:r>
      <w:r>
        <w:rPr>
          <w:sz w:val="22"/>
        </w:rPr>
        <w:t>payments</w:t>
      </w:r>
      <w:r>
        <w:rPr>
          <w:spacing w:val="-6"/>
          <w:sz w:val="22"/>
        </w:rPr>
        <w:t> </w:t>
      </w:r>
      <w:r>
        <w:rPr>
          <w:sz w:val="22"/>
        </w:rPr>
        <w:t>will</w:t>
      </w:r>
      <w:r>
        <w:rPr>
          <w:spacing w:val="-6"/>
          <w:sz w:val="22"/>
        </w:rPr>
        <w:t> </w:t>
      </w:r>
      <w:r>
        <w:rPr>
          <w:sz w:val="22"/>
        </w:rPr>
        <w:t>reduce</w:t>
      </w:r>
      <w:r>
        <w:rPr>
          <w:spacing w:val="-5"/>
          <w:sz w:val="22"/>
        </w:rPr>
        <w:t> </w:t>
      </w:r>
      <w:r>
        <w:rPr>
          <w:sz w:val="22"/>
        </w:rPr>
        <w:t>base</w:t>
      </w:r>
      <w:r>
        <w:rPr>
          <w:spacing w:val="-6"/>
          <w:sz w:val="22"/>
        </w:rPr>
        <w:t> </w:t>
      </w:r>
      <w:r>
        <w:rPr>
          <w:sz w:val="22"/>
        </w:rPr>
        <w:t>interest</w:t>
      </w:r>
      <w:r>
        <w:rPr>
          <w:spacing w:val="-6"/>
          <w:sz w:val="22"/>
        </w:rPr>
        <w:t> </w:t>
      </w:r>
      <w:r>
        <w:rPr>
          <w:sz w:val="22"/>
        </w:rPr>
        <w:t>rate</w:t>
      </w:r>
      <w:r>
        <w:rPr>
          <w:spacing w:val="-6"/>
          <w:sz w:val="22"/>
        </w:rPr>
        <w:t> </w:t>
      </w:r>
      <w:r>
        <w:rPr>
          <w:sz w:val="22"/>
        </w:rPr>
        <w:t>by </w:t>
      </w:r>
      <w:r>
        <w:rPr>
          <w:spacing w:val="-4"/>
          <w:sz w:val="22"/>
        </w:rPr>
        <w:t>1%;</w:t>
      </w:r>
    </w:p>
    <w:p>
      <w:pPr>
        <w:pStyle w:val="ListParagraph"/>
        <w:numPr>
          <w:ilvl w:val="1"/>
          <w:numId w:val="16"/>
        </w:numPr>
        <w:tabs>
          <w:tab w:pos="840" w:val="left" w:leader="none"/>
          <w:tab w:pos="841" w:val="left" w:leader="none"/>
        </w:tabs>
        <w:spacing w:line="237" w:lineRule="auto" w:before="3" w:after="0"/>
        <w:ind w:left="840" w:right="153" w:hanging="361"/>
        <w:jc w:val="left"/>
        <w:rPr>
          <w:rFonts w:ascii="Symbol" w:hAnsi="Symbol"/>
          <w:sz w:val="22"/>
        </w:rPr>
      </w:pPr>
      <w:r>
        <w:rPr>
          <w:sz w:val="22"/>
        </w:rPr>
        <w:t>Borrower agreement to limit loan maturity to 20 years or less reduces base interest rate by 1%; or</w:t>
      </w:r>
    </w:p>
    <w:p>
      <w:pPr>
        <w:pStyle w:val="ListParagraph"/>
        <w:numPr>
          <w:ilvl w:val="1"/>
          <w:numId w:val="16"/>
        </w:numPr>
        <w:tabs>
          <w:tab w:pos="840" w:val="left" w:leader="none"/>
          <w:tab w:pos="841" w:val="left" w:leader="none"/>
        </w:tabs>
        <w:spacing w:line="237" w:lineRule="auto" w:before="4" w:after="0"/>
        <w:ind w:left="840" w:right="157" w:hanging="361"/>
        <w:jc w:val="left"/>
        <w:rPr>
          <w:rFonts w:ascii="Symbol" w:hAnsi="Symbol"/>
          <w:sz w:val="22"/>
        </w:rPr>
      </w:pPr>
      <w:r>
        <w:rPr>
          <w:sz w:val="22"/>
        </w:rPr>
        <w:t>Borrower</w:t>
      </w:r>
      <w:r>
        <w:rPr>
          <w:spacing w:val="-2"/>
          <w:sz w:val="22"/>
        </w:rPr>
        <w:t> </w:t>
      </w:r>
      <w:r>
        <w:rPr>
          <w:sz w:val="22"/>
        </w:rPr>
        <w:t>guarantee</w:t>
      </w:r>
      <w:r>
        <w:rPr>
          <w:spacing w:val="-3"/>
          <w:sz w:val="22"/>
        </w:rPr>
        <w:t> </w:t>
      </w:r>
      <w:r>
        <w:rPr>
          <w:sz w:val="22"/>
        </w:rPr>
        <w:t>of</w:t>
      </w:r>
      <w:r>
        <w:rPr>
          <w:spacing w:val="-2"/>
          <w:sz w:val="22"/>
        </w:rPr>
        <w:t> </w:t>
      </w:r>
      <w:r>
        <w:rPr>
          <w:sz w:val="22"/>
        </w:rPr>
        <w:t>annual</w:t>
      </w:r>
      <w:r>
        <w:rPr>
          <w:spacing w:val="-2"/>
          <w:sz w:val="22"/>
        </w:rPr>
        <w:t> </w:t>
      </w:r>
      <w:r>
        <w:rPr>
          <w:sz w:val="22"/>
        </w:rPr>
        <w:t>interest</w:t>
      </w:r>
      <w:r>
        <w:rPr>
          <w:spacing w:val="-2"/>
          <w:sz w:val="22"/>
        </w:rPr>
        <w:t> </w:t>
      </w:r>
      <w:r>
        <w:rPr>
          <w:sz w:val="22"/>
        </w:rPr>
        <w:t>and</w:t>
      </w:r>
      <w:r>
        <w:rPr>
          <w:spacing w:val="-3"/>
          <w:sz w:val="22"/>
        </w:rPr>
        <w:t> </w:t>
      </w:r>
      <w:r>
        <w:rPr>
          <w:sz w:val="22"/>
        </w:rPr>
        <w:t>principal</w:t>
      </w:r>
      <w:r>
        <w:rPr>
          <w:spacing w:val="-2"/>
          <w:sz w:val="22"/>
        </w:rPr>
        <w:t> </w:t>
      </w:r>
      <w:r>
        <w:rPr>
          <w:sz w:val="22"/>
        </w:rPr>
        <w:t>payments</w:t>
      </w:r>
      <w:r>
        <w:rPr>
          <w:spacing w:val="-2"/>
          <w:sz w:val="22"/>
        </w:rPr>
        <w:t> </w:t>
      </w:r>
      <w:r>
        <w:rPr>
          <w:sz w:val="22"/>
        </w:rPr>
        <w:t>reduces</w:t>
      </w:r>
      <w:r>
        <w:rPr>
          <w:spacing w:val="-2"/>
          <w:sz w:val="22"/>
        </w:rPr>
        <w:t> </w:t>
      </w:r>
      <w:r>
        <w:rPr>
          <w:sz w:val="22"/>
        </w:rPr>
        <w:t>base</w:t>
      </w:r>
      <w:r>
        <w:rPr>
          <w:spacing w:val="-1"/>
          <w:sz w:val="22"/>
        </w:rPr>
        <w:t> </w:t>
      </w:r>
      <w:r>
        <w:rPr>
          <w:sz w:val="22"/>
        </w:rPr>
        <w:t>interest</w:t>
      </w:r>
      <w:r>
        <w:rPr>
          <w:spacing w:val="-4"/>
          <w:sz w:val="22"/>
        </w:rPr>
        <w:t> </w:t>
      </w:r>
      <w:r>
        <w:rPr>
          <w:sz w:val="22"/>
        </w:rPr>
        <w:t>rate by 2%.</w:t>
      </w:r>
    </w:p>
    <w:p>
      <w:pPr>
        <w:pStyle w:val="BodyText"/>
      </w:pPr>
    </w:p>
    <w:p>
      <w:pPr>
        <w:pStyle w:val="BodyText"/>
        <w:ind w:left="120" w:right="158"/>
        <w:jc w:val="both"/>
      </w:pPr>
      <w:r>
        <w:rPr/>
        <w:t>The</w:t>
      </w:r>
      <w:r>
        <w:rPr>
          <w:spacing w:val="-9"/>
        </w:rPr>
        <w:t> </w:t>
      </w:r>
      <w:r>
        <w:rPr/>
        <w:t>Borrower</w:t>
      </w:r>
      <w:r>
        <w:rPr>
          <w:spacing w:val="-10"/>
        </w:rPr>
        <w:t> </w:t>
      </w:r>
      <w:r>
        <w:rPr/>
        <w:t>can</w:t>
      </w:r>
      <w:r>
        <w:rPr>
          <w:spacing w:val="-11"/>
        </w:rPr>
        <w:t> </w:t>
      </w:r>
      <w:r>
        <w:rPr/>
        <w:t>combine</w:t>
      </w:r>
      <w:r>
        <w:rPr>
          <w:spacing w:val="-9"/>
        </w:rPr>
        <w:t> </w:t>
      </w:r>
      <w:r>
        <w:rPr/>
        <w:t>a)</w:t>
      </w:r>
      <w:r>
        <w:rPr>
          <w:spacing w:val="-10"/>
        </w:rPr>
        <w:t> </w:t>
      </w:r>
      <w:r>
        <w:rPr/>
        <w:t>and</w:t>
      </w:r>
      <w:r>
        <w:rPr>
          <w:spacing w:val="-11"/>
        </w:rPr>
        <w:t> </w:t>
      </w:r>
      <w:r>
        <w:rPr/>
        <w:t>b)</w:t>
      </w:r>
      <w:r>
        <w:rPr>
          <w:spacing w:val="-10"/>
        </w:rPr>
        <w:t> </w:t>
      </w:r>
      <w:r>
        <w:rPr/>
        <w:t>above</w:t>
      </w:r>
      <w:r>
        <w:rPr>
          <w:spacing w:val="-11"/>
        </w:rPr>
        <w:t> </w:t>
      </w:r>
      <w:r>
        <w:rPr/>
        <w:t>to</w:t>
      </w:r>
      <w:r>
        <w:rPr>
          <w:spacing w:val="-14"/>
        </w:rPr>
        <w:t> </w:t>
      </w:r>
      <w:r>
        <w:rPr/>
        <w:t>reduce</w:t>
      </w:r>
      <w:r>
        <w:rPr>
          <w:spacing w:val="-11"/>
        </w:rPr>
        <w:t> </w:t>
      </w:r>
      <w:r>
        <w:rPr/>
        <w:t>the</w:t>
      </w:r>
      <w:r>
        <w:rPr>
          <w:spacing w:val="-11"/>
        </w:rPr>
        <w:t> </w:t>
      </w:r>
      <w:r>
        <w:rPr/>
        <w:t>3%</w:t>
      </w:r>
      <w:r>
        <w:rPr>
          <w:spacing w:val="-10"/>
        </w:rPr>
        <w:t> </w:t>
      </w:r>
      <w:r>
        <w:rPr/>
        <w:t>annual</w:t>
      </w:r>
      <w:r>
        <w:rPr>
          <w:spacing w:val="-12"/>
        </w:rPr>
        <w:t> </w:t>
      </w:r>
      <w:r>
        <w:rPr/>
        <w:t>simple</w:t>
      </w:r>
      <w:r>
        <w:rPr>
          <w:spacing w:val="-9"/>
        </w:rPr>
        <w:t> </w:t>
      </w:r>
      <w:r>
        <w:rPr/>
        <w:t>interest</w:t>
      </w:r>
      <w:r>
        <w:rPr>
          <w:spacing w:val="-10"/>
        </w:rPr>
        <w:t> </w:t>
      </w:r>
      <w:r>
        <w:rPr/>
        <w:t>base</w:t>
      </w:r>
      <w:r>
        <w:rPr>
          <w:spacing w:val="-11"/>
        </w:rPr>
        <w:t> </w:t>
      </w:r>
      <w:r>
        <w:rPr/>
        <w:t>interest rate by 2% to the 1% annual simple interest floor rate. However, in no instance can the floor interest rate be less than 1% annual simple interest for a Borrower in this category.</w:t>
      </w:r>
    </w:p>
    <w:p>
      <w:pPr>
        <w:pStyle w:val="BodyText"/>
        <w:spacing w:before="10"/>
        <w:rPr>
          <w:sz w:val="21"/>
        </w:rPr>
      </w:pPr>
    </w:p>
    <w:p>
      <w:pPr>
        <w:pStyle w:val="BodyText"/>
        <w:ind w:left="120" w:right="156"/>
        <w:jc w:val="both"/>
      </w:pPr>
      <w:r>
        <w:rPr/>
        <w:t>Repayment terms will be negotiated based on project underwriting and after review of all other financing commitments. Repayment of loan principal and interest should be either:</w:t>
      </w:r>
    </w:p>
    <w:p>
      <w:pPr>
        <w:pStyle w:val="ListParagraph"/>
        <w:numPr>
          <w:ilvl w:val="1"/>
          <w:numId w:val="16"/>
        </w:numPr>
        <w:tabs>
          <w:tab w:pos="841" w:val="left" w:leader="none"/>
        </w:tabs>
        <w:spacing w:line="237" w:lineRule="auto" w:before="4" w:after="0"/>
        <w:ind w:left="840" w:right="155" w:hanging="361"/>
        <w:jc w:val="both"/>
        <w:rPr>
          <w:rFonts w:ascii="Symbol" w:hAnsi="Symbol"/>
          <w:sz w:val="22"/>
        </w:rPr>
      </w:pPr>
      <w:r>
        <w:rPr>
          <w:sz w:val="22"/>
        </w:rPr>
        <w:t>Equal</w:t>
      </w:r>
      <w:r>
        <w:rPr>
          <w:spacing w:val="-2"/>
          <w:sz w:val="22"/>
        </w:rPr>
        <w:t> </w:t>
      </w:r>
      <w:r>
        <w:rPr>
          <w:sz w:val="22"/>
        </w:rPr>
        <w:t>monthly</w:t>
      </w:r>
      <w:r>
        <w:rPr>
          <w:spacing w:val="-1"/>
          <w:sz w:val="22"/>
        </w:rPr>
        <w:t> </w:t>
      </w:r>
      <w:r>
        <w:rPr>
          <w:sz w:val="22"/>
        </w:rPr>
        <w:t>installments</w:t>
      </w:r>
      <w:r>
        <w:rPr>
          <w:spacing w:val="-1"/>
          <w:sz w:val="22"/>
        </w:rPr>
        <w:t> </w:t>
      </w:r>
      <w:r>
        <w:rPr>
          <w:sz w:val="22"/>
        </w:rPr>
        <w:t>over a</w:t>
      </w:r>
      <w:r>
        <w:rPr>
          <w:spacing w:val="-2"/>
          <w:sz w:val="22"/>
        </w:rPr>
        <w:t> </w:t>
      </w:r>
      <w:r>
        <w:rPr>
          <w:sz w:val="22"/>
        </w:rPr>
        <w:t>period</w:t>
      </w:r>
      <w:r>
        <w:rPr>
          <w:spacing w:val="-2"/>
          <w:sz w:val="22"/>
        </w:rPr>
        <w:t> </w:t>
      </w:r>
      <w:r>
        <w:rPr>
          <w:sz w:val="22"/>
        </w:rPr>
        <w:t>of</w:t>
      </w:r>
      <w:r>
        <w:rPr>
          <w:spacing w:val="-3"/>
          <w:sz w:val="22"/>
        </w:rPr>
        <w:t> </w:t>
      </w:r>
      <w:r>
        <w:rPr>
          <w:sz w:val="22"/>
        </w:rPr>
        <w:t>up</w:t>
      </w:r>
      <w:r>
        <w:rPr>
          <w:spacing w:val="-4"/>
          <w:sz w:val="22"/>
        </w:rPr>
        <w:t> </w:t>
      </w:r>
      <w:r>
        <w:rPr>
          <w:sz w:val="22"/>
        </w:rPr>
        <w:t>to</w:t>
      </w:r>
      <w:r>
        <w:rPr>
          <w:spacing w:val="-4"/>
          <w:sz w:val="22"/>
        </w:rPr>
        <w:t> </w:t>
      </w:r>
      <w:r>
        <w:rPr>
          <w:sz w:val="22"/>
        </w:rPr>
        <w:t>300</w:t>
      </w:r>
      <w:r>
        <w:rPr>
          <w:spacing w:val="-2"/>
          <w:sz w:val="22"/>
        </w:rPr>
        <w:t> </w:t>
      </w:r>
      <w:r>
        <w:rPr>
          <w:sz w:val="22"/>
        </w:rPr>
        <w:t>months.</w:t>
      </w:r>
      <w:r>
        <w:rPr>
          <w:spacing w:val="-2"/>
          <w:sz w:val="22"/>
        </w:rPr>
        <w:t> </w:t>
      </w:r>
      <w:r>
        <w:rPr>
          <w:sz w:val="22"/>
        </w:rPr>
        <w:t>Subject</w:t>
      </w:r>
      <w:r>
        <w:rPr>
          <w:spacing w:val="-3"/>
          <w:sz w:val="22"/>
        </w:rPr>
        <w:t> </w:t>
      </w:r>
      <w:r>
        <w:rPr>
          <w:sz w:val="22"/>
        </w:rPr>
        <w:t>to</w:t>
      </w:r>
      <w:r>
        <w:rPr>
          <w:spacing w:val="-4"/>
          <w:sz w:val="22"/>
        </w:rPr>
        <w:t> </w:t>
      </w:r>
      <w:r>
        <w:rPr>
          <w:sz w:val="22"/>
        </w:rPr>
        <w:t>City</w:t>
      </w:r>
      <w:r>
        <w:rPr>
          <w:spacing w:val="-1"/>
          <w:sz w:val="22"/>
        </w:rPr>
        <w:t> </w:t>
      </w:r>
      <w:r>
        <w:rPr>
          <w:sz w:val="22"/>
        </w:rPr>
        <w:t>review</w:t>
      </w:r>
      <w:r>
        <w:rPr>
          <w:spacing w:val="-2"/>
          <w:sz w:val="22"/>
        </w:rPr>
        <w:t> </w:t>
      </w:r>
      <w:r>
        <w:rPr>
          <w:sz w:val="22"/>
        </w:rPr>
        <w:t>and approval,</w:t>
      </w:r>
      <w:r>
        <w:rPr>
          <w:spacing w:val="-3"/>
          <w:sz w:val="22"/>
        </w:rPr>
        <w:t> </w:t>
      </w:r>
      <w:r>
        <w:rPr>
          <w:sz w:val="22"/>
        </w:rPr>
        <w:t>multi-family</w:t>
      </w:r>
      <w:r>
        <w:rPr>
          <w:spacing w:val="-1"/>
          <w:sz w:val="22"/>
        </w:rPr>
        <w:t> </w:t>
      </w:r>
      <w:r>
        <w:rPr>
          <w:sz w:val="22"/>
        </w:rPr>
        <w:t>projects</w:t>
      </w:r>
      <w:r>
        <w:rPr>
          <w:spacing w:val="-1"/>
          <w:sz w:val="22"/>
        </w:rPr>
        <w:t> </w:t>
      </w:r>
      <w:r>
        <w:rPr>
          <w:sz w:val="22"/>
        </w:rPr>
        <w:t>may</w:t>
      </w:r>
      <w:r>
        <w:rPr>
          <w:spacing w:val="-1"/>
          <w:sz w:val="22"/>
        </w:rPr>
        <w:t> </w:t>
      </w:r>
      <w:r>
        <w:rPr>
          <w:sz w:val="22"/>
        </w:rPr>
        <w:t>have</w:t>
      </w:r>
      <w:r>
        <w:rPr>
          <w:spacing w:val="-4"/>
          <w:sz w:val="22"/>
        </w:rPr>
        <w:t> </w:t>
      </w:r>
      <w:r>
        <w:rPr>
          <w:sz w:val="22"/>
        </w:rPr>
        <w:t>up</w:t>
      </w:r>
      <w:r>
        <w:rPr>
          <w:spacing w:val="-2"/>
          <w:sz w:val="22"/>
        </w:rPr>
        <w:t> </w:t>
      </w:r>
      <w:r>
        <w:rPr>
          <w:sz w:val="22"/>
        </w:rPr>
        <w:t>to</w:t>
      </w:r>
      <w:r>
        <w:rPr>
          <w:spacing w:val="-4"/>
          <w:sz w:val="22"/>
        </w:rPr>
        <w:t> </w:t>
      </w:r>
      <w:r>
        <w:rPr>
          <w:sz w:val="22"/>
        </w:rPr>
        <w:t>24</w:t>
      </w:r>
      <w:r>
        <w:rPr>
          <w:spacing w:val="-4"/>
          <w:sz w:val="22"/>
        </w:rPr>
        <w:t> </w:t>
      </w:r>
      <w:r>
        <w:rPr>
          <w:sz w:val="22"/>
        </w:rPr>
        <w:t>months</w:t>
      </w:r>
      <w:r>
        <w:rPr>
          <w:spacing w:val="-4"/>
          <w:sz w:val="22"/>
        </w:rPr>
        <w:t> </w:t>
      </w:r>
      <w:r>
        <w:rPr>
          <w:sz w:val="22"/>
        </w:rPr>
        <w:t>(in</w:t>
      </w:r>
      <w:r>
        <w:rPr>
          <w:spacing w:val="-2"/>
          <w:sz w:val="22"/>
        </w:rPr>
        <w:t> </w:t>
      </w:r>
      <w:r>
        <w:rPr>
          <w:sz w:val="22"/>
        </w:rPr>
        <w:t>addition</w:t>
      </w:r>
      <w:r>
        <w:rPr>
          <w:spacing w:val="-2"/>
          <w:sz w:val="22"/>
        </w:rPr>
        <w:t> </w:t>
      </w:r>
      <w:r>
        <w:rPr>
          <w:sz w:val="22"/>
        </w:rPr>
        <w:t>to</w:t>
      </w:r>
      <w:r>
        <w:rPr>
          <w:spacing w:val="-4"/>
          <w:sz w:val="22"/>
        </w:rPr>
        <w:t> </w:t>
      </w:r>
      <w:r>
        <w:rPr>
          <w:sz w:val="22"/>
        </w:rPr>
        <w:t>the</w:t>
      </w:r>
      <w:r>
        <w:rPr>
          <w:spacing w:val="-2"/>
          <w:sz w:val="22"/>
        </w:rPr>
        <w:t> </w:t>
      </w:r>
      <w:r>
        <w:rPr>
          <w:sz w:val="22"/>
        </w:rPr>
        <w:t>above</w:t>
      </w:r>
      <w:r>
        <w:rPr>
          <w:spacing w:val="-2"/>
          <w:sz w:val="22"/>
        </w:rPr>
        <w:t> </w:t>
      </w:r>
      <w:r>
        <w:rPr>
          <w:sz w:val="22"/>
        </w:rPr>
        <w:t>stated maturity</w:t>
      </w:r>
      <w:r>
        <w:rPr>
          <w:spacing w:val="-9"/>
          <w:sz w:val="22"/>
        </w:rPr>
        <w:t> </w:t>
      </w:r>
      <w:r>
        <w:rPr>
          <w:sz w:val="22"/>
        </w:rPr>
        <w:t>of</w:t>
      </w:r>
      <w:r>
        <w:rPr>
          <w:spacing w:val="-8"/>
          <w:sz w:val="22"/>
        </w:rPr>
        <w:t> </w:t>
      </w:r>
      <w:r>
        <w:rPr>
          <w:sz w:val="22"/>
        </w:rPr>
        <w:t>300</w:t>
      </w:r>
      <w:r>
        <w:rPr>
          <w:spacing w:val="-10"/>
          <w:sz w:val="22"/>
        </w:rPr>
        <w:t> </w:t>
      </w:r>
      <w:r>
        <w:rPr>
          <w:sz w:val="22"/>
        </w:rPr>
        <w:t>months)</w:t>
      </w:r>
      <w:r>
        <w:rPr>
          <w:spacing w:val="-11"/>
          <w:sz w:val="22"/>
        </w:rPr>
        <w:t> </w:t>
      </w:r>
      <w:r>
        <w:rPr>
          <w:sz w:val="22"/>
        </w:rPr>
        <w:t>of</w:t>
      </w:r>
      <w:r>
        <w:rPr>
          <w:spacing w:val="-8"/>
          <w:sz w:val="22"/>
        </w:rPr>
        <w:t> </w:t>
      </w:r>
      <w:r>
        <w:rPr>
          <w:sz w:val="22"/>
        </w:rPr>
        <w:t>deferred</w:t>
      </w:r>
      <w:r>
        <w:rPr>
          <w:spacing w:val="-10"/>
          <w:sz w:val="22"/>
        </w:rPr>
        <w:t> </w:t>
      </w:r>
      <w:r>
        <w:rPr>
          <w:sz w:val="22"/>
        </w:rPr>
        <w:t>principal</w:t>
      </w:r>
      <w:r>
        <w:rPr>
          <w:spacing w:val="-10"/>
          <w:sz w:val="22"/>
        </w:rPr>
        <w:t> </w:t>
      </w:r>
      <w:r>
        <w:rPr>
          <w:sz w:val="22"/>
        </w:rPr>
        <w:t>and</w:t>
      </w:r>
      <w:r>
        <w:rPr>
          <w:spacing w:val="-10"/>
          <w:sz w:val="22"/>
        </w:rPr>
        <w:t> </w:t>
      </w:r>
      <w:r>
        <w:rPr>
          <w:sz w:val="22"/>
        </w:rPr>
        <w:t>interest</w:t>
      </w:r>
      <w:r>
        <w:rPr>
          <w:spacing w:val="-8"/>
          <w:sz w:val="22"/>
        </w:rPr>
        <w:t> </w:t>
      </w:r>
      <w:r>
        <w:rPr>
          <w:sz w:val="22"/>
        </w:rPr>
        <w:t>during</w:t>
      </w:r>
      <w:r>
        <w:rPr>
          <w:spacing w:val="-10"/>
          <w:sz w:val="22"/>
        </w:rPr>
        <w:t> </w:t>
      </w:r>
      <w:r>
        <w:rPr>
          <w:sz w:val="22"/>
        </w:rPr>
        <w:t>a</w:t>
      </w:r>
      <w:r>
        <w:rPr>
          <w:spacing w:val="-10"/>
          <w:sz w:val="22"/>
        </w:rPr>
        <w:t> </w:t>
      </w:r>
      <w:r>
        <w:rPr>
          <w:sz w:val="22"/>
        </w:rPr>
        <w:t>construction</w:t>
      </w:r>
      <w:r>
        <w:rPr>
          <w:spacing w:val="-10"/>
          <w:sz w:val="22"/>
        </w:rPr>
        <w:t> </w:t>
      </w:r>
      <w:r>
        <w:rPr>
          <w:sz w:val="22"/>
        </w:rPr>
        <w:t>and</w:t>
      </w:r>
      <w:r>
        <w:rPr>
          <w:spacing w:val="-10"/>
          <w:sz w:val="22"/>
        </w:rPr>
        <w:t> </w:t>
      </w:r>
      <w:r>
        <w:rPr>
          <w:sz w:val="22"/>
        </w:rPr>
        <w:t>lease- up; or,</w:t>
      </w:r>
    </w:p>
    <w:p>
      <w:pPr>
        <w:pStyle w:val="ListParagraph"/>
        <w:numPr>
          <w:ilvl w:val="1"/>
          <w:numId w:val="16"/>
        </w:numPr>
        <w:tabs>
          <w:tab w:pos="841" w:val="left" w:leader="none"/>
        </w:tabs>
        <w:spacing w:line="240" w:lineRule="auto" w:before="5" w:after="0"/>
        <w:ind w:left="840" w:right="154" w:hanging="361"/>
        <w:jc w:val="both"/>
        <w:rPr>
          <w:rFonts w:ascii="Symbol" w:hAnsi="Symbol"/>
          <w:sz w:val="22"/>
        </w:rPr>
      </w:pPr>
      <w:r>
        <w:rPr>
          <w:sz w:val="22"/>
        </w:rPr>
        <w:t>An</w:t>
      </w:r>
      <w:r>
        <w:rPr>
          <w:spacing w:val="-5"/>
          <w:sz w:val="22"/>
        </w:rPr>
        <w:t> </w:t>
      </w:r>
      <w:r>
        <w:rPr>
          <w:sz w:val="22"/>
        </w:rPr>
        <w:t>annual</w:t>
      </w:r>
      <w:r>
        <w:rPr>
          <w:spacing w:val="-6"/>
          <w:sz w:val="22"/>
        </w:rPr>
        <w:t> </w:t>
      </w:r>
      <w:r>
        <w:rPr>
          <w:sz w:val="22"/>
        </w:rPr>
        <w:t>surplus</w:t>
      </w:r>
      <w:r>
        <w:rPr>
          <w:spacing w:val="-6"/>
          <w:sz w:val="22"/>
        </w:rPr>
        <w:t> </w:t>
      </w:r>
      <w:r>
        <w:rPr>
          <w:sz w:val="22"/>
        </w:rPr>
        <w:t>cash</w:t>
      </w:r>
      <w:r>
        <w:rPr>
          <w:spacing w:val="-7"/>
          <w:sz w:val="22"/>
        </w:rPr>
        <w:t> </w:t>
      </w:r>
      <w:r>
        <w:rPr>
          <w:sz w:val="22"/>
        </w:rPr>
        <w:t>payment.</w:t>
      </w:r>
      <w:r>
        <w:rPr>
          <w:spacing w:val="-4"/>
          <w:sz w:val="22"/>
        </w:rPr>
        <w:t> </w:t>
      </w:r>
      <w:r>
        <w:rPr>
          <w:sz w:val="22"/>
        </w:rPr>
        <w:t>The</w:t>
      </w:r>
      <w:r>
        <w:rPr>
          <w:spacing w:val="-6"/>
          <w:sz w:val="22"/>
        </w:rPr>
        <w:t> </w:t>
      </w:r>
      <w:r>
        <w:rPr>
          <w:sz w:val="22"/>
        </w:rPr>
        <w:t>City’s</w:t>
      </w:r>
      <w:r>
        <w:rPr>
          <w:spacing w:val="-6"/>
          <w:sz w:val="22"/>
        </w:rPr>
        <w:t> </w:t>
      </w:r>
      <w:r>
        <w:rPr>
          <w:sz w:val="22"/>
        </w:rPr>
        <w:t>surplus</w:t>
      </w:r>
      <w:r>
        <w:rPr>
          <w:spacing w:val="-5"/>
          <w:sz w:val="22"/>
        </w:rPr>
        <w:t> </w:t>
      </w:r>
      <w:r>
        <w:rPr>
          <w:sz w:val="22"/>
        </w:rPr>
        <w:t>cash</w:t>
      </w:r>
      <w:r>
        <w:rPr>
          <w:spacing w:val="-5"/>
          <w:sz w:val="22"/>
        </w:rPr>
        <w:t> </w:t>
      </w:r>
      <w:r>
        <w:rPr>
          <w:sz w:val="22"/>
        </w:rPr>
        <w:t>loans</w:t>
      </w:r>
      <w:r>
        <w:rPr>
          <w:spacing w:val="-6"/>
          <w:sz w:val="22"/>
        </w:rPr>
        <w:t> </w:t>
      </w:r>
      <w:r>
        <w:rPr>
          <w:sz w:val="22"/>
        </w:rPr>
        <w:t>funding</w:t>
      </w:r>
      <w:r>
        <w:rPr>
          <w:spacing w:val="-5"/>
          <w:sz w:val="22"/>
        </w:rPr>
        <w:t> </w:t>
      </w:r>
      <w:r>
        <w:rPr>
          <w:sz w:val="22"/>
        </w:rPr>
        <w:t>will</w:t>
      </w:r>
      <w:r>
        <w:rPr>
          <w:spacing w:val="-6"/>
          <w:sz w:val="22"/>
        </w:rPr>
        <w:t> </w:t>
      </w:r>
      <w:r>
        <w:rPr>
          <w:sz w:val="22"/>
        </w:rPr>
        <w:t>be</w:t>
      </w:r>
      <w:r>
        <w:rPr>
          <w:spacing w:val="-5"/>
          <w:sz w:val="22"/>
        </w:rPr>
        <w:t> </w:t>
      </w:r>
      <w:r>
        <w:rPr>
          <w:sz w:val="22"/>
        </w:rPr>
        <w:t>structured with note provisions requiring that at least 50% of Eligible Cash in excess of $50,000 be paid</w:t>
      </w:r>
      <w:r>
        <w:rPr>
          <w:spacing w:val="-3"/>
          <w:sz w:val="22"/>
        </w:rPr>
        <w:t> </w:t>
      </w:r>
      <w:r>
        <w:rPr>
          <w:sz w:val="22"/>
        </w:rPr>
        <w:t>annually</w:t>
      </w:r>
      <w:r>
        <w:rPr>
          <w:spacing w:val="-2"/>
          <w:sz w:val="22"/>
        </w:rPr>
        <w:t> </w:t>
      </w:r>
      <w:r>
        <w:rPr>
          <w:sz w:val="22"/>
        </w:rPr>
        <w:t>to</w:t>
      </w:r>
      <w:r>
        <w:rPr>
          <w:spacing w:val="-3"/>
          <w:sz w:val="22"/>
        </w:rPr>
        <w:t> </w:t>
      </w:r>
      <w:r>
        <w:rPr>
          <w:sz w:val="22"/>
        </w:rPr>
        <w:t>subordinate</w:t>
      </w:r>
      <w:r>
        <w:rPr>
          <w:spacing w:val="-3"/>
          <w:sz w:val="22"/>
        </w:rPr>
        <w:t> </w:t>
      </w:r>
      <w:r>
        <w:rPr>
          <w:sz w:val="22"/>
        </w:rPr>
        <w:t>lenders</w:t>
      </w:r>
      <w:r>
        <w:rPr>
          <w:spacing w:val="-5"/>
          <w:sz w:val="22"/>
        </w:rPr>
        <w:t> </w:t>
      </w:r>
      <w:r>
        <w:rPr>
          <w:sz w:val="22"/>
        </w:rPr>
        <w:t>(including</w:t>
      </w:r>
      <w:r>
        <w:rPr>
          <w:spacing w:val="-3"/>
          <w:sz w:val="22"/>
        </w:rPr>
        <w:t> </w:t>
      </w:r>
      <w:r>
        <w:rPr>
          <w:sz w:val="22"/>
        </w:rPr>
        <w:t>funding</w:t>
      </w:r>
      <w:r>
        <w:rPr>
          <w:spacing w:val="-3"/>
          <w:sz w:val="22"/>
        </w:rPr>
        <w:t> </w:t>
      </w:r>
      <w:r>
        <w:rPr>
          <w:sz w:val="22"/>
        </w:rPr>
        <w:t>partners</w:t>
      </w:r>
      <w:r>
        <w:rPr>
          <w:spacing w:val="-2"/>
          <w:sz w:val="22"/>
        </w:rPr>
        <w:t> </w:t>
      </w:r>
      <w:r>
        <w:rPr>
          <w:sz w:val="22"/>
        </w:rPr>
        <w:t>and</w:t>
      </w:r>
      <w:r>
        <w:rPr>
          <w:spacing w:val="-5"/>
          <w:sz w:val="22"/>
        </w:rPr>
        <w:t> </w:t>
      </w:r>
      <w:r>
        <w:rPr>
          <w:sz w:val="22"/>
        </w:rPr>
        <w:t>related</w:t>
      </w:r>
      <w:r>
        <w:rPr>
          <w:spacing w:val="-3"/>
          <w:sz w:val="22"/>
        </w:rPr>
        <w:t> </w:t>
      </w:r>
      <w:r>
        <w:rPr>
          <w:sz w:val="22"/>
        </w:rPr>
        <w:t>parties)</w:t>
      </w:r>
      <w:r>
        <w:rPr>
          <w:spacing w:val="-1"/>
          <w:sz w:val="22"/>
        </w:rPr>
        <w:t> </w:t>
      </w:r>
      <w:r>
        <w:rPr>
          <w:sz w:val="22"/>
        </w:rPr>
        <w:t>on</w:t>
      </w:r>
      <w:r>
        <w:rPr>
          <w:spacing w:val="-3"/>
          <w:sz w:val="22"/>
        </w:rPr>
        <w:t> </w:t>
      </w:r>
      <w:r>
        <w:rPr>
          <w:sz w:val="22"/>
        </w:rPr>
        <w:t>a prorated basis.</w:t>
      </w:r>
    </w:p>
    <w:p>
      <w:pPr>
        <w:pStyle w:val="BodyText"/>
        <w:spacing w:before="9"/>
        <w:rPr>
          <w:sz w:val="21"/>
        </w:rPr>
      </w:pPr>
    </w:p>
    <w:p>
      <w:pPr>
        <w:pStyle w:val="BodyText"/>
        <w:ind w:left="121"/>
      </w:pPr>
      <w:r>
        <w:rPr/>
        <w:t>Eligible Cash shall be defined as: Surplus cash available for partnership distribution, less any</w:t>
      </w:r>
      <w:r>
        <w:rPr>
          <w:spacing w:val="80"/>
        </w:rPr>
        <w:t> </w:t>
      </w:r>
      <w:r>
        <w:rPr>
          <w:spacing w:val="-2"/>
        </w:rPr>
        <w:t>outstanding:</w:t>
      </w:r>
    </w:p>
    <w:p>
      <w:pPr>
        <w:pStyle w:val="ListParagraph"/>
        <w:numPr>
          <w:ilvl w:val="1"/>
          <w:numId w:val="16"/>
        </w:numPr>
        <w:tabs>
          <w:tab w:pos="841" w:val="left" w:leader="none"/>
          <w:tab w:pos="842" w:val="left" w:leader="none"/>
        </w:tabs>
        <w:spacing w:line="268" w:lineRule="exact" w:before="2" w:after="0"/>
        <w:ind w:left="841" w:right="0" w:hanging="361"/>
        <w:jc w:val="left"/>
        <w:rPr>
          <w:rFonts w:ascii="Symbol" w:hAnsi="Symbol"/>
          <w:sz w:val="22"/>
        </w:rPr>
      </w:pPr>
      <w:r>
        <w:rPr>
          <w:sz w:val="22"/>
        </w:rPr>
        <w:t>Credit</w:t>
      </w:r>
      <w:r>
        <w:rPr>
          <w:spacing w:val="-4"/>
          <w:sz w:val="22"/>
        </w:rPr>
        <w:t> </w:t>
      </w:r>
      <w:r>
        <w:rPr>
          <w:spacing w:val="-2"/>
          <w:sz w:val="22"/>
        </w:rPr>
        <w:t>adjusters</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Asset</w:t>
      </w:r>
      <w:r>
        <w:rPr>
          <w:spacing w:val="-9"/>
          <w:sz w:val="22"/>
        </w:rPr>
        <w:t> </w:t>
      </w:r>
      <w:r>
        <w:rPr>
          <w:sz w:val="22"/>
        </w:rPr>
        <w:t>management</w:t>
      </w:r>
      <w:r>
        <w:rPr>
          <w:spacing w:val="-6"/>
          <w:sz w:val="22"/>
        </w:rPr>
        <w:t> </w:t>
      </w:r>
      <w:r>
        <w:rPr>
          <w:spacing w:val="-4"/>
          <w:sz w:val="22"/>
        </w:rPr>
        <w:t>fees</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Operating</w:t>
      </w:r>
      <w:r>
        <w:rPr>
          <w:spacing w:val="-6"/>
          <w:sz w:val="22"/>
        </w:rPr>
        <w:t> </w:t>
      </w:r>
      <w:r>
        <w:rPr>
          <w:sz w:val="22"/>
        </w:rPr>
        <w:t>reserve</w:t>
      </w:r>
      <w:r>
        <w:rPr>
          <w:spacing w:val="-8"/>
          <w:sz w:val="22"/>
        </w:rPr>
        <w:t> </w:t>
      </w:r>
      <w:r>
        <w:rPr>
          <w:sz w:val="22"/>
        </w:rPr>
        <w:t>account</w:t>
      </w:r>
      <w:r>
        <w:rPr>
          <w:spacing w:val="-6"/>
          <w:sz w:val="22"/>
        </w:rPr>
        <w:t> </w:t>
      </w:r>
      <w:r>
        <w:rPr>
          <w:spacing w:val="-2"/>
          <w:sz w:val="22"/>
        </w:rPr>
        <w:t>replenishment</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Limited</w:t>
      </w:r>
      <w:r>
        <w:rPr>
          <w:spacing w:val="-4"/>
          <w:sz w:val="22"/>
        </w:rPr>
        <w:t> </w:t>
      </w:r>
      <w:r>
        <w:rPr>
          <w:sz w:val="22"/>
        </w:rPr>
        <w:t>partner</w:t>
      </w:r>
      <w:r>
        <w:rPr>
          <w:spacing w:val="-2"/>
          <w:sz w:val="22"/>
        </w:rPr>
        <w:t> </w:t>
      </w:r>
      <w:r>
        <w:rPr>
          <w:sz w:val="22"/>
        </w:rPr>
        <w:t>loans</w:t>
      </w:r>
      <w:r>
        <w:rPr>
          <w:spacing w:val="-6"/>
          <w:sz w:val="22"/>
        </w:rPr>
        <w:t> </w:t>
      </w:r>
      <w:r>
        <w:rPr>
          <w:sz w:val="22"/>
        </w:rPr>
        <w:t>that</w:t>
      </w:r>
      <w:r>
        <w:rPr>
          <w:spacing w:val="-2"/>
          <w:sz w:val="22"/>
        </w:rPr>
        <w:t> </w:t>
      </w:r>
      <w:r>
        <w:rPr>
          <w:sz w:val="22"/>
        </w:rPr>
        <w:t>have</w:t>
      </w:r>
      <w:r>
        <w:rPr>
          <w:spacing w:val="-6"/>
          <w:sz w:val="22"/>
        </w:rPr>
        <w:t> </w:t>
      </w:r>
      <w:r>
        <w:rPr>
          <w:sz w:val="22"/>
        </w:rPr>
        <w:t>been</w:t>
      </w:r>
      <w:r>
        <w:rPr>
          <w:spacing w:val="-4"/>
          <w:sz w:val="22"/>
        </w:rPr>
        <w:t> </w:t>
      </w:r>
      <w:r>
        <w:rPr>
          <w:sz w:val="22"/>
        </w:rPr>
        <w:t>approved</w:t>
      </w:r>
      <w:r>
        <w:rPr>
          <w:spacing w:val="-6"/>
          <w:sz w:val="22"/>
        </w:rPr>
        <w:t> </w:t>
      </w:r>
      <w:r>
        <w:rPr>
          <w:sz w:val="22"/>
        </w:rPr>
        <w:t>by</w:t>
      </w:r>
      <w:r>
        <w:rPr>
          <w:spacing w:val="-6"/>
          <w:sz w:val="22"/>
        </w:rPr>
        <w:t> </w:t>
      </w:r>
      <w:r>
        <w:rPr>
          <w:sz w:val="22"/>
        </w:rPr>
        <w:t>the</w:t>
      </w:r>
      <w:r>
        <w:rPr>
          <w:spacing w:val="-5"/>
          <w:sz w:val="22"/>
        </w:rPr>
        <w:t> </w:t>
      </w:r>
      <w:r>
        <w:rPr>
          <w:spacing w:val="-4"/>
          <w:sz w:val="22"/>
        </w:rPr>
        <w:t>City</w:t>
      </w:r>
    </w:p>
    <w:p>
      <w:pPr>
        <w:pStyle w:val="ListParagraph"/>
        <w:numPr>
          <w:ilvl w:val="1"/>
          <w:numId w:val="16"/>
        </w:numPr>
        <w:tabs>
          <w:tab w:pos="841" w:val="left" w:leader="none"/>
          <w:tab w:pos="843" w:val="left" w:leader="none"/>
        </w:tabs>
        <w:spacing w:line="268" w:lineRule="exact" w:before="0" w:after="0"/>
        <w:ind w:left="842" w:right="0" w:hanging="362"/>
        <w:jc w:val="left"/>
        <w:rPr>
          <w:rFonts w:ascii="Symbol" w:hAnsi="Symbol"/>
          <w:sz w:val="22"/>
        </w:rPr>
      </w:pPr>
      <w:r>
        <w:rPr>
          <w:sz w:val="22"/>
        </w:rPr>
        <w:t>Deferred</w:t>
      </w:r>
      <w:r>
        <w:rPr>
          <w:spacing w:val="-9"/>
          <w:sz w:val="22"/>
        </w:rPr>
        <w:t> </w:t>
      </w:r>
      <w:r>
        <w:rPr>
          <w:sz w:val="22"/>
        </w:rPr>
        <w:t>developer</w:t>
      </w:r>
      <w:r>
        <w:rPr>
          <w:spacing w:val="-8"/>
          <w:sz w:val="22"/>
        </w:rPr>
        <w:t> </w:t>
      </w:r>
      <w:r>
        <w:rPr>
          <w:spacing w:val="-4"/>
          <w:sz w:val="22"/>
        </w:rPr>
        <w:t>fees</w:t>
      </w:r>
    </w:p>
    <w:p>
      <w:pPr>
        <w:pStyle w:val="ListParagraph"/>
        <w:numPr>
          <w:ilvl w:val="1"/>
          <w:numId w:val="16"/>
        </w:numPr>
        <w:tabs>
          <w:tab w:pos="842" w:val="left" w:leader="none"/>
          <w:tab w:pos="843" w:val="left" w:leader="none"/>
        </w:tabs>
        <w:spacing w:line="268" w:lineRule="exact" w:before="0" w:after="0"/>
        <w:ind w:left="842" w:right="0" w:hanging="361"/>
        <w:jc w:val="left"/>
        <w:rPr>
          <w:rFonts w:ascii="Symbol" w:hAnsi="Symbol"/>
          <w:sz w:val="22"/>
        </w:rPr>
      </w:pPr>
      <w:r>
        <w:rPr>
          <w:sz w:val="22"/>
        </w:rPr>
        <w:t>Supplemental</w:t>
      </w:r>
      <w:r>
        <w:rPr>
          <w:spacing w:val="-7"/>
          <w:sz w:val="22"/>
        </w:rPr>
        <w:t> </w:t>
      </w:r>
      <w:r>
        <w:rPr>
          <w:sz w:val="22"/>
        </w:rPr>
        <w:t>replacement</w:t>
      </w:r>
      <w:r>
        <w:rPr>
          <w:spacing w:val="-7"/>
          <w:sz w:val="22"/>
        </w:rPr>
        <w:t> </w:t>
      </w:r>
      <w:r>
        <w:rPr>
          <w:sz w:val="22"/>
        </w:rPr>
        <w:t>reserve</w:t>
      </w:r>
      <w:r>
        <w:rPr>
          <w:spacing w:val="-8"/>
          <w:sz w:val="22"/>
        </w:rPr>
        <w:t> </w:t>
      </w:r>
      <w:r>
        <w:rPr>
          <w:sz w:val="22"/>
        </w:rPr>
        <w:t>deposits</w:t>
      </w:r>
      <w:r>
        <w:rPr>
          <w:spacing w:val="-8"/>
          <w:sz w:val="22"/>
        </w:rPr>
        <w:t> </w:t>
      </w:r>
      <w:r>
        <w:rPr>
          <w:sz w:val="22"/>
        </w:rPr>
        <w:t>approved</w:t>
      </w:r>
      <w:r>
        <w:rPr>
          <w:spacing w:val="-6"/>
          <w:sz w:val="22"/>
        </w:rPr>
        <w:t> </w:t>
      </w:r>
      <w:r>
        <w:rPr>
          <w:sz w:val="22"/>
        </w:rPr>
        <w:t>by</w:t>
      </w:r>
      <w:r>
        <w:rPr>
          <w:spacing w:val="-8"/>
          <w:sz w:val="22"/>
        </w:rPr>
        <w:t> </w:t>
      </w:r>
      <w:r>
        <w:rPr>
          <w:sz w:val="22"/>
        </w:rPr>
        <w:t>the</w:t>
      </w:r>
      <w:r>
        <w:rPr>
          <w:spacing w:val="-8"/>
          <w:sz w:val="22"/>
        </w:rPr>
        <w:t> </w:t>
      </w:r>
      <w:r>
        <w:rPr>
          <w:spacing w:val="-4"/>
          <w:sz w:val="22"/>
        </w:rPr>
        <w:t>City</w:t>
      </w:r>
    </w:p>
    <w:p>
      <w:pPr>
        <w:pStyle w:val="BodyText"/>
        <w:spacing w:before="10"/>
        <w:rPr>
          <w:sz w:val="21"/>
        </w:rPr>
      </w:pPr>
    </w:p>
    <w:p>
      <w:pPr>
        <w:pStyle w:val="BodyText"/>
        <w:ind w:left="122"/>
      </w:pPr>
      <w:r>
        <w:rPr/>
        <w:t>Note:</w:t>
      </w:r>
      <w:r>
        <w:rPr>
          <w:spacing w:val="-10"/>
        </w:rPr>
        <w:t> </w:t>
      </w:r>
      <w:r>
        <w:rPr/>
        <w:t>Incentive</w:t>
      </w:r>
      <w:r>
        <w:rPr>
          <w:spacing w:val="-11"/>
        </w:rPr>
        <w:t> </w:t>
      </w:r>
      <w:r>
        <w:rPr/>
        <w:t>management</w:t>
      </w:r>
      <w:r>
        <w:rPr>
          <w:spacing w:val="-10"/>
        </w:rPr>
        <w:t> </w:t>
      </w:r>
      <w:r>
        <w:rPr/>
        <w:t>fees</w:t>
      </w:r>
      <w:r>
        <w:rPr>
          <w:spacing w:val="-8"/>
        </w:rPr>
        <w:t> </w:t>
      </w:r>
      <w:r>
        <w:rPr/>
        <w:t>have</w:t>
      </w:r>
      <w:r>
        <w:rPr>
          <w:spacing w:val="-11"/>
        </w:rPr>
        <w:t> </w:t>
      </w:r>
      <w:r>
        <w:rPr/>
        <w:t>been</w:t>
      </w:r>
      <w:r>
        <w:rPr>
          <w:spacing w:val="-9"/>
        </w:rPr>
        <w:t> </w:t>
      </w:r>
      <w:r>
        <w:rPr/>
        <w:t>deliberately</w:t>
      </w:r>
      <w:r>
        <w:rPr>
          <w:spacing w:val="-8"/>
        </w:rPr>
        <w:t> </w:t>
      </w:r>
      <w:r>
        <w:rPr/>
        <w:t>omitted</w:t>
      </w:r>
      <w:r>
        <w:rPr>
          <w:spacing w:val="-11"/>
        </w:rPr>
        <w:t> </w:t>
      </w:r>
      <w:r>
        <w:rPr/>
        <w:t>from</w:t>
      </w:r>
      <w:r>
        <w:rPr>
          <w:spacing w:val="-10"/>
        </w:rPr>
        <w:t> </w:t>
      </w:r>
      <w:r>
        <w:rPr/>
        <w:t>the</w:t>
      </w:r>
      <w:r>
        <w:rPr>
          <w:spacing w:val="-11"/>
        </w:rPr>
        <w:t> </w:t>
      </w:r>
      <w:r>
        <w:rPr/>
        <w:t>above</w:t>
      </w:r>
      <w:r>
        <w:rPr>
          <w:spacing w:val="-9"/>
        </w:rPr>
        <w:t> </w:t>
      </w:r>
      <w:r>
        <w:rPr/>
        <w:t>list.</w:t>
      </w:r>
      <w:r>
        <w:rPr>
          <w:spacing w:val="-8"/>
        </w:rPr>
        <w:t> </w:t>
      </w:r>
      <w:r>
        <w:rPr/>
        <w:t>Payment</w:t>
      </w:r>
      <w:r>
        <w:rPr>
          <w:spacing w:val="-8"/>
        </w:rPr>
        <w:t> </w:t>
      </w:r>
      <w:r>
        <w:rPr/>
        <w:t>of incentive management fees shall be subordinate to repayment of the City’s loan(s).</w:t>
      </w:r>
    </w:p>
    <w:p>
      <w:pPr>
        <w:pStyle w:val="BodyText"/>
        <w:spacing w:before="11"/>
        <w:rPr>
          <w:sz w:val="21"/>
        </w:rPr>
      </w:pPr>
    </w:p>
    <w:p>
      <w:pPr>
        <w:pStyle w:val="Heading5"/>
        <w:ind w:left="122"/>
        <w:jc w:val="left"/>
      </w:pPr>
      <w:r>
        <w:rPr/>
        <w:t>Additional</w:t>
      </w:r>
      <w:r>
        <w:rPr>
          <w:spacing w:val="-7"/>
        </w:rPr>
        <w:t> </w:t>
      </w:r>
      <w:r>
        <w:rPr/>
        <w:t>Requirements</w:t>
      </w:r>
      <w:r>
        <w:rPr>
          <w:spacing w:val="-8"/>
        </w:rPr>
        <w:t> </w:t>
      </w:r>
      <w:r>
        <w:rPr/>
        <w:t>for</w:t>
      </w:r>
      <w:r>
        <w:rPr>
          <w:spacing w:val="-7"/>
        </w:rPr>
        <w:t> </w:t>
      </w:r>
      <w:r>
        <w:rPr/>
        <w:t>New</w:t>
      </w:r>
      <w:r>
        <w:rPr>
          <w:spacing w:val="-6"/>
        </w:rPr>
        <w:t> </w:t>
      </w:r>
      <w:r>
        <w:rPr/>
        <w:t>Construction</w:t>
      </w:r>
      <w:r>
        <w:rPr>
          <w:spacing w:val="-7"/>
        </w:rPr>
        <w:t> </w:t>
      </w:r>
      <w:r>
        <w:rPr>
          <w:spacing w:val="-2"/>
        </w:rPr>
        <w:t>Development</w:t>
      </w:r>
    </w:p>
    <w:p>
      <w:pPr>
        <w:pStyle w:val="BodyText"/>
        <w:spacing w:before="52"/>
        <w:ind w:left="122"/>
      </w:pPr>
      <w:r>
        <w:rPr/>
        <w:t>For</w:t>
      </w:r>
      <w:r>
        <w:rPr>
          <w:spacing w:val="-4"/>
        </w:rPr>
        <w:t> </w:t>
      </w:r>
      <w:r>
        <w:rPr/>
        <w:t>new</w:t>
      </w:r>
      <w:r>
        <w:rPr>
          <w:spacing w:val="-8"/>
        </w:rPr>
        <w:t> </w:t>
      </w:r>
      <w:r>
        <w:rPr/>
        <w:t>construction</w:t>
      </w:r>
      <w:r>
        <w:rPr>
          <w:spacing w:val="-7"/>
        </w:rPr>
        <w:t> </w:t>
      </w:r>
      <w:r>
        <w:rPr/>
        <w:t>housing</w:t>
      </w:r>
      <w:r>
        <w:rPr>
          <w:spacing w:val="-5"/>
        </w:rPr>
        <w:t> </w:t>
      </w:r>
      <w:r>
        <w:rPr/>
        <w:t>developments</w:t>
      </w:r>
      <w:r>
        <w:rPr>
          <w:spacing w:val="-7"/>
        </w:rPr>
        <w:t> </w:t>
      </w:r>
      <w:r>
        <w:rPr/>
        <w:t>funded</w:t>
      </w:r>
      <w:r>
        <w:rPr>
          <w:spacing w:val="-5"/>
        </w:rPr>
        <w:t> </w:t>
      </w:r>
      <w:r>
        <w:rPr/>
        <w:t>by</w:t>
      </w:r>
      <w:r>
        <w:rPr>
          <w:spacing w:val="-7"/>
        </w:rPr>
        <w:t> </w:t>
      </w:r>
      <w:r>
        <w:rPr/>
        <w:t>the</w:t>
      </w:r>
      <w:r>
        <w:rPr>
          <w:spacing w:val="-7"/>
        </w:rPr>
        <w:t> </w:t>
      </w:r>
      <w:r>
        <w:rPr/>
        <w:t>City,</w:t>
      </w:r>
      <w:r>
        <w:rPr>
          <w:spacing w:val="-6"/>
        </w:rPr>
        <w:t> </w:t>
      </w:r>
      <w:r>
        <w:rPr/>
        <w:t>the</w:t>
      </w:r>
      <w:r>
        <w:rPr>
          <w:spacing w:val="-10"/>
        </w:rPr>
        <w:t> </w:t>
      </w:r>
      <w:r>
        <w:rPr/>
        <w:t>maximum</w:t>
      </w:r>
      <w:r>
        <w:rPr>
          <w:spacing w:val="-6"/>
        </w:rPr>
        <w:t> </w:t>
      </w:r>
      <w:r>
        <w:rPr/>
        <w:t>subsidy</w:t>
      </w:r>
      <w:r>
        <w:rPr>
          <w:spacing w:val="-7"/>
        </w:rPr>
        <w:t> </w:t>
      </w:r>
      <w:r>
        <w:rPr/>
        <w:t>per</w:t>
      </w:r>
      <w:r>
        <w:rPr>
          <w:spacing w:val="-4"/>
        </w:rPr>
        <w:t> </w:t>
      </w:r>
      <w:r>
        <w:rPr/>
        <w:t>unit</w:t>
      </w:r>
      <w:r>
        <w:rPr>
          <w:spacing w:val="-4"/>
        </w:rPr>
        <w:t> </w:t>
      </w:r>
      <w:r>
        <w:rPr/>
        <w:t>is 22.5% of the HUD HOME Value Limit.</w:t>
      </w:r>
    </w:p>
    <w:p>
      <w:pPr>
        <w:spacing w:after="0"/>
        <w:sectPr>
          <w:pgSz w:w="12240" w:h="15840"/>
          <w:pgMar w:header="0" w:footer="1738" w:top="1360" w:bottom="1920" w:left="1320" w:right="1280"/>
        </w:sectPr>
      </w:pPr>
    </w:p>
    <w:p>
      <w:pPr>
        <w:pStyle w:val="BodyText"/>
        <w:spacing w:before="80"/>
        <w:ind w:left="120" w:right="157"/>
        <w:jc w:val="both"/>
      </w:pPr>
      <w:r>
        <w:rPr/>
        <w:t>Funding will be provided to Community Housing Development Organizations, governmental entities, or public facility corporations at 0% simple interest, which will be forgiven upon sale of the property to home buyer.</w:t>
      </w:r>
    </w:p>
    <w:p>
      <w:pPr>
        <w:pStyle w:val="BodyText"/>
      </w:pPr>
    </w:p>
    <w:p>
      <w:pPr>
        <w:pStyle w:val="BodyText"/>
        <w:ind w:left="120" w:right="156"/>
        <w:jc w:val="both"/>
      </w:pPr>
      <w:r>
        <w:rPr/>
        <w:t>In addition, funding will be provided to other qualified non-profit organizations at 1% simple interest, which will be forgiven upon sale of the property to home buyer.</w:t>
      </w:r>
    </w:p>
    <w:p>
      <w:pPr>
        <w:pStyle w:val="BodyText"/>
      </w:pPr>
    </w:p>
    <w:p>
      <w:pPr>
        <w:pStyle w:val="BodyText"/>
        <w:ind w:left="120" w:right="157"/>
        <w:jc w:val="both"/>
      </w:pPr>
      <w:r>
        <w:rPr/>
        <w:pict>
          <v:shape style="position:absolute;margin-left:90.065002pt;margin-top:8.668063pt;width:395.3pt;height:419pt;mso-position-horizontal-relative:page;mso-position-vertical-relative:paragraph;z-index:-17708544" id="docshape72" coordorigin="1801,173" coordsize="7906,8380" path="m4498,7437l4492,7364,4477,7286,4455,7203,4432,7134,4403,7062,4367,6987,4325,6909,4276,6828,4237,6769,4200,6718,4200,7404,4197,7460,4186,7517,4167,7574,4138,7634,4097,7697,4044,7763,3979,7832,3674,8138,2216,6680,2517,6379,2598,6303,2672,6243,2740,6200,2801,6173,2868,6159,2941,6155,3020,6161,3105,6179,3195,6208,3255,6234,3317,6266,3380,6305,3446,6350,3514,6402,3584,6460,3656,6524,3729,6596,3789,6657,3845,6717,3896,6776,3943,6834,3986,6891,4025,6946,4059,7000,4101,7075,4136,7147,4163,7216,4183,7283,4196,7348,4200,7404,4200,6718,4194,6709,4148,6649,4098,6589,4045,6528,3989,6466,3929,6404,3865,6342,3801,6284,3737,6229,3673,6177,3643,6155,3609,6129,3546,6085,3482,6044,3419,6006,3346,5968,3274,5936,3203,5909,3132,5886,3062,5869,2992,5857,2923,5850,2850,5849,2779,5855,2709,5870,2642,5893,2577,5924,2528,5952,2476,5989,2420,6034,2359,6089,2294,6151,1801,6644,3710,8553,4124,8138,4226,8036,4287,7971,4341,7906,4386,7840,4424,7773,4454,7706,4476,7640,4491,7573,4498,7506,4498,7437xm6418,5844l6056,5716,5650,5573,5561,5544,5475,5520,5393,5501,5365,5496,5314,5487,5239,5477,5193,5475,5143,5478,5089,5485,5030,5496,5073,5426,5109,5357,5136,5288,5154,5219,5164,5150,5165,5082,5157,5014,5139,4936,5111,4860,5075,4786,5030,4713,4976,4642,4956,4619,4913,4573,4872,4535,4872,5093,4868,5148,4854,5203,4830,5259,4794,5318,4747,5379,4687,5443,4280,5850,3649,5219,4102,4766,4166,4709,4229,4665,4293,4636,4358,4621,4422,4619,4501,4635,4577,4664,4649,4709,4718,4769,4761,4816,4797,4867,4827,4921,4851,4977,4867,5036,4872,5093,4872,4535,4849,4514,4782,4461,4713,4416,4641,4377,4566,4345,4474,4317,4386,4304,4303,4306,4225,4322,4163,4347,4098,4384,4030,4432,3958,4491,3883,4562,3248,5197,5157,7105,5346,6916,4499,6069,4718,5850,4753,5815,4783,5788,4810,5767,4833,5752,4863,5739,4896,5728,4932,5720,4971,5716,5014,5716,5066,5721,5125,5732,5194,5748,5256,5766,5328,5786,5407,5811,5496,5841,6180,6082,6418,5844xm7780,4482l7415,4287,6555,3832,6555,4139,6070,4625,6030,4553,5989,4482,5748,4051,5708,3979,5668,3908,5629,3842,5590,3778,5550,3714,5509,3651,5467,3588,5424,3527,5380,3466,5436,3502,5498,3540,5564,3580,5635,3622,5792,3712,6555,4139,6555,3832,5862,3466,5286,3159,5082,3363,5277,3714,5316,3784,5701,4482,6207,5401,6441,5821,6642,5620,6565,5487,6298,5019,6221,4885,6481,4625,6820,4287,7173,4482,7565,4697,7780,4482xm8131,4131l7264,3264,7936,2592,7711,2367,7039,3039,6448,2448,7224,1672,6999,1447,6033,2412,7941,4321,8131,4131xm9707,2555l8024,872,8497,399,8272,173,7138,1308,7363,1533,7834,1062,9517,2745,9707,2555xe" filled="true" fillcolor="#c0c0c0" stroked="false">
            <v:path arrowok="t"/>
            <v:fill opacity="32896f" type="solid"/>
            <w10:wrap type="none"/>
          </v:shape>
        </w:pict>
      </w:r>
      <w:r>
        <w:rPr/>
        <w:t>Projects</w:t>
      </w:r>
      <w:r>
        <w:rPr>
          <w:spacing w:val="-6"/>
        </w:rPr>
        <w:t> </w:t>
      </w:r>
      <w:r>
        <w:rPr/>
        <w:t>shall</w:t>
      </w:r>
      <w:r>
        <w:rPr>
          <w:spacing w:val="-7"/>
        </w:rPr>
        <w:t> </w:t>
      </w:r>
      <w:r>
        <w:rPr/>
        <w:t>submit,</w:t>
      </w:r>
      <w:r>
        <w:rPr>
          <w:spacing w:val="-5"/>
        </w:rPr>
        <w:t> </w:t>
      </w:r>
      <w:r>
        <w:rPr/>
        <w:t>on</w:t>
      </w:r>
      <w:r>
        <w:rPr>
          <w:spacing w:val="-11"/>
        </w:rPr>
        <w:t> </w:t>
      </w:r>
      <w:r>
        <w:rPr/>
        <w:t>an</w:t>
      </w:r>
      <w:r>
        <w:rPr>
          <w:spacing w:val="-6"/>
        </w:rPr>
        <w:t> </w:t>
      </w:r>
      <w:r>
        <w:rPr/>
        <w:t>annual</w:t>
      </w:r>
      <w:r>
        <w:rPr>
          <w:spacing w:val="-7"/>
        </w:rPr>
        <w:t> </w:t>
      </w:r>
      <w:r>
        <w:rPr/>
        <w:t>basis,</w:t>
      </w:r>
      <w:r>
        <w:rPr>
          <w:spacing w:val="-5"/>
        </w:rPr>
        <w:t> </w:t>
      </w:r>
      <w:r>
        <w:rPr/>
        <w:t>either</w:t>
      </w:r>
      <w:r>
        <w:rPr>
          <w:spacing w:val="-8"/>
        </w:rPr>
        <w:t> </w:t>
      </w:r>
      <w:r>
        <w:rPr/>
        <w:t>HUD</w:t>
      </w:r>
      <w:r>
        <w:rPr>
          <w:spacing w:val="-7"/>
        </w:rPr>
        <w:t> </w:t>
      </w:r>
      <w:r>
        <w:rPr/>
        <w:t>Form</w:t>
      </w:r>
      <w:r>
        <w:rPr>
          <w:spacing w:val="-5"/>
        </w:rPr>
        <w:t> </w:t>
      </w:r>
      <w:r>
        <w:rPr/>
        <w:t>93489</w:t>
      </w:r>
      <w:r>
        <w:rPr>
          <w:spacing w:val="-9"/>
        </w:rPr>
        <w:t> </w:t>
      </w:r>
      <w:r>
        <w:rPr/>
        <w:t>(HUD</w:t>
      </w:r>
      <w:r>
        <w:rPr>
          <w:spacing w:val="-7"/>
        </w:rPr>
        <w:t> </w:t>
      </w:r>
      <w:r>
        <w:rPr/>
        <w:t>Computation</w:t>
      </w:r>
      <w:r>
        <w:rPr>
          <w:spacing w:val="-6"/>
        </w:rPr>
        <w:t> </w:t>
      </w:r>
      <w:r>
        <w:rPr/>
        <w:t>of</w:t>
      </w:r>
      <w:r>
        <w:rPr>
          <w:spacing w:val="-5"/>
        </w:rPr>
        <w:t> </w:t>
      </w:r>
      <w:r>
        <w:rPr/>
        <w:t>Surplus Cash), or the City’s form, with the project audit. The City will invoice the project, allowing for repayment to occur up to the end of the current calendar year when HUD financing is involved. Otherwise, the surplus cash payment will be due within 45 days of the invoice postmark. Late payments will be assessed a 5% late charge. The loan will be in default if payments are more than 75 days late. The default interest rate shall be 500 basis points (5%) over the note interest </w:t>
      </w:r>
      <w:r>
        <w:rPr>
          <w:spacing w:val="-2"/>
        </w:rPr>
        <w:t>rate.</w:t>
      </w:r>
    </w:p>
    <w:p>
      <w:pPr>
        <w:pStyle w:val="BodyText"/>
        <w:spacing w:before="10"/>
        <w:rPr>
          <w:sz w:val="21"/>
        </w:rPr>
      </w:pPr>
    </w:p>
    <w:p>
      <w:pPr>
        <w:pStyle w:val="BodyText"/>
        <w:ind w:left="120" w:right="157"/>
        <w:jc w:val="both"/>
      </w:pPr>
      <w:r>
        <w:rPr/>
        <w:t>If</w:t>
      </w:r>
      <w:r>
        <w:rPr>
          <w:spacing w:val="-3"/>
        </w:rPr>
        <w:t> </w:t>
      </w:r>
      <w:r>
        <w:rPr/>
        <w:t>the</w:t>
      </w:r>
      <w:r>
        <w:rPr>
          <w:spacing w:val="-3"/>
        </w:rPr>
        <w:t> </w:t>
      </w:r>
      <w:r>
        <w:rPr/>
        <w:t>City’s</w:t>
      </w:r>
      <w:r>
        <w:rPr>
          <w:spacing w:val="-2"/>
        </w:rPr>
        <w:t> </w:t>
      </w:r>
      <w:r>
        <w:rPr/>
        <w:t>multi-family rental</w:t>
      </w:r>
      <w:r>
        <w:rPr>
          <w:spacing w:val="-1"/>
        </w:rPr>
        <w:t> </w:t>
      </w:r>
      <w:r>
        <w:rPr/>
        <w:t>subsidy is</w:t>
      </w:r>
      <w:r>
        <w:rPr>
          <w:spacing w:val="-2"/>
        </w:rPr>
        <w:t> </w:t>
      </w:r>
      <w:r>
        <w:rPr/>
        <w:t>derived</w:t>
      </w:r>
      <w:r>
        <w:rPr>
          <w:spacing w:val="-3"/>
        </w:rPr>
        <w:t> </w:t>
      </w:r>
      <w:r>
        <w:rPr/>
        <w:t>from</w:t>
      </w:r>
      <w:r>
        <w:rPr>
          <w:spacing w:val="-1"/>
        </w:rPr>
        <w:t> </w:t>
      </w:r>
      <w:r>
        <w:rPr/>
        <w:t>a</w:t>
      </w:r>
      <w:r>
        <w:rPr>
          <w:spacing w:val="-3"/>
        </w:rPr>
        <w:t> </w:t>
      </w:r>
      <w:r>
        <w:rPr/>
        <w:t>Federal</w:t>
      </w:r>
      <w:r>
        <w:rPr>
          <w:spacing w:val="-3"/>
        </w:rPr>
        <w:t> </w:t>
      </w:r>
      <w:r>
        <w:rPr/>
        <w:t>funding</w:t>
      </w:r>
      <w:r>
        <w:rPr>
          <w:spacing w:val="-3"/>
        </w:rPr>
        <w:t> </w:t>
      </w:r>
      <w:r>
        <w:rPr/>
        <w:t>source,</w:t>
      </w:r>
      <w:r>
        <w:rPr>
          <w:spacing w:val="-1"/>
        </w:rPr>
        <w:t> </w:t>
      </w:r>
      <w:r>
        <w:rPr/>
        <w:t>investment</w:t>
      </w:r>
      <w:r>
        <w:rPr>
          <w:spacing w:val="-1"/>
        </w:rPr>
        <w:t> </w:t>
      </w:r>
      <w:r>
        <w:rPr/>
        <w:t>may not</w:t>
      </w:r>
      <w:r>
        <w:rPr>
          <w:spacing w:val="-8"/>
        </w:rPr>
        <w:t> </w:t>
      </w:r>
      <w:r>
        <w:rPr/>
        <w:t>exceed</w:t>
      </w:r>
      <w:r>
        <w:rPr>
          <w:spacing w:val="-15"/>
        </w:rPr>
        <w:t> </w:t>
      </w:r>
      <w:r>
        <w:rPr/>
        <w:t>the</w:t>
      </w:r>
      <w:r>
        <w:rPr>
          <w:spacing w:val="-9"/>
        </w:rPr>
        <w:t> </w:t>
      </w:r>
      <w:r>
        <w:rPr/>
        <w:t>corresponding</w:t>
      </w:r>
      <w:r>
        <w:rPr>
          <w:spacing w:val="-9"/>
        </w:rPr>
        <w:t> </w:t>
      </w:r>
      <w:r>
        <w:rPr/>
        <w:t>annual</w:t>
      </w:r>
      <w:r>
        <w:rPr>
          <w:spacing w:val="-10"/>
        </w:rPr>
        <w:t> </w:t>
      </w:r>
      <w:r>
        <w:rPr/>
        <w:t>HUD</w:t>
      </w:r>
      <w:r>
        <w:rPr>
          <w:spacing w:val="-10"/>
        </w:rPr>
        <w:t> </w:t>
      </w:r>
      <w:r>
        <w:rPr/>
        <w:t>Section</w:t>
      </w:r>
      <w:r>
        <w:rPr>
          <w:spacing w:val="-10"/>
        </w:rPr>
        <w:t> </w:t>
      </w:r>
      <w:r>
        <w:rPr/>
        <w:t>234</w:t>
      </w:r>
      <w:r>
        <w:rPr>
          <w:spacing w:val="-10"/>
        </w:rPr>
        <w:t> </w:t>
      </w:r>
      <w:r>
        <w:rPr/>
        <w:t>–</w:t>
      </w:r>
      <w:r>
        <w:rPr>
          <w:spacing w:val="-11"/>
        </w:rPr>
        <w:t> </w:t>
      </w:r>
      <w:r>
        <w:rPr/>
        <w:t>Condominium</w:t>
      </w:r>
      <w:r>
        <w:rPr>
          <w:spacing w:val="-11"/>
        </w:rPr>
        <w:t> </w:t>
      </w:r>
      <w:r>
        <w:rPr/>
        <w:t>Housing</w:t>
      </w:r>
      <w:r>
        <w:rPr>
          <w:spacing w:val="-10"/>
        </w:rPr>
        <w:t> </w:t>
      </w:r>
      <w:r>
        <w:rPr/>
        <w:t>Limits</w:t>
      </w:r>
      <w:r>
        <w:rPr>
          <w:spacing w:val="-9"/>
        </w:rPr>
        <w:t> </w:t>
      </w:r>
      <w:r>
        <w:rPr/>
        <w:t>in</w:t>
      </w:r>
      <w:r>
        <w:rPr>
          <w:spacing w:val="-12"/>
        </w:rPr>
        <w:t> </w:t>
      </w:r>
      <w:r>
        <w:rPr/>
        <w:t>Dallas, Texas for elevator units (by number of bedrooms per unit).</w:t>
      </w:r>
    </w:p>
    <w:p>
      <w:pPr>
        <w:pStyle w:val="BodyText"/>
        <w:spacing w:before="1"/>
      </w:pPr>
    </w:p>
    <w:p>
      <w:pPr>
        <w:pStyle w:val="Heading5"/>
        <w:spacing w:line="288" w:lineRule="auto"/>
        <w:ind w:right="156"/>
      </w:pPr>
      <w:r>
        <w:rPr/>
        <w:t>Affordability Period Requirements for All Rental Housing Development and Substantial Rehabilitation Loans</w:t>
      </w:r>
    </w:p>
    <w:p>
      <w:pPr>
        <w:pStyle w:val="BodyText"/>
        <w:ind w:left="119" w:right="156"/>
        <w:jc w:val="both"/>
      </w:pPr>
      <w:r>
        <w:rPr/>
        <w:t>The Period of Affordability (income and rent restrictions) applies to both single-family and multi- family rental housing projects. Affordability periods shall be set as follows, in keeping with HUD </w:t>
      </w:r>
      <w:r>
        <w:rPr>
          <w:spacing w:val="-2"/>
        </w:rPr>
        <w:t>requirements.</w:t>
      </w:r>
    </w:p>
    <w:p>
      <w:pPr>
        <w:pStyle w:val="BodyText"/>
        <w:spacing w:before="11"/>
        <w:rPr>
          <w:sz w:val="21"/>
        </w:rPr>
      </w:pPr>
    </w:p>
    <w:tbl>
      <w:tblPr>
        <w:tblW w:w="0" w:type="auto"/>
        <w:jc w:val="left"/>
        <w:tblInd w:w="4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126"/>
        <w:gridCol w:w="3508"/>
      </w:tblGrid>
      <w:tr>
        <w:trPr>
          <w:trHeight w:val="290" w:hRule="atLeast"/>
        </w:trPr>
        <w:tc>
          <w:tcPr>
            <w:tcW w:w="5126" w:type="dxa"/>
            <w:shd w:val="clear" w:color="auto" w:fill="16365D"/>
          </w:tcPr>
          <w:p>
            <w:pPr>
              <w:pStyle w:val="TableParagraph"/>
              <w:spacing w:before="2"/>
              <w:ind w:left="4"/>
              <w:jc w:val="left"/>
              <w:rPr>
                <w:b/>
                <w:sz w:val="22"/>
              </w:rPr>
            </w:pPr>
            <w:r>
              <w:rPr>
                <w:b/>
                <w:color w:val="FFFFFF"/>
                <w:sz w:val="22"/>
              </w:rPr>
              <w:t>Amount</w:t>
            </w:r>
            <w:r>
              <w:rPr>
                <w:b/>
                <w:color w:val="FFFFFF"/>
                <w:spacing w:val="-2"/>
                <w:sz w:val="22"/>
              </w:rPr>
              <w:t> </w:t>
            </w:r>
            <w:r>
              <w:rPr>
                <w:b/>
                <w:color w:val="FFFFFF"/>
                <w:sz w:val="22"/>
              </w:rPr>
              <w:t>of</w:t>
            </w:r>
            <w:r>
              <w:rPr>
                <w:b/>
                <w:color w:val="FFFFFF"/>
                <w:spacing w:val="-1"/>
                <w:sz w:val="22"/>
              </w:rPr>
              <w:t> </w:t>
            </w:r>
            <w:r>
              <w:rPr>
                <w:b/>
                <w:color w:val="FFFFFF"/>
                <w:sz w:val="22"/>
              </w:rPr>
              <w:t>CDBG</w:t>
            </w:r>
            <w:r>
              <w:rPr>
                <w:b/>
                <w:color w:val="FFFFFF"/>
                <w:spacing w:val="-3"/>
                <w:sz w:val="22"/>
              </w:rPr>
              <w:t> </w:t>
            </w:r>
            <w:r>
              <w:rPr>
                <w:b/>
                <w:color w:val="FFFFFF"/>
                <w:sz w:val="22"/>
              </w:rPr>
              <w:t>or</w:t>
            </w:r>
            <w:r>
              <w:rPr>
                <w:b/>
                <w:color w:val="FFFFFF"/>
                <w:spacing w:val="-4"/>
                <w:sz w:val="22"/>
              </w:rPr>
              <w:t> </w:t>
            </w:r>
            <w:r>
              <w:rPr>
                <w:b/>
                <w:color w:val="FFFFFF"/>
                <w:sz w:val="22"/>
              </w:rPr>
              <w:t>HOME</w:t>
            </w:r>
            <w:r>
              <w:rPr>
                <w:b/>
                <w:color w:val="FFFFFF"/>
                <w:spacing w:val="-5"/>
                <w:sz w:val="22"/>
              </w:rPr>
              <w:t> </w:t>
            </w:r>
            <w:r>
              <w:rPr>
                <w:b/>
                <w:color w:val="FFFFFF"/>
                <w:sz w:val="22"/>
              </w:rPr>
              <w:t>funds</w:t>
            </w:r>
            <w:r>
              <w:rPr>
                <w:b/>
                <w:color w:val="FFFFFF"/>
                <w:spacing w:val="-5"/>
                <w:sz w:val="22"/>
              </w:rPr>
              <w:t> </w:t>
            </w:r>
            <w:r>
              <w:rPr>
                <w:b/>
                <w:color w:val="FFFFFF"/>
                <w:sz w:val="22"/>
              </w:rPr>
              <w:t>Per</w:t>
            </w:r>
            <w:r>
              <w:rPr>
                <w:b/>
                <w:color w:val="FFFFFF"/>
                <w:spacing w:val="-2"/>
                <w:sz w:val="22"/>
              </w:rPr>
              <w:t> </w:t>
            </w:r>
            <w:r>
              <w:rPr>
                <w:b/>
                <w:color w:val="FFFFFF"/>
                <w:spacing w:val="-4"/>
                <w:sz w:val="22"/>
              </w:rPr>
              <w:t>Unit</w:t>
            </w:r>
          </w:p>
        </w:tc>
        <w:tc>
          <w:tcPr>
            <w:tcW w:w="3508" w:type="dxa"/>
            <w:shd w:val="clear" w:color="auto" w:fill="16365D"/>
          </w:tcPr>
          <w:p>
            <w:pPr>
              <w:pStyle w:val="TableParagraph"/>
              <w:spacing w:before="2"/>
              <w:ind w:left="84" w:right="72"/>
              <w:rPr>
                <w:b/>
                <w:sz w:val="22"/>
              </w:rPr>
            </w:pPr>
            <w:r>
              <w:rPr>
                <w:b/>
                <w:color w:val="FFFFFF"/>
                <w:sz w:val="22"/>
              </w:rPr>
              <w:t>Minimum</w:t>
            </w:r>
            <w:r>
              <w:rPr>
                <w:b/>
                <w:color w:val="FFFFFF"/>
                <w:spacing w:val="-3"/>
                <w:sz w:val="22"/>
              </w:rPr>
              <w:t> </w:t>
            </w:r>
            <w:r>
              <w:rPr>
                <w:b/>
                <w:color w:val="FFFFFF"/>
                <w:sz w:val="22"/>
              </w:rPr>
              <w:t>Period</w:t>
            </w:r>
            <w:r>
              <w:rPr>
                <w:b/>
                <w:color w:val="FFFFFF"/>
                <w:spacing w:val="-3"/>
                <w:sz w:val="22"/>
              </w:rPr>
              <w:t> </w:t>
            </w:r>
            <w:r>
              <w:rPr>
                <w:b/>
                <w:color w:val="FFFFFF"/>
                <w:sz w:val="22"/>
              </w:rPr>
              <w:t>of</w:t>
            </w:r>
            <w:r>
              <w:rPr>
                <w:b/>
                <w:color w:val="FFFFFF"/>
                <w:spacing w:val="-4"/>
                <w:sz w:val="22"/>
              </w:rPr>
              <w:t> </w:t>
            </w:r>
            <w:r>
              <w:rPr>
                <w:b/>
                <w:color w:val="FFFFFF"/>
                <w:spacing w:val="-2"/>
                <w:sz w:val="22"/>
              </w:rPr>
              <w:t>Affordability</w:t>
            </w:r>
          </w:p>
        </w:tc>
      </w:tr>
      <w:tr>
        <w:trPr>
          <w:trHeight w:val="287" w:hRule="atLeast"/>
        </w:trPr>
        <w:tc>
          <w:tcPr>
            <w:tcW w:w="5126" w:type="dxa"/>
          </w:tcPr>
          <w:p>
            <w:pPr>
              <w:pStyle w:val="TableParagraph"/>
              <w:ind w:left="4"/>
              <w:jc w:val="left"/>
              <w:rPr>
                <w:sz w:val="22"/>
              </w:rPr>
            </w:pPr>
            <w:r>
              <w:rPr>
                <w:sz w:val="22"/>
              </w:rPr>
              <w:t>Under</w:t>
            </w:r>
            <w:r>
              <w:rPr>
                <w:spacing w:val="-7"/>
                <w:sz w:val="22"/>
              </w:rPr>
              <w:t> </w:t>
            </w:r>
            <w:r>
              <w:rPr>
                <w:sz w:val="22"/>
              </w:rPr>
              <w:t>$15,000/</w:t>
            </w:r>
            <w:r>
              <w:rPr>
                <w:spacing w:val="-6"/>
                <w:sz w:val="22"/>
              </w:rPr>
              <w:t> </w:t>
            </w:r>
            <w:r>
              <w:rPr>
                <w:spacing w:val="-4"/>
                <w:sz w:val="22"/>
              </w:rPr>
              <w:t>unit</w:t>
            </w:r>
          </w:p>
        </w:tc>
        <w:tc>
          <w:tcPr>
            <w:tcW w:w="3508" w:type="dxa"/>
          </w:tcPr>
          <w:p>
            <w:pPr>
              <w:pStyle w:val="TableParagraph"/>
              <w:ind w:left="82" w:right="72"/>
              <w:rPr>
                <w:sz w:val="22"/>
              </w:rPr>
            </w:pPr>
            <w:r>
              <w:rPr>
                <w:sz w:val="22"/>
              </w:rPr>
              <w:t>5 </w:t>
            </w:r>
            <w:r>
              <w:rPr>
                <w:spacing w:val="-2"/>
                <w:sz w:val="22"/>
              </w:rPr>
              <w:t>years</w:t>
            </w:r>
          </w:p>
        </w:tc>
      </w:tr>
      <w:tr>
        <w:trPr>
          <w:trHeight w:val="287" w:hRule="atLeast"/>
        </w:trPr>
        <w:tc>
          <w:tcPr>
            <w:tcW w:w="5126" w:type="dxa"/>
          </w:tcPr>
          <w:p>
            <w:pPr>
              <w:pStyle w:val="TableParagraph"/>
              <w:ind w:left="4"/>
              <w:jc w:val="left"/>
              <w:rPr>
                <w:sz w:val="22"/>
              </w:rPr>
            </w:pPr>
            <w:r>
              <w:rPr>
                <w:sz w:val="22"/>
              </w:rPr>
              <w:t>$15,000</w:t>
            </w:r>
            <w:r>
              <w:rPr>
                <w:spacing w:val="-8"/>
                <w:sz w:val="22"/>
              </w:rPr>
              <w:t> </w:t>
            </w:r>
            <w:r>
              <w:rPr>
                <w:sz w:val="22"/>
              </w:rPr>
              <w:t>-</w:t>
            </w:r>
            <w:r>
              <w:rPr>
                <w:spacing w:val="-2"/>
                <w:sz w:val="22"/>
              </w:rPr>
              <w:t> </w:t>
            </w:r>
            <w:r>
              <w:rPr>
                <w:sz w:val="22"/>
              </w:rPr>
              <w:t>$40,000/</w:t>
            </w:r>
            <w:r>
              <w:rPr>
                <w:spacing w:val="-4"/>
                <w:sz w:val="22"/>
              </w:rPr>
              <w:t> unit</w:t>
            </w:r>
          </w:p>
        </w:tc>
        <w:tc>
          <w:tcPr>
            <w:tcW w:w="3508" w:type="dxa"/>
          </w:tcPr>
          <w:p>
            <w:pPr>
              <w:pStyle w:val="TableParagraph"/>
              <w:ind w:left="84" w:right="71"/>
              <w:rPr>
                <w:sz w:val="22"/>
              </w:rPr>
            </w:pPr>
            <w:r>
              <w:rPr>
                <w:sz w:val="22"/>
              </w:rPr>
              <w:t>10</w:t>
            </w:r>
            <w:r>
              <w:rPr>
                <w:spacing w:val="-1"/>
                <w:sz w:val="22"/>
              </w:rPr>
              <w:t> </w:t>
            </w:r>
            <w:r>
              <w:rPr>
                <w:spacing w:val="-2"/>
                <w:sz w:val="22"/>
              </w:rPr>
              <w:t>years</w:t>
            </w:r>
          </w:p>
        </w:tc>
      </w:tr>
      <w:tr>
        <w:trPr>
          <w:trHeight w:val="287" w:hRule="atLeast"/>
        </w:trPr>
        <w:tc>
          <w:tcPr>
            <w:tcW w:w="5126" w:type="dxa"/>
          </w:tcPr>
          <w:p>
            <w:pPr>
              <w:pStyle w:val="TableParagraph"/>
              <w:ind w:left="4"/>
              <w:jc w:val="left"/>
              <w:rPr>
                <w:sz w:val="22"/>
              </w:rPr>
            </w:pPr>
            <w:r>
              <w:rPr>
                <w:sz w:val="22"/>
              </w:rPr>
              <w:t>Over</w:t>
            </w:r>
            <w:r>
              <w:rPr>
                <w:spacing w:val="-8"/>
                <w:sz w:val="22"/>
              </w:rPr>
              <w:t> </w:t>
            </w:r>
            <w:r>
              <w:rPr>
                <w:sz w:val="22"/>
              </w:rPr>
              <w:t>$40,000</w:t>
            </w:r>
            <w:r>
              <w:rPr>
                <w:spacing w:val="-8"/>
                <w:sz w:val="22"/>
              </w:rPr>
              <w:t> </w:t>
            </w:r>
            <w:r>
              <w:rPr>
                <w:sz w:val="22"/>
              </w:rPr>
              <w:t>or</w:t>
            </w:r>
            <w:r>
              <w:rPr>
                <w:spacing w:val="-7"/>
                <w:sz w:val="22"/>
              </w:rPr>
              <w:t> </w:t>
            </w:r>
            <w:r>
              <w:rPr>
                <w:sz w:val="22"/>
              </w:rPr>
              <w:t>rehabilitation</w:t>
            </w:r>
            <w:r>
              <w:rPr>
                <w:spacing w:val="-6"/>
                <w:sz w:val="22"/>
              </w:rPr>
              <w:t> </w:t>
            </w:r>
            <w:r>
              <w:rPr>
                <w:sz w:val="22"/>
              </w:rPr>
              <w:t>involving</w:t>
            </w:r>
            <w:r>
              <w:rPr>
                <w:spacing w:val="-6"/>
                <w:sz w:val="22"/>
              </w:rPr>
              <w:t> </w:t>
            </w:r>
            <w:r>
              <w:rPr>
                <w:spacing w:val="-2"/>
                <w:sz w:val="22"/>
              </w:rPr>
              <w:t>refinancing</w:t>
            </w:r>
          </w:p>
        </w:tc>
        <w:tc>
          <w:tcPr>
            <w:tcW w:w="3508" w:type="dxa"/>
          </w:tcPr>
          <w:p>
            <w:pPr>
              <w:pStyle w:val="TableParagraph"/>
              <w:ind w:left="84" w:right="71"/>
              <w:rPr>
                <w:sz w:val="22"/>
              </w:rPr>
            </w:pPr>
            <w:r>
              <w:rPr>
                <w:sz w:val="22"/>
              </w:rPr>
              <w:t>15</w:t>
            </w:r>
            <w:r>
              <w:rPr>
                <w:spacing w:val="-1"/>
                <w:sz w:val="22"/>
              </w:rPr>
              <w:t> </w:t>
            </w:r>
            <w:r>
              <w:rPr>
                <w:spacing w:val="-2"/>
                <w:sz w:val="22"/>
              </w:rPr>
              <w:t>years</w:t>
            </w:r>
          </w:p>
        </w:tc>
      </w:tr>
      <w:tr>
        <w:trPr>
          <w:trHeight w:val="287" w:hRule="atLeast"/>
        </w:trPr>
        <w:tc>
          <w:tcPr>
            <w:tcW w:w="5126" w:type="dxa"/>
          </w:tcPr>
          <w:p>
            <w:pPr>
              <w:pStyle w:val="TableParagraph"/>
              <w:ind w:left="4"/>
              <w:jc w:val="left"/>
              <w:rPr>
                <w:sz w:val="22"/>
              </w:rPr>
            </w:pPr>
            <w:r>
              <w:rPr>
                <w:sz w:val="22"/>
              </w:rPr>
              <w:t>New</w:t>
            </w:r>
            <w:r>
              <w:rPr>
                <w:spacing w:val="-6"/>
                <w:sz w:val="22"/>
              </w:rPr>
              <w:t> </w:t>
            </w:r>
            <w:r>
              <w:rPr>
                <w:sz w:val="22"/>
              </w:rPr>
              <w:t>construction</w:t>
            </w:r>
            <w:r>
              <w:rPr>
                <w:spacing w:val="-5"/>
                <w:sz w:val="22"/>
              </w:rPr>
              <w:t> </w:t>
            </w:r>
            <w:r>
              <w:rPr>
                <w:sz w:val="22"/>
              </w:rPr>
              <w:t>of</w:t>
            </w:r>
            <w:r>
              <w:rPr>
                <w:spacing w:val="-6"/>
                <w:sz w:val="22"/>
              </w:rPr>
              <w:t> </w:t>
            </w:r>
            <w:r>
              <w:rPr>
                <w:sz w:val="22"/>
              </w:rPr>
              <w:t>rental</w:t>
            </w:r>
            <w:r>
              <w:rPr>
                <w:spacing w:val="-5"/>
                <w:sz w:val="22"/>
              </w:rPr>
              <w:t> </w:t>
            </w:r>
            <w:r>
              <w:rPr>
                <w:spacing w:val="-2"/>
                <w:sz w:val="22"/>
              </w:rPr>
              <w:t>housing</w:t>
            </w:r>
          </w:p>
        </w:tc>
        <w:tc>
          <w:tcPr>
            <w:tcW w:w="3508" w:type="dxa"/>
          </w:tcPr>
          <w:p>
            <w:pPr>
              <w:pStyle w:val="TableParagraph"/>
              <w:ind w:left="84" w:right="71"/>
              <w:rPr>
                <w:sz w:val="22"/>
              </w:rPr>
            </w:pPr>
            <w:r>
              <w:rPr>
                <w:sz w:val="22"/>
              </w:rPr>
              <w:t>20</w:t>
            </w:r>
            <w:r>
              <w:rPr>
                <w:spacing w:val="-1"/>
                <w:sz w:val="22"/>
              </w:rPr>
              <w:t> </w:t>
            </w:r>
            <w:r>
              <w:rPr>
                <w:spacing w:val="-2"/>
                <w:sz w:val="22"/>
              </w:rPr>
              <w:t>years</w:t>
            </w:r>
          </w:p>
        </w:tc>
      </w:tr>
    </w:tbl>
    <w:p>
      <w:pPr>
        <w:pStyle w:val="BodyText"/>
        <w:spacing w:before="3"/>
      </w:pPr>
    </w:p>
    <w:p>
      <w:pPr>
        <w:pStyle w:val="Heading5"/>
      </w:pPr>
      <w:r>
        <w:rPr/>
        <w:t>Conditions</w:t>
      </w:r>
      <w:r>
        <w:rPr>
          <w:spacing w:val="-5"/>
        </w:rPr>
        <w:t> </w:t>
      </w:r>
      <w:r>
        <w:rPr/>
        <w:t>of</w:t>
      </w:r>
      <w:r>
        <w:rPr>
          <w:spacing w:val="-5"/>
        </w:rPr>
        <w:t> </w:t>
      </w:r>
      <w:r>
        <w:rPr/>
        <w:t>All</w:t>
      </w:r>
      <w:r>
        <w:rPr>
          <w:spacing w:val="-1"/>
        </w:rPr>
        <w:t> </w:t>
      </w:r>
      <w:r>
        <w:rPr/>
        <w:t>City</w:t>
      </w:r>
      <w:r>
        <w:rPr>
          <w:spacing w:val="-4"/>
        </w:rPr>
        <w:t> </w:t>
      </w:r>
      <w:r>
        <w:rPr>
          <w:spacing w:val="-2"/>
        </w:rPr>
        <w:t>Loans</w:t>
      </w:r>
    </w:p>
    <w:p>
      <w:pPr>
        <w:pStyle w:val="ListParagraph"/>
        <w:numPr>
          <w:ilvl w:val="1"/>
          <w:numId w:val="16"/>
        </w:numPr>
        <w:tabs>
          <w:tab w:pos="841" w:val="left" w:leader="none"/>
        </w:tabs>
        <w:spacing w:line="240" w:lineRule="auto" w:before="52" w:after="0"/>
        <w:ind w:left="840" w:right="156" w:hanging="361"/>
        <w:jc w:val="both"/>
        <w:rPr>
          <w:rFonts w:ascii="Symbol" w:hAnsi="Symbol"/>
          <w:sz w:val="22"/>
        </w:rPr>
      </w:pPr>
      <w:r>
        <w:rPr>
          <w:sz w:val="22"/>
        </w:rPr>
        <w:t>The</w:t>
      </w:r>
      <w:r>
        <w:rPr>
          <w:spacing w:val="-16"/>
          <w:sz w:val="22"/>
        </w:rPr>
        <w:t> </w:t>
      </w:r>
      <w:r>
        <w:rPr>
          <w:sz w:val="22"/>
        </w:rPr>
        <w:t>property</w:t>
      </w:r>
      <w:r>
        <w:rPr>
          <w:spacing w:val="-15"/>
          <w:sz w:val="22"/>
        </w:rPr>
        <w:t> </w:t>
      </w:r>
      <w:r>
        <w:rPr>
          <w:sz w:val="22"/>
        </w:rPr>
        <w:t>must</w:t>
      </w:r>
      <w:r>
        <w:rPr>
          <w:spacing w:val="-15"/>
          <w:sz w:val="22"/>
        </w:rPr>
        <w:t> </w:t>
      </w:r>
      <w:r>
        <w:rPr>
          <w:sz w:val="22"/>
        </w:rPr>
        <w:t>be</w:t>
      </w:r>
      <w:r>
        <w:rPr>
          <w:spacing w:val="-15"/>
          <w:sz w:val="22"/>
        </w:rPr>
        <w:t> </w:t>
      </w:r>
      <w:r>
        <w:rPr>
          <w:sz w:val="22"/>
        </w:rPr>
        <w:t>residential</w:t>
      </w:r>
      <w:r>
        <w:rPr>
          <w:spacing w:val="-14"/>
          <w:sz w:val="22"/>
        </w:rPr>
        <w:t> </w:t>
      </w:r>
      <w:r>
        <w:rPr>
          <w:sz w:val="22"/>
        </w:rPr>
        <w:t>rental</w:t>
      </w:r>
      <w:r>
        <w:rPr>
          <w:spacing w:val="-15"/>
          <w:sz w:val="22"/>
        </w:rPr>
        <w:t> </w:t>
      </w:r>
      <w:r>
        <w:rPr>
          <w:sz w:val="22"/>
        </w:rPr>
        <w:t>property</w:t>
      </w:r>
      <w:r>
        <w:rPr>
          <w:spacing w:val="-14"/>
          <w:sz w:val="22"/>
        </w:rPr>
        <w:t> </w:t>
      </w:r>
      <w:r>
        <w:rPr>
          <w:sz w:val="22"/>
        </w:rPr>
        <w:t>under</w:t>
      </w:r>
      <w:r>
        <w:rPr>
          <w:spacing w:val="-13"/>
          <w:sz w:val="22"/>
        </w:rPr>
        <w:t> </w:t>
      </w:r>
      <w:r>
        <w:rPr>
          <w:sz w:val="22"/>
        </w:rPr>
        <w:t>the</w:t>
      </w:r>
      <w:r>
        <w:rPr>
          <w:spacing w:val="-16"/>
          <w:sz w:val="22"/>
        </w:rPr>
        <w:t> </w:t>
      </w:r>
      <w:r>
        <w:rPr>
          <w:sz w:val="22"/>
        </w:rPr>
        <w:t>existing</w:t>
      </w:r>
      <w:r>
        <w:rPr>
          <w:spacing w:val="-14"/>
          <w:sz w:val="22"/>
        </w:rPr>
        <w:t> </w:t>
      </w:r>
      <w:r>
        <w:rPr>
          <w:sz w:val="22"/>
        </w:rPr>
        <w:t>ownership</w:t>
      </w:r>
      <w:r>
        <w:rPr>
          <w:spacing w:val="-15"/>
          <w:sz w:val="22"/>
        </w:rPr>
        <w:t> </w:t>
      </w:r>
      <w:r>
        <w:rPr>
          <w:sz w:val="22"/>
        </w:rPr>
        <w:t>for</w:t>
      </w:r>
      <w:r>
        <w:rPr>
          <w:spacing w:val="-16"/>
          <w:sz w:val="22"/>
        </w:rPr>
        <w:t> </w:t>
      </w:r>
      <w:r>
        <w:rPr>
          <w:sz w:val="22"/>
        </w:rPr>
        <w:t>the</w:t>
      </w:r>
      <w:r>
        <w:rPr>
          <w:spacing w:val="-15"/>
          <w:sz w:val="22"/>
        </w:rPr>
        <w:t> </w:t>
      </w:r>
      <w:r>
        <w:rPr>
          <w:sz w:val="22"/>
        </w:rPr>
        <w:t>entire loan</w:t>
      </w:r>
      <w:r>
        <w:rPr>
          <w:spacing w:val="-2"/>
          <w:sz w:val="22"/>
        </w:rPr>
        <w:t> </w:t>
      </w:r>
      <w:r>
        <w:rPr>
          <w:sz w:val="22"/>
        </w:rPr>
        <w:t>term.</w:t>
      </w:r>
      <w:r>
        <w:rPr>
          <w:spacing w:val="-3"/>
          <w:sz w:val="22"/>
        </w:rPr>
        <w:t> </w:t>
      </w:r>
      <w:r>
        <w:rPr>
          <w:sz w:val="22"/>
        </w:rPr>
        <w:t>If</w:t>
      </w:r>
      <w:r>
        <w:rPr>
          <w:spacing w:val="-2"/>
          <w:sz w:val="22"/>
        </w:rPr>
        <w:t> </w:t>
      </w:r>
      <w:r>
        <w:rPr>
          <w:sz w:val="22"/>
        </w:rPr>
        <w:t>the</w:t>
      </w:r>
      <w:r>
        <w:rPr>
          <w:spacing w:val="-2"/>
          <w:sz w:val="22"/>
        </w:rPr>
        <w:t> </w:t>
      </w:r>
      <w:r>
        <w:rPr>
          <w:sz w:val="22"/>
        </w:rPr>
        <w:t>property</w:t>
      </w:r>
      <w:r>
        <w:rPr>
          <w:spacing w:val="-6"/>
          <w:sz w:val="22"/>
        </w:rPr>
        <w:t> </w:t>
      </w:r>
      <w:r>
        <w:rPr>
          <w:sz w:val="22"/>
        </w:rPr>
        <w:t>is</w:t>
      </w:r>
      <w:r>
        <w:rPr>
          <w:spacing w:val="-1"/>
          <w:sz w:val="22"/>
        </w:rPr>
        <w:t> </w:t>
      </w:r>
      <w:r>
        <w:rPr>
          <w:sz w:val="22"/>
        </w:rPr>
        <w:t>transferred</w:t>
      </w:r>
      <w:r>
        <w:rPr>
          <w:spacing w:val="-4"/>
          <w:sz w:val="22"/>
        </w:rPr>
        <w:t> </w:t>
      </w:r>
      <w:r>
        <w:rPr>
          <w:sz w:val="22"/>
        </w:rPr>
        <w:t>by</w:t>
      </w:r>
      <w:r>
        <w:rPr>
          <w:spacing w:val="-4"/>
          <w:sz w:val="22"/>
        </w:rPr>
        <w:t> </w:t>
      </w:r>
      <w:r>
        <w:rPr>
          <w:sz w:val="22"/>
        </w:rPr>
        <w:t>any</w:t>
      </w:r>
      <w:r>
        <w:rPr>
          <w:spacing w:val="-4"/>
          <w:sz w:val="22"/>
        </w:rPr>
        <w:t> </w:t>
      </w:r>
      <w:r>
        <w:rPr>
          <w:sz w:val="22"/>
        </w:rPr>
        <w:t>means</w:t>
      </w:r>
      <w:r>
        <w:rPr>
          <w:spacing w:val="-1"/>
          <w:sz w:val="22"/>
        </w:rPr>
        <w:t> </w:t>
      </w:r>
      <w:r>
        <w:rPr>
          <w:sz w:val="22"/>
        </w:rPr>
        <w:t>during</w:t>
      </w:r>
      <w:r>
        <w:rPr>
          <w:spacing w:val="-4"/>
          <w:sz w:val="22"/>
        </w:rPr>
        <w:t> </w:t>
      </w:r>
      <w:r>
        <w:rPr>
          <w:sz w:val="22"/>
        </w:rPr>
        <w:t>the</w:t>
      </w:r>
      <w:r>
        <w:rPr>
          <w:spacing w:val="-4"/>
          <w:sz w:val="22"/>
        </w:rPr>
        <w:t> </w:t>
      </w:r>
      <w:r>
        <w:rPr>
          <w:sz w:val="22"/>
        </w:rPr>
        <w:t>loan</w:t>
      </w:r>
      <w:r>
        <w:rPr>
          <w:spacing w:val="-4"/>
          <w:sz w:val="22"/>
        </w:rPr>
        <w:t> </w:t>
      </w:r>
      <w:r>
        <w:rPr>
          <w:sz w:val="22"/>
        </w:rPr>
        <w:t>term,</w:t>
      </w:r>
      <w:r>
        <w:rPr>
          <w:spacing w:val="-2"/>
          <w:sz w:val="22"/>
        </w:rPr>
        <w:t> </w:t>
      </w:r>
      <w:r>
        <w:rPr>
          <w:sz w:val="22"/>
        </w:rPr>
        <w:t>the</w:t>
      </w:r>
      <w:r>
        <w:rPr>
          <w:spacing w:val="-4"/>
          <w:sz w:val="22"/>
        </w:rPr>
        <w:t> </w:t>
      </w:r>
      <w:r>
        <w:rPr>
          <w:sz w:val="22"/>
        </w:rPr>
        <w:t>remaining unforgiven portion, plus interest based on the existing market, will become immediately due and payable;</w:t>
      </w:r>
    </w:p>
    <w:p>
      <w:pPr>
        <w:pStyle w:val="ListParagraph"/>
        <w:numPr>
          <w:ilvl w:val="1"/>
          <w:numId w:val="16"/>
        </w:numPr>
        <w:tabs>
          <w:tab w:pos="841" w:val="left" w:leader="none"/>
        </w:tabs>
        <w:spacing w:line="237" w:lineRule="auto" w:before="0" w:after="0"/>
        <w:ind w:left="840" w:right="159" w:hanging="361"/>
        <w:jc w:val="both"/>
        <w:rPr>
          <w:rFonts w:ascii="Symbol" w:hAnsi="Symbol"/>
          <w:sz w:val="22"/>
        </w:rPr>
      </w:pPr>
      <w:r>
        <w:rPr>
          <w:sz w:val="22"/>
        </w:rPr>
        <w:t>The Borrower must maintain the property according to the Dallas Unified Building Code and agrees to allow City personnel to annually inspect the property;</w:t>
      </w:r>
    </w:p>
    <w:p>
      <w:pPr>
        <w:pStyle w:val="ListParagraph"/>
        <w:numPr>
          <w:ilvl w:val="1"/>
          <w:numId w:val="16"/>
        </w:numPr>
        <w:tabs>
          <w:tab w:pos="841" w:val="left" w:leader="none"/>
        </w:tabs>
        <w:spacing w:line="237" w:lineRule="auto" w:before="4" w:after="0"/>
        <w:ind w:left="840" w:right="156" w:hanging="361"/>
        <w:jc w:val="both"/>
        <w:rPr>
          <w:rFonts w:ascii="Symbol" w:hAnsi="Symbol"/>
          <w:sz w:val="22"/>
        </w:rPr>
      </w:pPr>
      <w:r>
        <w:rPr>
          <w:sz w:val="22"/>
        </w:rPr>
        <w:t>The</w:t>
      </w:r>
      <w:r>
        <w:rPr>
          <w:spacing w:val="-14"/>
          <w:sz w:val="22"/>
        </w:rPr>
        <w:t> </w:t>
      </w:r>
      <w:r>
        <w:rPr>
          <w:sz w:val="22"/>
        </w:rPr>
        <w:t>Borrower</w:t>
      </w:r>
      <w:r>
        <w:rPr>
          <w:spacing w:val="-11"/>
          <w:sz w:val="22"/>
        </w:rPr>
        <w:t> </w:t>
      </w:r>
      <w:r>
        <w:rPr>
          <w:sz w:val="22"/>
        </w:rPr>
        <w:t>provides</w:t>
      </w:r>
      <w:r>
        <w:rPr>
          <w:spacing w:val="-12"/>
          <w:sz w:val="22"/>
        </w:rPr>
        <w:t> </w:t>
      </w:r>
      <w:r>
        <w:rPr>
          <w:sz w:val="22"/>
        </w:rPr>
        <w:t>evidence</w:t>
      </w:r>
      <w:r>
        <w:rPr>
          <w:spacing w:val="-12"/>
          <w:sz w:val="22"/>
        </w:rPr>
        <w:t> </w:t>
      </w:r>
      <w:r>
        <w:rPr>
          <w:sz w:val="22"/>
        </w:rPr>
        <w:t>of</w:t>
      </w:r>
      <w:r>
        <w:rPr>
          <w:spacing w:val="-13"/>
          <w:sz w:val="22"/>
        </w:rPr>
        <w:t> </w:t>
      </w:r>
      <w:r>
        <w:rPr>
          <w:sz w:val="22"/>
        </w:rPr>
        <w:t>having</w:t>
      </w:r>
      <w:r>
        <w:rPr>
          <w:spacing w:val="-12"/>
          <w:sz w:val="22"/>
        </w:rPr>
        <w:t> </w:t>
      </w:r>
      <w:r>
        <w:rPr>
          <w:sz w:val="22"/>
        </w:rPr>
        <w:t>paid</w:t>
      </w:r>
      <w:r>
        <w:rPr>
          <w:spacing w:val="-12"/>
          <w:sz w:val="22"/>
        </w:rPr>
        <w:t> </w:t>
      </w:r>
      <w:r>
        <w:rPr>
          <w:sz w:val="22"/>
        </w:rPr>
        <w:t>annual</w:t>
      </w:r>
      <w:r>
        <w:rPr>
          <w:spacing w:val="-13"/>
          <w:sz w:val="22"/>
        </w:rPr>
        <w:t> </w:t>
      </w:r>
      <w:r>
        <w:rPr>
          <w:sz w:val="22"/>
        </w:rPr>
        <w:t>property</w:t>
      </w:r>
      <w:r>
        <w:rPr>
          <w:spacing w:val="-14"/>
          <w:sz w:val="22"/>
        </w:rPr>
        <w:t> </w:t>
      </w:r>
      <w:r>
        <w:rPr>
          <w:sz w:val="22"/>
        </w:rPr>
        <w:t>taxes</w:t>
      </w:r>
      <w:r>
        <w:rPr>
          <w:spacing w:val="-14"/>
          <w:sz w:val="22"/>
        </w:rPr>
        <w:t> </w:t>
      </w:r>
      <w:r>
        <w:rPr>
          <w:sz w:val="22"/>
        </w:rPr>
        <w:t>and</w:t>
      </w:r>
      <w:r>
        <w:rPr>
          <w:spacing w:val="-16"/>
          <w:sz w:val="22"/>
        </w:rPr>
        <w:t> </w:t>
      </w:r>
      <w:r>
        <w:rPr>
          <w:sz w:val="22"/>
        </w:rPr>
        <w:t>having</w:t>
      </w:r>
      <w:r>
        <w:rPr>
          <w:spacing w:val="-12"/>
          <w:sz w:val="22"/>
        </w:rPr>
        <w:t> </w:t>
      </w:r>
      <w:r>
        <w:rPr>
          <w:sz w:val="22"/>
        </w:rPr>
        <w:t>secured fire and extended insurance coverage for the property;</w:t>
      </w:r>
    </w:p>
    <w:p>
      <w:pPr>
        <w:pStyle w:val="ListParagraph"/>
        <w:numPr>
          <w:ilvl w:val="1"/>
          <w:numId w:val="16"/>
        </w:numPr>
        <w:tabs>
          <w:tab w:pos="841" w:val="left" w:leader="none"/>
        </w:tabs>
        <w:spacing w:line="237" w:lineRule="auto" w:before="3" w:after="0"/>
        <w:ind w:left="840" w:right="158" w:hanging="361"/>
        <w:jc w:val="both"/>
        <w:rPr>
          <w:rFonts w:ascii="Symbol" w:hAnsi="Symbol"/>
          <w:sz w:val="22"/>
        </w:rPr>
      </w:pPr>
      <w:r>
        <w:rPr>
          <w:sz w:val="22"/>
        </w:rPr>
        <w:t>Borrower must annually provide the City of Dallas with the information on rents and occupancy of HOME-assisted units</w:t>
      </w:r>
      <w:r>
        <w:rPr>
          <w:spacing w:val="-1"/>
          <w:sz w:val="22"/>
        </w:rPr>
        <w:t> </w:t>
      </w:r>
      <w:r>
        <w:rPr>
          <w:sz w:val="22"/>
        </w:rPr>
        <w:t>to demonstrate compliance with the affordability rent </w:t>
      </w:r>
      <w:r>
        <w:rPr>
          <w:spacing w:val="-2"/>
          <w:sz w:val="22"/>
        </w:rPr>
        <w:t>requirements;</w:t>
      </w:r>
    </w:p>
    <w:p>
      <w:pPr>
        <w:pStyle w:val="ListParagraph"/>
        <w:numPr>
          <w:ilvl w:val="1"/>
          <w:numId w:val="16"/>
        </w:numPr>
        <w:tabs>
          <w:tab w:pos="841" w:val="left" w:leader="none"/>
        </w:tabs>
        <w:spacing w:line="269" w:lineRule="exact" w:before="3" w:after="0"/>
        <w:ind w:left="840" w:right="0" w:hanging="361"/>
        <w:jc w:val="both"/>
        <w:rPr>
          <w:rFonts w:ascii="Symbol" w:hAnsi="Symbol"/>
          <w:sz w:val="22"/>
        </w:rPr>
      </w:pPr>
      <w:r>
        <w:rPr>
          <w:sz w:val="22"/>
        </w:rPr>
        <w:t>The</w:t>
      </w:r>
      <w:r>
        <w:rPr>
          <w:spacing w:val="-5"/>
          <w:sz w:val="22"/>
        </w:rPr>
        <w:t> </w:t>
      </w:r>
      <w:r>
        <w:rPr>
          <w:sz w:val="22"/>
        </w:rPr>
        <w:t>Borrower</w:t>
      </w:r>
      <w:r>
        <w:rPr>
          <w:spacing w:val="-7"/>
          <w:sz w:val="22"/>
        </w:rPr>
        <w:t> </w:t>
      </w:r>
      <w:r>
        <w:rPr>
          <w:sz w:val="22"/>
        </w:rPr>
        <w:t>must</w:t>
      </w:r>
      <w:r>
        <w:rPr>
          <w:spacing w:val="-7"/>
          <w:sz w:val="22"/>
        </w:rPr>
        <w:t> </w:t>
      </w:r>
      <w:r>
        <w:rPr>
          <w:sz w:val="22"/>
        </w:rPr>
        <w:t>maintain</w:t>
      </w:r>
      <w:r>
        <w:rPr>
          <w:spacing w:val="-6"/>
          <w:sz w:val="22"/>
        </w:rPr>
        <w:t> </w:t>
      </w:r>
      <w:r>
        <w:rPr>
          <w:sz w:val="22"/>
        </w:rPr>
        <w:t>reserves</w:t>
      </w:r>
      <w:r>
        <w:rPr>
          <w:spacing w:val="-8"/>
          <w:sz w:val="22"/>
        </w:rPr>
        <w:t> </w:t>
      </w:r>
      <w:r>
        <w:rPr>
          <w:sz w:val="22"/>
        </w:rPr>
        <w:t>for</w:t>
      </w:r>
      <w:r>
        <w:rPr>
          <w:spacing w:val="-6"/>
          <w:sz w:val="22"/>
        </w:rPr>
        <w:t> </w:t>
      </w:r>
      <w:r>
        <w:rPr>
          <w:sz w:val="22"/>
        </w:rPr>
        <w:t>maintenance;</w:t>
      </w:r>
      <w:r>
        <w:rPr>
          <w:spacing w:val="-4"/>
          <w:sz w:val="22"/>
        </w:rPr>
        <w:t> </w:t>
      </w:r>
      <w:r>
        <w:rPr>
          <w:spacing w:val="-5"/>
          <w:sz w:val="22"/>
        </w:rPr>
        <w:t>and</w:t>
      </w:r>
    </w:p>
    <w:p>
      <w:pPr>
        <w:pStyle w:val="ListParagraph"/>
        <w:numPr>
          <w:ilvl w:val="1"/>
          <w:numId w:val="16"/>
        </w:numPr>
        <w:tabs>
          <w:tab w:pos="842" w:val="left" w:leader="none"/>
        </w:tabs>
        <w:spacing w:line="269" w:lineRule="exact" w:before="0" w:after="0"/>
        <w:ind w:left="841" w:right="0" w:hanging="361"/>
        <w:jc w:val="both"/>
        <w:rPr>
          <w:rFonts w:ascii="Symbol" w:hAnsi="Symbol"/>
          <w:sz w:val="22"/>
        </w:rPr>
      </w:pPr>
      <w:r>
        <w:rPr>
          <w:sz w:val="22"/>
        </w:rPr>
        <w:t>No</w:t>
      </w:r>
      <w:r>
        <w:rPr>
          <w:spacing w:val="-7"/>
          <w:sz w:val="22"/>
        </w:rPr>
        <w:t> </w:t>
      </w:r>
      <w:r>
        <w:rPr>
          <w:sz w:val="22"/>
        </w:rPr>
        <w:t>further</w:t>
      </w:r>
      <w:r>
        <w:rPr>
          <w:spacing w:val="-5"/>
          <w:sz w:val="22"/>
        </w:rPr>
        <w:t> </w:t>
      </w:r>
      <w:r>
        <w:rPr>
          <w:sz w:val="22"/>
        </w:rPr>
        <w:t>assistance</w:t>
      </w:r>
      <w:r>
        <w:rPr>
          <w:spacing w:val="-5"/>
          <w:sz w:val="22"/>
        </w:rPr>
        <w:t> </w:t>
      </w:r>
      <w:r>
        <w:rPr>
          <w:sz w:val="22"/>
        </w:rPr>
        <w:t>during</w:t>
      </w:r>
      <w:r>
        <w:rPr>
          <w:spacing w:val="-4"/>
          <w:sz w:val="22"/>
        </w:rPr>
        <w:t> </w:t>
      </w:r>
      <w:r>
        <w:rPr>
          <w:sz w:val="22"/>
        </w:rPr>
        <w:t>the</w:t>
      </w:r>
      <w:r>
        <w:rPr>
          <w:spacing w:val="-7"/>
          <w:sz w:val="22"/>
        </w:rPr>
        <w:t> </w:t>
      </w:r>
      <w:r>
        <w:rPr>
          <w:sz w:val="22"/>
        </w:rPr>
        <w:t>affordability</w:t>
      </w:r>
      <w:r>
        <w:rPr>
          <w:spacing w:val="-6"/>
          <w:sz w:val="22"/>
        </w:rPr>
        <w:t> </w:t>
      </w:r>
      <w:r>
        <w:rPr>
          <w:sz w:val="22"/>
        </w:rPr>
        <w:t>period</w:t>
      </w:r>
      <w:r>
        <w:rPr>
          <w:spacing w:val="-5"/>
          <w:sz w:val="22"/>
        </w:rPr>
        <w:t> </w:t>
      </w:r>
      <w:r>
        <w:rPr>
          <w:sz w:val="22"/>
        </w:rPr>
        <w:t>term</w:t>
      </w:r>
      <w:r>
        <w:rPr>
          <w:spacing w:val="-5"/>
          <w:sz w:val="22"/>
        </w:rPr>
        <w:t> </w:t>
      </w:r>
      <w:r>
        <w:rPr>
          <w:sz w:val="22"/>
        </w:rPr>
        <w:t>of</w:t>
      </w:r>
      <w:r>
        <w:rPr>
          <w:spacing w:val="-6"/>
          <w:sz w:val="22"/>
        </w:rPr>
        <w:t> </w:t>
      </w:r>
      <w:r>
        <w:rPr>
          <w:sz w:val="22"/>
        </w:rPr>
        <w:t>the</w:t>
      </w:r>
      <w:r>
        <w:rPr>
          <w:spacing w:val="-6"/>
          <w:sz w:val="22"/>
        </w:rPr>
        <w:t> </w:t>
      </w:r>
      <w:r>
        <w:rPr>
          <w:sz w:val="22"/>
        </w:rPr>
        <w:t>loan,</w:t>
      </w:r>
      <w:r>
        <w:rPr>
          <w:spacing w:val="-5"/>
          <w:sz w:val="22"/>
        </w:rPr>
        <w:t> </w:t>
      </w:r>
      <w:r>
        <w:rPr>
          <w:sz w:val="22"/>
        </w:rPr>
        <w:t>whichever</w:t>
      </w:r>
      <w:r>
        <w:rPr>
          <w:spacing w:val="-3"/>
          <w:sz w:val="22"/>
        </w:rPr>
        <w:t> </w:t>
      </w:r>
      <w:r>
        <w:rPr>
          <w:sz w:val="22"/>
        </w:rPr>
        <w:t>is</w:t>
      </w:r>
      <w:r>
        <w:rPr>
          <w:spacing w:val="-6"/>
          <w:sz w:val="22"/>
        </w:rPr>
        <w:t> </w:t>
      </w:r>
      <w:r>
        <w:rPr>
          <w:spacing w:val="-2"/>
          <w:sz w:val="22"/>
        </w:rPr>
        <w:t>longer.</w:t>
      </w:r>
    </w:p>
    <w:p>
      <w:pPr>
        <w:spacing w:after="0" w:line="269" w:lineRule="exact"/>
        <w:jc w:val="both"/>
        <w:rPr>
          <w:rFonts w:ascii="Symbol" w:hAnsi="Symbol"/>
          <w:sz w:val="22"/>
        </w:rPr>
        <w:sectPr>
          <w:pgSz w:w="12240" w:h="15840"/>
          <w:pgMar w:header="0" w:footer="1738" w:top="1360" w:bottom="1920" w:left="1320" w:right="1280"/>
        </w:sectPr>
      </w:pPr>
    </w:p>
    <w:p>
      <w:pPr>
        <w:pStyle w:val="BodyText"/>
        <w:spacing w:before="80"/>
        <w:ind w:left="120" w:right="153"/>
        <w:jc w:val="both"/>
      </w:pPr>
      <w:r>
        <w:rPr/>
        <w:t>The City loan will be secured by a lien on the property. The lien position will be no less than a second, except upon approval of the appropriate City Department Director. The City may also require additional security for its loan, including, but not limited to, a first lien position on other investment property of the owner, as well as personal and/or corporate guarantees if it is necessary to secure the loan.</w:t>
      </w:r>
    </w:p>
    <w:p>
      <w:pPr>
        <w:pStyle w:val="BodyText"/>
        <w:spacing w:before="10"/>
        <w:rPr>
          <w:sz w:val="21"/>
        </w:rPr>
      </w:pPr>
    </w:p>
    <w:p>
      <w:pPr>
        <w:pStyle w:val="BodyText"/>
        <w:ind w:left="120" w:right="156"/>
        <w:jc w:val="both"/>
      </w:pPr>
      <w:r>
        <w:rPr/>
        <w:pict>
          <v:shape style="position:absolute;margin-left:90.065002pt;margin-top:21.386141pt;width:395.3pt;height:419pt;mso-position-horizontal-relative:page;mso-position-vertical-relative:paragraph;z-index:-17708032" id="docshape73" coordorigin="1801,428" coordsize="7906,8380" path="m4498,7691l4492,7618,4477,7540,4455,7457,4432,7388,4403,7316,4367,7241,4325,7163,4276,7082,4237,7023,4200,6973,4200,7658,4197,7714,4186,7771,4167,7829,4138,7888,4097,7951,4044,8017,3979,8087,3674,8392,2216,6934,2517,6634,2598,6557,2672,6498,2740,6454,2801,6428,2868,6413,2941,6409,3020,6416,3105,6434,3195,6463,3255,6488,3317,6521,3380,6559,3446,6604,3514,6656,3584,6714,3656,6779,3729,6850,3789,6912,3845,6972,3896,7031,3943,7089,3986,7145,4025,7200,4059,7254,4101,7329,4136,7401,4163,7471,4183,7538,4196,7602,4200,7658,4200,6973,4194,6964,4148,6904,4098,6843,4045,6782,3989,6721,3929,6659,3865,6597,3801,6538,3737,6483,3673,6432,3643,6409,3609,6384,3546,6339,3482,6298,3419,6260,3346,6222,3274,6190,3203,6163,3132,6141,3062,6124,2992,6112,2923,6105,2850,6103,2779,6110,2709,6125,2642,6148,2577,6178,2528,6206,2476,6243,2420,6289,2359,6343,2294,6405,1801,6899,3710,8807,4124,8392,4226,8290,4287,8225,4341,8160,4386,8094,4424,8027,4454,7961,4476,7894,4491,7828,4498,7760,4498,7691xm6418,6098l6056,5971,5650,5828,5561,5799,5475,5775,5393,5756,5365,5750,5314,5741,5239,5731,5193,5730,5143,5733,5089,5740,5030,5750,5073,5681,5109,5611,5136,5542,5154,5473,5164,5405,5165,5336,5157,5269,5139,5191,5111,5114,5075,5040,5030,4967,4976,4896,4956,4874,4913,4828,4872,4790,4872,5347,4868,5403,4854,5458,4830,5514,4794,5572,4747,5633,4687,5697,4280,6104,3649,5473,4102,5020,4166,4963,4229,4920,4293,4890,4358,4875,4422,4874,4501,4889,4577,4919,4649,4963,4718,5023,4761,5071,4797,5121,4827,5175,4851,5232,4867,5290,4872,5347,4872,4790,4849,4768,4782,4716,4713,4670,4641,4632,4566,4600,4474,4571,4386,4559,4303,4561,4225,4577,4163,4601,4098,4638,4030,4686,3958,4746,3883,4817,3248,5452,5157,7360,5346,7170,4499,6323,4718,6104,4753,6070,4783,6042,4810,6021,4833,6007,4863,5993,4896,5982,4932,5975,4971,5971,5014,5971,5066,5976,5125,5986,5194,6003,5256,6020,5328,6041,5407,6066,5496,6095,6180,6336,6418,6098xm7780,4736l7415,4541,6555,4087,6555,4394,6070,4879,6030,4808,5989,4736,5748,4305,5708,4234,5668,4162,5629,4097,5590,4032,5550,3968,5509,3905,5467,3843,5424,3781,5380,3721,5436,3756,5498,3794,5564,3834,5635,3876,5792,3966,6555,4394,6555,4087,5862,3721,5286,3414,5082,3618,5277,3968,5316,4038,5701,4736,6207,5655,6441,6076,6642,5875,6565,5741,6298,5273,6221,5139,6481,4879,6820,4541,7173,4736,7565,4952,7780,4736xm8131,4386l7264,3519,7936,2847,7711,2622,7039,3293,6448,2703,7224,1926,6999,1701,6033,2667,7941,4575,8131,4386xm9707,2810l8024,1127,8497,653,8272,428,7138,1562,7363,1787,7834,1316,9517,2999,9707,2810xe" filled="true" fillcolor="#c0c0c0" stroked="false">
            <v:path arrowok="t"/>
            <v:fill opacity="32896f" type="solid"/>
            <w10:wrap type="none"/>
          </v:shape>
        </w:pict>
      </w:r>
      <w:r>
        <w:rPr/>
        <w:t>The</w:t>
      </w:r>
      <w:r>
        <w:rPr>
          <w:spacing w:val="-4"/>
        </w:rPr>
        <w:t> </w:t>
      </w:r>
      <w:r>
        <w:rPr/>
        <w:t>terms</w:t>
      </w:r>
      <w:r>
        <w:rPr>
          <w:spacing w:val="-4"/>
        </w:rPr>
        <w:t> </w:t>
      </w:r>
      <w:r>
        <w:rPr/>
        <w:t>of</w:t>
      </w:r>
      <w:r>
        <w:rPr>
          <w:spacing w:val="-3"/>
        </w:rPr>
        <w:t> </w:t>
      </w:r>
      <w:r>
        <w:rPr/>
        <w:t>payment</w:t>
      </w:r>
      <w:r>
        <w:rPr>
          <w:spacing w:val="-2"/>
        </w:rPr>
        <w:t> </w:t>
      </w:r>
      <w:r>
        <w:rPr/>
        <w:t>will</w:t>
      </w:r>
      <w:r>
        <w:rPr>
          <w:spacing w:val="-5"/>
        </w:rPr>
        <w:t> </w:t>
      </w:r>
      <w:r>
        <w:rPr/>
        <w:t>continue</w:t>
      </w:r>
      <w:r>
        <w:rPr>
          <w:spacing w:val="-4"/>
        </w:rPr>
        <w:t> </w:t>
      </w:r>
      <w:r>
        <w:rPr/>
        <w:t>throughout</w:t>
      </w:r>
      <w:r>
        <w:rPr>
          <w:spacing w:val="-3"/>
        </w:rPr>
        <w:t> </w:t>
      </w:r>
      <w:r>
        <w:rPr/>
        <w:t>the</w:t>
      </w:r>
      <w:r>
        <w:rPr>
          <w:spacing w:val="-6"/>
        </w:rPr>
        <w:t> </w:t>
      </w:r>
      <w:r>
        <w:rPr/>
        <w:t>entire</w:t>
      </w:r>
      <w:r>
        <w:rPr>
          <w:spacing w:val="-4"/>
        </w:rPr>
        <w:t> </w:t>
      </w:r>
      <w:r>
        <w:rPr/>
        <w:t>term</w:t>
      </w:r>
      <w:r>
        <w:rPr>
          <w:spacing w:val="-5"/>
        </w:rPr>
        <w:t> </w:t>
      </w:r>
      <w:r>
        <w:rPr/>
        <w:t>of</w:t>
      </w:r>
      <w:r>
        <w:rPr>
          <w:spacing w:val="-5"/>
        </w:rPr>
        <w:t> </w:t>
      </w:r>
      <w:r>
        <w:rPr/>
        <w:t>the</w:t>
      </w:r>
      <w:r>
        <w:rPr>
          <w:spacing w:val="-4"/>
        </w:rPr>
        <w:t> </w:t>
      </w:r>
      <w:r>
        <w:rPr/>
        <w:t>note,</w:t>
      </w:r>
      <w:r>
        <w:rPr>
          <w:spacing w:val="-3"/>
        </w:rPr>
        <w:t> </w:t>
      </w:r>
      <w:r>
        <w:rPr/>
        <w:t>provided</w:t>
      </w:r>
      <w:r>
        <w:rPr>
          <w:spacing w:val="-4"/>
        </w:rPr>
        <w:t> </w:t>
      </w:r>
      <w:r>
        <w:rPr/>
        <w:t>the</w:t>
      </w:r>
      <w:r>
        <w:rPr>
          <w:spacing w:val="-4"/>
        </w:rPr>
        <w:t> </w:t>
      </w:r>
      <w:r>
        <w:rPr/>
        <w:t>Borrower complies</w:t>
      </w:r>
      <w:r>
        <w:rPr>
          <w:spacing w:val="-7"/>
        </w:rPr>
        <w:t> </w:t>
      </w:r>
      <w:r>
        <w:rPr/>
        <w:t>with</w:t>
      </w:r>
      <w:r>
        <w:rPr>
          <w:spacing w:val="-10"/>
        </w:rPr>
        <w:t> </w:t>
      </w:r>
      <w:r>
        <w:rPr/>
        <w:t>each</w:t>
      </w:r>
      <w:r>
        <w:rPr>
          <w:spacing w:val="-10"/>
        </w:rPr>
        <w:t> </w:t>
      </w:r>
      <w:r>
        <w:rPr/>
        <w:t>and</w:t>
      </w:r>
      <w:r>
        <w:rPr>
          <w:spacing w:val="-10"/>
        </w:rPr>
        <w:t> </w:t>
      </w:r>
      <w:r>
        <w:rPr/>
        <w:t>every</w:t>
      </w:r>
      <w:r>
        <w:rPr>
          <w:spacing w:val="-9"/>
        </w:rPr>
        <w:t> </w:t>
      </w:r>
      <w:r>
        <w:rPr/>
        <w:t>term</w:t>
      </w:r>
      <w:r>
        <w:rPr>
          <w:spacing w:val="-9"/>
        </w:rPr>
        <w:t> </w:t>
      </w:r>
      <w:r>
        <w:rPr/>
        <w:t>and</w:t>
      </w:r>
      <w:r>
        <w:rPr>
          <w:spacing w:val="-12"/>
        </w:rPr>
        <w:t> </w:t>
      </w:r>
      <w:r>
        <w:rPr/>
        <w:t>condition</w:t>
      </w:r>
      <w:r>
        <w:rPr>
          <w:spacing w:val="-7"/>
        </w:rPr>
        <w:t> </w:t>
      </w:r>
      <w:r>
        <w:rPr/>
        <w:t>of</w:t>
      </w:r>
      <w:r>
        <w:rPr>
          <w:spacing w:val="-8"/>
        </w:rPr>
        <w:t> </w:t>
      </w:r>
      <w:r>
        <w:rPr/>
        <w:t>the</w:t>
      </w:r>
      <w:r>
        <w:rPr>
          <w:spacing w:val="-10"/>
        </w:rPr>
        <w:t> </w:t>
      </w:r>
      <w:r>
        <w:rPr/>
        <w:t>loan</w:t>
      </w:r>
      <w:r>
        <w:rPr>
          <w:spacing w:val="-10"/>
        </w:rPr>
        <w:t> </w:t>
      </w:r>
      <w:r>
        <w:rPr/>
        <w:t>documents.</w:t>
      </w:r>
      <w:r>
        <w:rPr>
          <w:spacing w:val="-8"/>
        </w:rPr>
        <w:t> </w:t>
      </w:r>
      <w:r>
        <w:rPr/>
        <w:t>If</w:t>
      </w:r>
      <w:r>
        <w:rPr>
          <w:spacing w:val="-8"/>
        </w:rPr>
        <w:t> </w:t>
      </w:r>
      <w:r>
        <w:rPr/>
        <w:t>the</w:t>
      </w:r>
      <w:r>
        <w:rPr>
          <w:spacing w:val="-7"/>
        </w:rPr>
        <w:t> </w:t>
      </w:r>
      <w:r>
        <w:rPr/>
        <w:t>Borrower</w:t>
      </w:r>
      <w:r>
        <w:rPr>
          <w:spacing w:val="-9"/>
        </w:rPr>
        <w:t> </w:t>
      </w:r>
      <w:r>
        <w:rPr/>
        <w:t>does</w:t>
      </w:r>
      <w:r>
        <w:rPr>
          <w:spacing w:val="-9"/>
        </w:rPr>
        <w:t> </w:t>
      </w:r>
      <w:r>
        <w:rPr/>
        <w:t>not comply,</w:t>
      </w:r>
      <w:r>
        <w:rPr>
          <w:spacing w:val="-3"/>
        </w:rPr>
        <w:t> </w:t>
      </w:r>
      <w:r>
        <w:rPr/>
        <w:t>or</w:t>
      </w:r>
      <w:r>
        <w:rPr>
          <w:spacing w:val="-3"/>
        </w:rPr>
        <w:t> </w:t>
      </w:r>
      <w:r>
        <w:rPr/>
        <w:t>if</w:t>
      </w:r>
      <w:r>
        <w:rPr>
          <w:spacing w:val="-5"/>
        </w:rPr>
        <w:t> </w:t>
      </w:r>
      <w:r>
        <w:rPr/>
        <w:t>the</w:t>
      </w:r>
      <w:r>
        <w:rPr>
          <w:spacing w:val="-4"/>
        </w:rPr>
        <w:t> </w:t>
      </w:r>
      <w:r>
        <w:rPr/>
        <w:t>borrower</w:t>
      </w:r>
      <w:r>
        <w:rPr>
          <w:spacing w:val="-3"/>
        </w:rPr>
        <w:t> </w:t>
      </w:r>
      <w:r>
        <w:rPr/>
        <w:t>at</w:t>
      </w:r>
      <w:r>
        <w:rPr>
          <w:spacing w:val="-5"/>
        </w:rPr>
        <w:t> </w:t>
      </w:r>
      <w:r>
        <w:rPr/>
        <w:t>any</w:t>
      </w:r>
      <w:r>
        <w:rPr>
          <w:spacing w:val="-6"/>
        </w:rPr>
        <w:t> </w:t>
      </w:r>
      <w:r>
        <w:rPr/>
        <w:t>time</w:t>
      </w:r>
      <w:r>
        <w:rPr>
          <w:spacing w:val="-4"/>
        </w:rPr>
        <w:t> </w:t>
      </w:r>
      <w:r>
        <w:rPr/>
        <w:t>defaults</w:t>
      </w:r>
      <w:r>
        <w:rPr>
          <w:spacing w:val="-4"/>
        </w:rPr>
        <w:t> </w:t>
      </w:r>
      <w:r>
        <w:rPr/>
        <w:t>under</w:t>
      </w:r>
      <w:r>
        <w:rPr>
          <w:spacing w:val="-3"/>
        </w:rPr>
        <w:t> </w:t>
      </w:r>
      <w:r>
        <w:rPr/>
        <w:t>the</w:t>
      </w:r>
      <w:r>
        <w:rPr>
          <w:spacing w:val="-6"/>
        </w:rPr>
        <w:t> </w:t>
      </w:r>
      <w:r>
        <w:rPr/>
        <w:t>terms</w:t>
      </w:r>
      <w:r>
        <w:rPr>
          <w:spacing w:val="-6"/>
        </w:rPr>
        <w:t> </w:t>
      </w:r>
      <w:r>
        <w:rPr/>
        <w:t>of</w:t>
      </w:r>
      <w:r>
        <w:rPr>
          <w:spacing w:val="-5"/>
        </w:rPr>
        <w:t> </w:t>
      </w:r>
      <w:r>
        <w:rPr/>
        <w:t>the</w:t>
      </w:r>
      <w:r>
        <w:rPr>
          <w:spacing w:val="-4"/>
        </w:rPr>
        <w:t> </w:t>
      </w:r>
      <w:r>
        <w:rPr/>
        <w:t>note,</w:t>
      </w:r>
      <w:r>
        <w:rPr>
          <w:spacing w:val="-5"/>
        </w:rPr>
        <w:t> </w:t>
      </w:r>
      <w:r>
        <w:rPr/>
        <w:t>interest</w:t>
      </w:r>
      <w:r>
        <w:rPr>
          <w:spacing w:val="-3"/>
        </w:rPr>
        <w:t> </w:t>
      </w:r>
      <w:r>
        <w:rPr/>
        <w:t>on</w:t>
      </w:r>
      <w:r>
        <w:rPr>
          <w:spacing w:val="-7"/>
        </w:rPr>
        <w:t> </w:t>
      </w:r>
      <w:r>
        <w:rPr/>
        <w:t>the</w:t>
      </w:r>
      <w:r>
        <w:rPr>
          <w:spacing w:val="-4"/>
        </w:rPr>
        <w:t> </w:t>
      </w:r>
      <w:r>
        <w:rPr/>
        <w:t>unpaid principal will thereafter:</w:t>
      </w:r>
    </w:p>
    <w:p>
      <w:pPr>
        <w:pStyle w:val="BodyText"/>
        <w:spacing w:before="1"/>
      </w:pPr>
    </w:p>
    <w:p>
      <w:pPr>
        <w:pStyle w:val="ListParagraph"/>
        <w:numPr>
          <w:ilvl w:val="1"/>
          <w:numId w:val="16"/>
        </w:numPr>
        <w:tabs>
          <w:tab w:pos="840" w:val="left" w:leader="none"/>
          <w:tab w:pos="841" w:val="left" w:leader="none"/>
        </w:tabs>
        <w:spacing w:line="269" w:lineRule="exact" w:before="0" w:after="0"/>
        <w:ind w:left="840" w:right="0" w:hanging="361"/>
        <w:jc w:val="left"/>
        <w:rPr>
          <w:rFonts w:ascii="Symbol" w:hAnsi="Symbol"/>
          <w:sz w:val="22"/>
        </w:rPr>
      </w:pPr>
      <w:r>
        <w:rPr>
          <w:sz w:val="22"/>
        </w:rPr>
        <w:t>accrue</w:t>
      </w:r>
      <w:r>
        <w:rPr>
          <w:spacing w:val="-6"/>
          <w:sz w:val="22"/>
        </w:rPr>
        <w:t> </w:t>
      </w:r>
      <w:r>
        <w:rPr>
          <w:sz w:val="22"/>
        </w:rPr>
        <w:t>at</w:t>
      </w:r>
      <w:r>
        <w:rPr>
          <w:spacing w:val="-1"/>
          <w:sz w:val="22"/>
        </w:rPr>
        <w:t> </w:t>
      </w:r>
      <w:r>
        <w:rPr>
          <w:sz w:val="22"/>
        </w:rPr>
        <w:t>a</w:t>
      </w:r>
      <w:r>
        <w:rPr>
          <w:spacing w:val="-5"/>
          <w:sz w:val="22"/>
        </w:rPr>
        <w:t> </w:t>
      </w:r>
      <w:r>
        <w:rPr>
          <w:sz w:val="22"/>
        </w:rPr>
        <w:t>rate</w:t>
      </w:r>
      <w:r>
        <w:rPr>
          <w:spacing w:val="-6"/>
          <w:sz w:val="22"/>
        </w:rPr>
        <w:t> </w:t>
      </w:r>
      <w:r>
        <w:rPr>
          <w:sz w:val="22"/>
        </w:rPr>
        <w:t>that</w:t>
      </w:r>
      <w:r>
        <w:rPr>
          <w:spacing w:val="-1"/>
          <w:sz w:val="22"/>
        </w:rPr>
        <w:t> </w:t>
      </w:r>
      <w:r>
        <w:rPr>
          <w:sz w:val="22"/>
        </w:rPr>
        <w:t>is</w:t>
      </w:r>
      <w:r>
        <w:rPr>
          <w:spacing w:val="-5"/>
          <w:sz w:val="22"/>
        </w:rPr>
        <w:t> </w:t>
      </w:r>
      <w:r>
        <w:rPr>
          <w:sz w:val="22"/>
        </w:rPr>
        <w:t>500</w:t>
      </w:r>
      <w:r>
        <w:rPr>
          <w:spacing w:val="-4"/>
          <w:sz w:val="22"/>
        </w:rPr>
        <w:t> </w:t>
      </w:r>
      <w:r>
        <w:rPr>
          <w:sz w:val="22"/>
        </w:rPr>
        <w:t>basis</w:t>
      </w:r>
      <w:r>
        <w:rPr>
          <w:spacing w:val="-2"/>
          <w:sz w:val="22"/>
        </w:rPr>
        <w:t> </w:t>
      </w:r>
      <w:r>
        <w:rPr>
          <w:sz w:val="22"/>
        </w:rPr>
        <w:t>points</w:t>
      </w:r>
      <w:r>
        <w:rPr>
          <w:spacing w:val="-5"/>
          <w:sz w:val="22"/>
        </w:rPr>
        <w:t> </w:t>
      </w:r>
      <w:r>
        <w:rPr>
          <w:sz w:val="22"/>
        </w:rPr>
        <w:t>over</w:t>
      </w:r>
      <w:r>
        <w:rPr>
          <w:spacing w:val="-4"/>
          <w:sz w:val="22"/>
        </w:rPr>
        <w:t> </w:t>
      </w:r>
      <w:r>
        <w:rPr>
          <w:sz w:val="22"/>
        </w:rPr>
        <w:t>the</w:t>
      </w:r>
      <w:r>
        <w:rPr>
          <w:spacing w:val="-6"/>
          <w:sz w:val="22"/>
        </w:rPr>
        <w:t> </w:t>
      </w:r>
      <w:r>
        <w:rPr>
          <w:sz w:val="22"/>
        </w:rPr>
        <w:t>Note</w:t>
      </w:r>
      <w:r>
        <w:rPr>
          <w:spacing w:val="-3"/>
          <w:sz w:val="22"/>
        </w:rPr>
        <w:t> </w:t>
      </w:r>
      <w:r>
        <w:rPr>
          <w:sz w:val="22"/>
        </w:rPr>
        <w:t>interest</w:t>
      </w:r>
      <w:r>
        <w:rPr>
          <w:spacing w:val="-3"/>
          <w:sz w:val="22"/>
        </w:rPr>
        <w:t> </w:t>
      </w:r>
      <w:r>
        <w:rPr>
          <w:sz w:val="22"/>
        </w:rPr>
        <w:t>rate,</w:t>
      </w:r>
      <w:r>
        <w:rPr>
          <w:spacing w:val="-4"/>
          <w:sz w:val="22"/>
        </w:rPr>
        <w:t> </w:t>
      </w:r>
      <w:r>
        <w:rPr>
          <w:spacing w:val="-5"/>
          <w:sz w:val="22"/>
        </w:rPr>
        <w:t>and</w:t>
      </w:r>
    </w:p>
    <w:p>
      <w:pPr>
        <w:pStyle w:val="ListParagraph"/>
        <w:numPr>
          <w:ilvl w:val="1"/>
          <w:numId w:val="16"/>
        </w:numPr>
        <w:tabs>
          <w:tab w:pos="840" w:val="left" w:leader="none"/>
          <w:tab w:pos="841" w:val="left" w:leader="none"/>
        </w:tabs>
        <w:spacing w:line="269" w:lineRule="exact" w:before="0" w:after="0"/>
        <w:ind w:left="840" w:right="0" w:hanging="361"/>
        <w:jc w:val="left"/>
        <w:rPr>
          <w:rFonts w:ascii="Symbol" w:hAnsi="Symbol"/>
          <w:sz w:val="22"/>
        </w:rPr>
      </w:pPr>
      <w:r>
        <w:rPr>
          <w:sz w:val="22"/>
        </w:rPr>
        <w:t>be</w:t>
      </w:r>
      <w:r>
        <w:rPr>
          <w:spacing w:val="-8"/>
          <w:sz w:val="22"/>
        </w:rPr>
        <w:t> </w:t>
      </w:r>
      <w:r>
        <w:rPr>
          <w:sz w:val="22"/>
        </w:rPr>
        <w:t>immediately</w:t>
      </w:r>
      <w:r>
        <w:rPr>
          <w:spacing w:val="-4"/>
          <w:sz w:val="22"/>
        </w:rPr>
        <w:t> </w:t>
      </w:r>
      <w:r>
        <w:rPr>
          <w:sz w:val="22"/>
        </w:rPr>
        <w:t>payable</w:t>
      </w:r>
      <w:r>
        <w:rPr>
          <w:spacing w:val="-6"/>
          <w:sz w:val="22"/>
        </w:rPr>
        <w:t> </w:t>
      </w:r>
      <w:r>
        <w:rPr>
          <w:sz w:val="22"/>
        </w:rPr>
        <w:t>in</w:t>
      </w:r>
      <w:r>
        <w:rPr>
          <w:spacing w:val="-5"/>
          <w:sz w:val="22"/>
        </w:rPr>
        <w:t> </w:t>
      </w:r>
      <w:r>
        <w:rPr>
          <w:sz w:val="22"/>
        </w:rPr>
        <w:t>addition</w:t>
      </w:r>
      <w:r>
        <w:rPr>
          <w:spacing w:val="-5"/>
          <w:sz w:val="22"/>
        </w:rPr>
        <w:t> </w:t>
      </w:r>
      <w:r>
        <w:rPr>
          <w:sz w:val="22"/>
        </w:rPr>
        <w:t>to</w:t>
      </w:r>
      <w:r>
        <w:rPr>
          <w:spacing w:val="-9"/>
          <w:sz w:val="22"/>
        </w:rPr>
        <w:t> </w:t>
      </w:r>
      <w:r>
        <w:rPr>
          <w:sz w:val="22"/>
        </w:rPr>
        <w:t>the</w:t>
      </w:r>
      <w:r>
        <w:rPr>
          <w:spacing w:val="-6"/>
          <w:sz w:val="22"/>
        </w:rPr>
        <w:t> </w:t>
      </w:r>
      <w:r>
        <w:rPr>
          <w:sz w:val="22"/>
        </w:rPr>
        <w:t>entire</w:t>
      </w:r>
      <w:r>
        <w:rPr>
          <w:spacing w:val="-5"/>
          <w:sz w:val="22"/>
        </w:rPr>
        <w:t> </w:t>
      </w:r>
      <w:r>
        <w:rPr>
          <w:sz w:val="22"/>
        </w:rPr>
        <w:t>outstanding</w:t>
      </w:r>
      <w:r>
        <w:rPr>
          <w:spacing w:val="-5"/>
          <w:sz w:val="22"/>
        </w:rPr>
        <w:t> </w:t>
      </w:r>
      <w:r>
        <w:rPr>
          <w:sz w:val="22"/>
        </w:rPr>
        <w:t>principal</w:t>
      </w:r>
      <w:r>
        <w:rPr>
          <w:spacing w:val="-5"/>
          <w:sz w:val="22"/>
        </w:rPr>
        <w:t> </w:t>
      </w:r>
      <w:r>
        <w:rPr>
          <w:spacing w:val="-2"/>
          <w:sz w:val="22"/>
        </w:rPr>
        <w:t>amount</w:t>
      </w:r>
    </w:p>
    <w:p>
      <w:pPr>
        <w:pStyle w:val="Heading5"/>
        <w:spacing w:line="556" w:lineRule="exact" w:before="11"/>
        <w:ind w:right="7313"/>
      </w:pPr>
      <w:r>
        <w:rPr/>
        <w:t>Financial</w:t>
      </w:r>
      <w:r>
        <w:rPr>
          <w:spacing w:val="-16"/>
        </w:rPr>
        <w:t> </w:t>
      </w:r>
      <w:r>
        <w:rPr/>
        <w:t>Structuring GAP Financing</w:t>
      </w:r>
    </w:p>
    <w:p>
      <w:pPr>
        <w:pStyle w:val="BodyText"/>
        <w:spacing w:line="239" w:lineRule="exact"/>
        <w:ind w:left="120"/>
        <w:jc w:val="both"/>
      </w:pPr>
      <w:r>
        <w:rPr/>
        <w:t>The</w:t>
      </w:r>
      <w:r>
        <w:rPr>
          <w:spacing w:val="-7"/>
        </w:rPr>
        <w:t> </w:t>
      </w:r>
      <w:r>
        <w:rPr/>
        <w:t>City</w:t>
      </w:r>
      <w:r>
        <w:rPr>
          <w:spacing w:val="-8"/>
        </w:rPr>
        <w:t> </w:t>
      </w:r>
      <w:r>
        <w:rPr/>
        <w:t>deferred</w:t>
      </w:r>
      <w:r>
        <w:rPr>
          <w:spacing w:val="-8"/>
        </w:rPr>
        <w:t> </w:t>
      </w:r>
      <w:r>
        <w:rPr/>
        <w:t>debt</w:t>
      </w:r>
      <w:r>
        <w:rPr>
          <w:spacing w:val="-9"/>
        </w:rPr>
        <w:t> </w:t>
      </w:r>
      <w:r>
        <w:rPr/>
        <w:t>(deferred</w:t>
      </w:r>
      <w:r>
        <w:rPr>
          <w:spacing w:val="-9"/>
        </w:rPr>
        <w:t> </w:t>
      </w:r>
      <w:r>
        <w:rPr/>
        <w:t>forgivable</w:t>
      </w:r>
      <w:r>
        <w:rPr>
          <w:spacing w:val="-6"/>
        </w:rPr>
        <w:t> </w:t>
      </w:r>
      <w:r>
        <w:rPr/>
        <w:t>or</w:t>
      </w:r>
      <w:r>
        <w:rPr>
          <w:spacing w:val="-7"/>
        </w:rPr>
        <w:t> </w:t>
      </w:r>
      <w:r>
        <w:rPr/>
        <w:t>surplus</w:t>
      </w:r>
      <w:r>
        <w:rPr>
          <w:spacing w:val="-7"/>
        </w:rPr>
        <w:t> </w:t>
      </w:r>
      <w:r>
        <w:rPr/>
        <w:t>cash)</w:t>
      </w:r>
      <w:r>
        <w:rPr>
          <w:spacing w:val="-7"/>
        </w:rPr>
        <w:t> </w:t>
      </w:r>
      <w:r>
        <w:rPr/>
        <w:t>only</w:t>
      </w:r>
      <w:r>
        <w:rPr>
          <w:spacing w:val="-8"/>
        </w:rPr>
        <w:t> </w:t>
      </w:r>
      <w:r>
        <w:rPr/>
        <w:t>be</w:t>
      </w:r>
      <w:r>
        <w:rPr>
          <w:spacing w:val="-8"/>
        </w:rPr>
        <w:t> </w:t>
      </w:r>
      <w:r>
        <w:rPr/>
        <w:t>used</w:t>
      </w:r>
      <w:r>
        <w:rPr>
          <w:spacing w:val="-8"/>
        </w:rPr>
        <w:t> </w:t>
      </w:r>
      <w:r>
        <w:rPr/>
        <w:t>for</w:t>
      </w:r>
      <w:r>
        <w:rPr>
          <w:spacing w:val="-6"/>
        </w:rPr>
        <w:t> </w:t>
      </w:r>
      <w:r>
        <w:rPr/>
        <w:t>and</w:t>
      </w:r>
      <w:r>
        <w:rPr>
          <w:spacing w:val="-8"/>
        </w:rPr>
        <w:t> </w:t>
      </w:r>
      <w:r>
        <w:rPr/>
        <w:t>based</w:t>
      </w:r>
      <w:r>
        <w:rPr>
          <w:spacing w:val="-8"/>
        </w:rPr>
        <w:t> </w:t>
      </w:r>
      <w:r>
        <w:rPr/>
        <w:t>upon</w:t>
      </w:r>
      <w:r>
        <w:rPr>
          <w:spacing w:val="-8"/>
        </w:rPr>
        <w:t> </w:t>
      </w:r>
      <w:r>
        <w:rPr>
          <w:spacing w:val="-5"/>
        </w:rPr>
        <w:t>the</w:t>
      </w:r>
    </w:p>
    <w:p>
      <w:pPr>
        <w:pStyle w:val="BodyText"/>
        <w:spacing w:before="2"/>
        <w:ind w:left="120"/>
        <w:jc w:val="both"/>
      </w:pPr>
      <w:r>
        <w:rPr/>
        <w:t>financing</w:t>
      </w:r>
      <w:r>
        <w:rPr>
          <w:spacing w:val="-5"/>
        </w:rPr>
        <w:t> </w:t>
      </w:r>
      <w:r>
        <w:rPr/>
        <w:t>gap</w:t>
      </w:r>
      <w:r>
        <w:rPr>
          <w:spacing w:val="-5"/>
        </w:rPr>
        <w:t> </w:t>
      </w:r>
      <w:r>
        <w:rPr/>
        <w:t>on</w:t>
      </w:r>
      <w:r>
        <w:rPr>
          <w:spacing w:val="-6"/>
        </w:rPr>
        <w:t> </w:t>
      </w:r>
      <w:r>
        <w:rPr/>
        <w:t>affordable</w:t>
      </w:r>
      <w:r>
        <w:rPr>
          <w:spacing w:val="-4"/>
        </w:rPr>
        <w:t> </w:t>
      </w:r>
      <w:r>
        <w:rPr/>
        <w:t>units.</w:t>
      </w:r>
      <w:r>
        <w:rPr>
          <w:spacing w:val="-5"/>
        </w:rPr>
        <w:t> </w:t>
      </w:r>
      <w:r>
        <w:rPr/>
        <w:t>The</w:t>
      </w:r>
      <w:r>
        <w:rPr>
          <w:spacing w:val="-4"/>
        </w:rPr>
        <w:t> </w:t>
      </w:r>
      <w:r>
        <w:rPr/>
        <w:t>City</w:t>
      </w:r>
      <w:r>
        <w:rPr>
          <w:spacing w:val="-6"/>
        </w:rPr>
        <w:t> </w:t>
      </w:r>
      <w:r>
        <w:rPr/>
        <w:t>loan</w:t>
      </w:r>
      <w:r>
        <w:rPr>
          <w:spacing w:val="-5"/>
        </w:rPr>
        <w:t> </w:t>
      </w:r>
      <w:r>
        <w:rPr/>
        <w:t>cannot</w:t>
      </w:r>
      <w:r>
        <w:rPr>
          <w:spacing w:val="-2"/>
        </w:rPr>
        <w:t> </w:t>
      </w:r>
      <w:r>
        <w:rPr/>
        <w:t>exceed</w:t>
      </w:r>
      <w:r>
        <w:rPr>
          <w:spacing w:val="-7"/>
        </w:rPr>
        <w:t> </w:t>
      </w:r>
      <w:r>
        <w:rPr/>
        <w:t>the</w:t>
      </w:r>
      <w:r>
        <w:rPr>
          <w:spacing w:val="-6"/>
        </w:rPr>
        <w:t> </w:t>
      </w:r>
      <w:r>
        <w:rPr/>
        <w:t>financing</w:t>
      </w:r>
      <w:r>
        <w:rPr>
          <w:spacing w:val="-4"/>
        </w:rPr>
        <w:t> gap.</w:t>
      </w:r>
    </w:p>
    <w:p>
      <w:pPr>
        <w:pStyle w:val="BodyText"/>
      </w:pPr>
    </w:p>
    <w:p>
      <w:pPr>
        <w:pStyle w:val="Heading5"/>
      </w:pPr>
      <w:r>
        <w:rPr/>
        <w:t>Balloon</w:t>
      </w:r>
      <w:r>
        <w:rPr>
          <w:spacing w:val="-8"/>
        </w:rPr>
        <w:t> </w:t>
      </w:r>
      <w:r>
        <w:rPr>
          <w:spacing w:val="-2"/>
        </w:rPr>
        <w:t>Mortgages</w:t>
      </w:r>
    </w:p>
    <w:p>
      <w:pPr>
        <w:pStyle w:val="BodyText"/>
        <w:spacing w:before="49"/>
        <w:ind w:left="120" w:right="157"/>
        <w:jc w:val="both"/>
      </w:pPr>
      <w:r>
        <w:rPr/>
        <w:t>Ballooning senior debt</w:t>
      </w:r>
      <w:r>
        <w:rPr>
          <w:spacing w:val="-1"/>
        </w:rPr>
        <w:t> </w:t>
      </w:r>
      <w:r>
        <w:rPr/>
        <w:t>mortgages</w:t>
      </w:r>
      <w:r>
        <w:rPr>
          <w:spacing w:val="-2"/>
        </w:rPr>
        <w:t> </w:t>
      </w:r>
      <w:r>
        <w:rPr/>
        <w:t>may</w:t>
      </w:r>
      <w:r>
        <w:rPr>
          <w:spacing w:val="-2"/>
        </w:rPr>
        <w:t> </w:t>
      </w:r>
      <w:r>
        <w:rPr/>
        <w:t>require additional</w:t>
      </w:r>
      <w:r>
        <w:rPr>
          <w:spacing w:val="-1"/>
        </w:rPr>
        <w:t> </w:t>
      </w:r>
      <w:r>
        <w:rPr/>
        <w:t>mitigating</w:t>
      </w:r>
      <w:r>
        <w:rPr>
          <w:spacing w:val="-3"/>
        </w:rPr>
        <w:t> </w:t>
      </w:r>
      <w:r>
        <w:rPr/>
        <w:t>factors</w:t>
      </w:r>
      <w:r>
        <w:rPr>
          <w:spacing w:val="-2"/>
        </w:rPr>
        <w:t> </w:t>
      </w:r>
      <w:r>
        <w:rPr/>
        <w:t>depending on overall project</w:t>
      </w:r>
      <w:r>
        <w:rPr>
          <w:spacing w:val="-13"/>
        </w:rPr>
        <w:t> </w:t>
      </w:r>
      <w:r>
        <w:rPr/>
        <w:t>sources</w:t>
      </w:r>
      <w:r>
        <w:rPr>
          <w:spacing w:val="-14"/>
        </w:rPr>
        <w:t> </w:t>
      </w:r>
      <w:r>
        <w:rPr/>
        <w:t>and</w:t>
      </w:r>
      <w:r>
        <w:rPr>
          <w:spacing w:val="-15"/>
        </w:rPr>
        <w:t> </w:t>
      </w:r>
      <w:r>
        <w:rPr/>
        <w:t>uses,</w:t>
      </w:r>
      <w:r>
        <w:rPr>
          <w:spacing w:val="-11"/>
        </w:rPr>
        <w:t> </w:t>
      </w:r>
      <w:r>
        <w:rPr/>
        <w:t>projected</w:t>
      </w:r>
      <w:r>
        <w:rPr>
          <w:spacing w:val="-15"/>
        </w:rPr>
        <w:t> </w:t>
      </w:r>
      <w:r>
        <w:rPr/>
        <w:t>loan-to-value,</w:t>
      </w:r>
      <w:r>
        <w:rPr>
          <w:spacing w:val="-16"/>
        </w:rPr>
        <w:t> </w:t>
      </w:r>
      <w:r>
        <w:rPr/>
        <w:t>and</w:t>
      </w:r>
      <w:r>
        <w:rPr>
          <w:spacing w:val="-11"/>
        </w:rPr>
        <w:t> </w:t>
      </w:r>
      <w:r>
        <w:rPr/>
        <w:t>other</w:t>
      </w:r>
      <w:r>
        <w:rPr>
          <w:spacing w:val="-13"/>
        </w:rPr>
        <w:t> </w:t>
      </w:r>
      <w:r>
        <w:rPr/>
        <w:t>risk</w:t>
      </w:r>
      <w:r>
        <w:rPr>
          <w:spacing w:val="-14"/>
        </w:rPr>
        <w:t> </w:t>
      </w:r>
      <w:r>
        <w:rPr/>
        <w:t>factors.</w:t>
      </w:r>
      <w:r>
        <w:rPr>
          <w:spacing w:val="-11"/>
        </w:rPr>
        <w:t> </w:t>
      </w:r>
      <w:r>
        <w:rPr/>
        <w:t>Under</w:t>
      </w:r>
      <w:r>
        <w:rPr>
          <w:spacing w:val="-11"/>
        </w:rPr>
        <w:t> </w:t>
      </w:r>
      <w:r>
        <w:rPr/>
        <w:t>no</w:t>
      </w:r>
      <w:r>
        <w:rPr>
          <w:spacing w:val="-15"/>
        </w:rPr>
        <w:t> </w:t>
      </w:r>
      <w:r>
        <w:rPr/>
        <w:t>circumstances will the City participate in a transaction where a senior balloon term is less than 15 years.</w:t>
      </w:r>
    </w:p>
    <w:p>
      <w:pPr>
        <w:pStyle w:val="BodyText"/>
        <w:spacing w:before="1"/>
      </w:pPr>
    </w:p>
    <w:p>
      <w:pPr>
        <w:pStyle w:val="Heading5"/>
      </w:pPr>
      <w:r>
        <w:rPr/>
        <w:t>Surplus</w:t>
      </w:r>
      <w:r>
        <w:rPr>
          <w:spacing w:val="-3"/>
        </w:rPr>
        <w:t> </w:t>
      </w:r>
      <w:r>
        <w:rPr/>
        <w:t>Cash</w:t>
      </w:r>
      <w:r>
        <w:rPr>
          <w:spacing w:val="-5"/>
        </w:rPr>
        <w:t> </w:t>
      </w:r>
      <w:r>
        <w:rPr>
          <w:spacing w:val="-2"/>
        </w:rPr>
        <w:t>Mortgages</w:t>
      </w:r>
    </w:p>
    <w:p>
      <w:pPr>
        <w:pStyle w:val="BodyText"/>
        <w:spacing w:before="50"/>
        <w:ind w:left="120" w:right="156"/>
        <w:jc w:val="both"/>
      </w:pPr>
      <w:r>
        <w:rPr/>
        <w:t>The</w:t>
      </w:r>
      <w:r>
        <w:rPr>
          <w:spacing w:val="-9"/>
        </w:rPr>
        <w:t> </w:t>
      </w:r>
      <w:r>
        <w:rPr/>
        <w:t>City’s</w:t>
      </w:r>
      <w:r>
        <w:rPr>
          <w:spacing w:val="-8"/>
        </w:rPr>
        <w:t> </w:t>
      </w:r>
      <w:r>
        <w:rPr/>
        <w:t>surplus</w:t>
      </w:r>
      <w:r>
        <w:rPr>
          <w:spacing w:val="-11"/>
        </w:rPr>
        <w:t> </w:t>
      </w:r>
      <w:r>
        <w:rPr/>
        <w:t>cash</w:t>
      </w:r>
      <w:r>
        <w:rPr>
          <w:spacing w:val="-11"/>
        </w:rPr>
        <w:t> </w:t>
      </w:r>
      <w:r>
        <w:rPr/>
        <w:t>loans</w:t>
      </w:r>
      <w:r>
        <w:rPr>
          <w:spacing w:val="-8"/>
        </w:rPr>
        <w:t> </w:t>
      </w:r>
      <w:r>
        <w:rPr/>
        <w:t>funding</w:t>
      </w:r>
      <w:r>
        <w:rPr>
          <w:spacing w:val="-9"/>
        </w:rPr>
        <w:t> </w:t>
      </w:r>
      <w:r>
        <w:rPr/>
        <w:t>will</w:t>
      </w:r>
      <w:r>
        <w:rPr>
          <w:spacing w:val="-9"/>
        </w:rPr>
        <w:t> </w:t>
      </w:r>
      <w:r>
        <w:rPr/>
        <w:t>be</w:t>
      </w:r>
      <w:r>
        <w:rPr>
          <w:spacing w:val="-9"/>
        </w:rPr>
        <w:t> </w:t>
      </w:r>
      <w:r>
        <w:rPr/>
        <w:t>structured</w:t>
      </w:r>
      <w:r>
        <w:rPr>
          <w:spacing w:val="-9"/>
        </w:rPr>
        <w:t> </w:t>
      </w:r>
      <w:r>
        <w:rPr/>
        <w:t>with</w:t>
      </w:r>
      <w:r>
        <w:rPr>
          <w:spacing w:val="-11"/>
        </w:rPr>
        <w:t> </w:t>
      </w:r>
      <w:r>
        <w:rPr/>
        <w:t>note</w:t>
      </w:r>
      <w:r>
        <w:rPr>
          <w:spacing w:val="-11"/>
        </w:rPr>
        <w:t> </w:t>
      </w:r>
      <w:r>
        <w:rPr/>
        <w:t>provisions</w:t>
      </w:r>
      <w:r>
        <w:rPr>
          <w:spacing w:val="-8"/>
        </w:rPr>
        <w:t> </w:t>
      </w:r>
      <w:r>
        <w:rPr/>
        <w:t>requiring</w:t>
      </w:r>
      <w:r>
        <w:rPr>
          <w:spacing w:val="-11"/>
        </w:rPr>
        <w:t> </w:t>
      </w:r>
      <w:r>
        <w:rPr/>
        <w:t>that</w:t>
      </w:r>
      <w:r>
        <w:rPr>
          <w:spacing w:val="-10"/>
        </w:rPr>
        <w:t> </w:t>
      </w:r>
      <w:r>
        <w:rPr/>
        <w:t>at</w:t>
      </w:r>
      <w:r>
        <w:rPr>
          <w:spacing w:val="-10"/>
        </w:rPr>
        <w:t> </w:t>
      </w:r>
      <w:r>
        <w:rPr/>
        <w:t>least 50% of Eligible Cash in excess of $50,000 be paid annually to subordinate lenders (including funding partners and related parties) on a prorated basis.</w:t>
      </w:r>
    </w:p>
    <w:p>
      <w:pPr>
        <w:pStyle w:val="BodyText"/>
      </w:pPr>
    </w:p>
    <w:p>
      <w:pPr>
        <w:pStyle w:val="Heading5"/>
        <w:jc w:val="left"/>
      </w:pPr>
      <w:r>
        <w:rPr/>
        <w:t>Eligible</w:t>
      </w:r>
      <w:r>
        <w:rPr>
          <w:spacing w:val="-5"/>
        </w:rPr>
        <w:t> </w:t>
      </w:r>
      <w:r>
        <w:rPr/>
        <w:t>Cash</w:t>
      </w:r>
      <w:r>
        <w:rPr>
          <w:spacing w:val="-3"/>
        </w:rPr>
        <w:t> </w:t>
      </w:r>
      <w:r>
        <w:rPr/>
        <w:t>shall</w:t>
      </w:r>
      <w:r>
        <w:rPr>
          <w:spacing w:val="-3"/>
        </w:rPr>
        <w:t> </w:t>
      </w:r>
      <w:r>
        <w:rPr/>
        <w:t>be</w:t>
      </w:r>
      <w:r>
        <w:rPr>
          <w:spacing w:val="-5"/>
        </w:rPr>
        <w:t> </w:t>
      </w:r>
      <w:r>
        <w:rPr/>
        <w:t>defined</w:t>
      </w:r>
      <w:r>
        <w:rPr>
          <w:spacing w:val="-4"/>
        </w:rPr>
        <w:t> </w:t>
      </w:r>
      <w:r>
        <w:rPr>
          <w:spacing w:val="-5"/>
        </w:rPr>
        <w:t>as:</w:t>
      </w:r>
    </w:p>
    <w:p>
      <w:pPr>
        <w:pStyle w:val="ListParagraph"/>
        <w:numPr>
          <w:ilvl w:val="1"/>
          <w:numId w:val="16"/>
        </w:numPr>
        <w:tabs>
          <w:tab w:pos="840" w:val="left" w:leader="none"/>
          <w:tab w:pos="841" w:val="left" w:leader="none"/>
        </w:tabs>
        <w:spacing w:line="269" w:lineRule="exact" w:before="52" w:after="0"/>
        <w:ind w:left="840" w:right="0" w:hanging="361"/>
        <w:jc w:val="left"/>
        <w:rPr>
          <w:rFonts w:ascii="Symbol" w:hAnsi="Symbol"/>
          <w:sz w:val="22"/>
        </w:rPr>
      </w:pPr>
      <w:r>
        <w:rPr>
          <w:sz w:val="22"/>
        </w:rPr>
        <w:t>Surplus</w:t>
      </w:r>
      <w:r>
        <w:rPr>
          <w:spacing w:val="-7"/>
          <w:sz w:val="22"/>
        </w:rPr>
        <w:t> </w:t>
      </w:r>
      <w:r>
        <w:rPr>
          <w:sz w:val="22"/>
        </w:rPr>
        <w:t>cash</w:t>
      </w:r>
      <w:r>
        <w:rPr>
          <w:spacing w:val="-9"/>
          <w:sz w:val="22"/>
        </w:rPr>
        <w:t> </w:t>
      </w:r>
      <w:r>
        <w:rPr>
          <w:sz w:val="22"/>
        </w:rPr>
        <w:t>available</w:t>
      </w:r>
      <w:r>
        <w:rPr>
          <w:spacing w:val="-7"/>
          <w:sz w:val="22"/>
        </w:rPr>
        <w:t> </w:t>
      </w:r>
      <w:r>
        <w:rPr>
          <w:sz w:val="22"/>
        </w:rPr>
        <w:t>for</w:t>
      </w:r>
      <w:r>
        <w:rPr>
          <w:spacing w:val="-6"/>
          <w:sz w:val="22"/>
        </w:rPr>
        <w:t> </w:t>
      </w:r>
      <w:r>
        <w:rPr>
          <w:sz w:val="22"/>
        </w:rPr>
        <w:t>partnership</w:t>
      </w:r>
      <w:r>
        <w:rPr>
          <w:spacing w:val="-7"/>
          <w:sz w:val="22"/>
        </w:rPr>
        <w:t> </w:t>
      </w:r>
      <w:r>
        <w:rPr>
          <w:sz w:val="22"/>
        </w:rPr>
        <w:t>distribution,</w:t>
      </w:r>
      <w:r>
        <w:rPr>
          <w:spacing w:val="-8"/>
          <w:sz w:val="22"/>
        </w:rPr>
        <w:t> </w:t>
      </w:r>
      <w:r>
        <w:rPr>
          <w:spacing w:val="-4"/>
          <w:sz w:val="22"/>
        </w:rPr>
        <w:t>less</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Any</w:t>
      </w:r>
      <w:r>
        <w:rPr>
          <w:spacing w:val="-1"/>
          <w:sz w:val="22"/>
        </w:rPr>
        <w:t> </w:t>
      </w:r>
      <w:r>
        <w:rPr>
          <w:spacing w:val="-2"/>
          <w:sz w:val="22"/>
        </w:rPr>
        <w:t>outstanding:</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Credit</w:t>
      </w:r>
      <w:r>
        <w:rPr>
          <w:spacing w:val="-4"/>
          <w:sz w:val="22"/>
        </w:rPr>
        <w:t> </w:t>
      </w:r>
      <w:r>
        <w:rPr>
          <w:spacing w:val="-2"/>
          <w:sz w:val="22"/>
        </w:rPr>
        <w:t>adjusters</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Asset</w:t>
      </w:r>
      <w:r>
        <w:rPr>
          <w:spacing w:val="-9"/>
          <w:sz w:val="22"/>
        </w:rPr>
        <w:t> </w:t>
      </w:r>
      <w:r>
        <w:rPr>
          <w:sz w:val="22"/>
        </w:rPr>
        <w:t>management</w:t>
      </w:r>
      <w:r>
        <w:rPr>
          <w:spacing w:val="-6"/>
          <w:sz w:val="22"/>
        </w:rPr>
        <w:t> </w:t>
      </w:r>
      <w:r>
        <w:rPr>
          <w:spacing w:val="-4"/>
          <w:sz w:val="22"/>
        </w:rPr>
        <w:t>fees</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Operating</w:t>
      </w:r>
      <w:r>
        <w:rPr>
          <w:spacing w:val="-6"/>
          <w:sz w:val="22"/>
        </w:rPr>
        <w:t> </w:t>
      </w:r>
      <w:r>
        <w:rPr>
          <w:sz w:val="22"/>
        </w:rPr>
        <w:t>reserve</w:t>
      </w:r>
      <w:r>
        <w:rPr>
          <w:spacing w:val="-8"/>
          <w:sz w:val="22"/>
        </w:rPr>
        <w:t> </w:t>
      </w:r>
      <w:r>
        <w:rPr>
          <w:sz w:val="22"/>
        </w:rPr>
        <w:t>account</w:t>
      </w:r>
      <w:r>
        <w:rPr>
          <w:spacing w:val="-5"/>
          <w:sz w:val="22"/>
        </w:rPr>
        <w:t> </w:t>
      </w:r>
      <w:r>
        <w:rPr>
          <w:spacing w:val="-2"/>
          <w:sz w:val="22"/>
        </w:rPr>
        <w:t>replenishment</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Approved</w:t>
      </w:r>
      <w:r>
        <w:rPr>
          <w:spacing w:val="-6"/>
          <w:sz w:val="22"/>
        </w:rPr>
        <w:t> </w:t>
      </w:r>
      <w:r>
        <w:rPr>
          <w:sz w:val="22"/>
        </w:rPr>
        <w:t>limited</w:t>
      </w:r>
      <w:r>
        <w:rPr>
          <w:spacing w:val="-8"/>
          <w:sz w:val="22"/>
        </w:rPr>
        <w:t> </w:t>
      </w:r>
      <w:r>
        <w:rPr>
          <w:sz w:val="22"/>
        </w:rPr>
        <w:t>partner</w:t>
      </w:r>
      <w:r>
        <w:rPr>
          <w:spacing w:val="-6"/>
          <w:sz w:val="22"/>
        </w:rPr>
        <w:t> </w:t>
      </w:r>
      <w:r>
        <w:rPr>
          <w:spacing w:val="-2"/>
          <w:sz w:val="22"/>
        </w:rPr>
        <w:t>loans</w:t>
      </w:r>
    </w:p>
    <w:p>
      <w:pPr>
        <w:pStyle w:val="ListParagraph"/>
        <w:numPr>
          <w:ilvl w:val="1"/>
          <w:numId w:val="16"/>
        </w:numPr>
        <w:tabs>
          <w:tab w:pos="841" w:val="left" w:leader="none"/>
          <w:tab w:pos="843" w:val="left" w:leader="none"/>
        </w:tabs>
        <w:spacing w:line="268" w:lineRule="exact" w:before="0" w:after="0"/>
        <w:ind w:left="842" w:right="0" w:hanging="362"/>
        <w:jc w:val="left"/>
        <w:rPr>
          <w:rFonts w:ascii="Symbol" w:hAnsi="Symbol"/>
          <w:sz w:val="22"/>
        </w:rPr>
      </w:pPr>
      <w:r>
        <w:rPr>
          <w:sz w:val="22"/>
        </w:rPr>
        <w:t>Deferred</w:t>
      </w:r>
      <w:r>
        <w:rPr>
          <w:spacing w:val="-9"/>
          <w:sz w:val="22"/>
        </w:rPr>
        <w:t> </w:t>
      </w:r>
      <w:r>
        <w:rPr>
          <w:sz w:val="22"/>
        </w:rPr>
        <w:t>developer</w:t>
      </w:r>
      <w:r>
        <w:rPr>
          <w:spacing w:val="-8"/>
          <w:sz w:val="22"/>
        </w:rPr>
        <w:t> </w:t>
      </w:r>
      <w:r>
        <w:rPr>
          <w:spacing w:val="-4"/>
          <w:sz w:val="22"/>
        </w:rPr>
        <w:t>fees</w:t>
      </w:r>
    </w:p>
    <w:p>
      <w:pPr>
        <w:pStyle w:val="ListParagraph"/>
        <w:numPr>
          <w:ilvl w:val="1"/>
          <w:numId w:val="16"/>
        </w:numPr>
        <w:tabs>
          <w:tab w:pos="842" w:val="left" w:leader="none"/>
          <w:tab w:pos="843" w:val="left" w:leader="none"/>
        </w:tabs>
        <w:spacing w:line="269" w:lineRule="exact" w:before="0" w:after="0"/>
        <w:ind w:left="842" w:right="0" w:hanging="361"/>
        <w:jc w:val="left"/>
        <w:rPr>
          <w:rFonts w:ascii="Symbol" w:hAnsi="Symbol"/>
          <w:sz w:val="22"/>
        </w:rPr>
      </w:pPr>
      <w:r>
        <w:rPr>
          <w:sz w:val="22"/>
        </w:rPr>
        <w:t>Approved</w:t>
      </w:r>
      <w:r>
        <w:rPr>
          <w:spacing w:val="-9"/>
          <w:sz w:val="22"/>
        </w:rPr>
        <w:t> </w:t>
      </w:r>
      <w:r>
        <w:rPr>
          <w:sz w:val="22"/>
        </w:rPr>
        <w:t>supplemental</w:t>
      </w:r>
      <w:r>
        <w:rPr>
          <w:spacing w:val="-11"/>
          <w:sz w:val="22"/>
        </w:rPr>
        <w:t> </w:t>
      </w:r>
      <w:r>
        <w:rPr>
          <w:sz w:val="22"/>
        </w:rPr>
        <w:t>replacement</w:t>
      </w:r>
      <w:r>
        <w:rPr>
          <w:spacing w:val="-10"/>
          <w:sz w:val="22"/>
        </w:rPr>
        <w:t> </w:t>
      </w:r>
      <w:r>
        <w:rPr>
          <w:sz w:val="22"/>
        </w:rPr>
        <w:t>reserve</w:t>
      </w:r>
      <w:r>
        <w:rPr>
          <w:spacing w:val="-8"/>
          <w:sz w:val="22"/>
        </w:rPr>
        <w:t> </w:t>
      </w:r>
      <w:r>
        <w:rPr>
          <w:spacing w:val="-2"/>
          <w:sz w:val="22"/>
        </w:rPr>
        <w:t>deposits</w:t>
      </w:r>
    </w:p>
    <w:p>
      <w:pPr>
        <w:pStyle w:val="BodyText"/>
        <w:spacing w:before="7"/>
        <w:rPr>
          <w:sz w:val="21"/>
        </w:rPr>
      </w:pPr>
    </w:p>
    <w:p>
      <w:pPr>
        <w:pStyle w:val="BodyText"/>
        <w:ind w:left="122" w:right="153"/>
        <w:jc w:val="both"/>
      </w:pPr>
      <w:r>
        <w:rPr/>
        <w:t>Projects</w:t>
      </w:r>
      <w:r>
        <w:rPr>
          <w:spacing w:val="-6"/>
        </w:rPr>
        <w:t> </w:t>
      </w:r>
      <w:r>
        <w:rPr/>
        <w:t>shall</w:t>
      </w:r>
      <w:r>
        <w:rPr>
          <w:spacing w:val="-7"/>
        </w:rPr>
        <w:t> </w:t>
      </w:r>
      <w:r>
        <w:rPr/>
        <w:t>submit,</w:t>
      </w:r>
      <w:r>
        <w:rPr>
          <w:spacing w:val="-5"/>
        </w:rPr>
        <w:t> </w:t>
      </w:r>
      <w:r>
        <w:rPr/>
        <w:t>on</w:t>
      </w:r>
      <w:r>
        <w:rPr>
          <w:spacing w:val="-11"/>
        </w:rPr>
        <w:t> </w:t>
      </w:r>
      <w:r>
        <w:rPr/>
        <w:t>an</w:t>
      </w:r>
      <w:r>
        <w:rPr>
          <w:spacing w:val="-6"/>
        </w:rPr>
        <w:t> </w:t>
      </w:r>
      <w:r>
        <w:rPr/>
        <w:t>annual</w:t>
      </w:r>
      <w:r>
        <w:rPr>
          <w:spacing w:val="-7"/>
        </w:rPr>
        <w:t> </w:t>
      </w:r>
      <w:r>
        <w:rPr/>
        <w:t>basis,</w:t>
      </w:r>
      <w:r>
        <w:rPr>
          <w:spacing w:val="-5"/>
        </w:rPr>
        <w:t> </w:t>
      </w:r>
      <w:r>
        <w:rPr/>
        <w:t>either</w:t>
      </w:r>
      <w:r>
        <w:rPr>
          <w:spacing w:val="-8"/>
        </w:rPr>
        <w:t> </w:t>
      </w:r>
      <w:r>
        <w:rPr/>
        <w:t>HUD</w:t>
      </w:r>
      <w:r>
        <w:rPr>
          <w:spacing w:val="-7"/>
        </w:rPr>
        <w:t> </w:t>
      </w:r>
      <w:r>
        <w:rPr/>
        <w:t>Form</w:t>
      </w:r>
      <w:r>
        <w:rPr>
          <w:spacing w:val="-5"/>
        </w:rPr>
        <w:t> </w:t>
      </w:r>
      <w:r>
        <w:rPr/>
        <w:t>93489</w:t>
      </w:r>
      <w:r>
        <w:rPr>
          <w:spacing w:val="-9"/>
        </w:rPr>
        <w:t> </w:t>
      </w:r>
      <w:r>
        <w:rPr/>
        <w:t>(HUD</w:t>
      </w:r>
      <w:r>
        <w:rPr>
          <w:spacing w:val="-7"/>
        </w:rPr>
        <w:t> </w:t>
      </w:r>
      <w:r>
        <w:rPr/>
        <w:t>Computation</w:t>
      </w:r>
      <w:r>
        <w:rPr>
          <w:spacing w:val="-6"/>
        </w:rPr>
        <w:t> </w:t>
      </w:r>
      <w:r>
        <w:rPr/>
        <w:t>of</w:t>
      </w:r>
      <w:r>
        <w:rPr>
          <w:spacing w:val="-5"/>
        </w:rPr>
        <w:t> </w:t>
      </w:r>
      <w:r>
        <w:rPr/>
        <w:t>Surplus Cash), or the City’s form, with the project audit. The City will invoice the project, allowing for repayment to occur up to the end of the current calendar year when HUD financing is involved and general</w:t>
      </w:r>
      <w:r>
        <w:rPr>
          <w:spacing w:val="-1"/>
        </w:rPr>
        <w:t> </w:t>
      </w:r>
      <w:r>
        <w:rPr/>
        <w:t>HUD</w:t>
      </w:r>
      <w:r>
        <w:rPr>
          <w:spacing w:val="-3"/>
        </w:rPr>
        <w:t> </w:t>
      </w:r>
      <w:r>
        <w:rPr/>
        <w:t>distribution guidelines.</w:t>
      </w:r>
      <w:r>
        <w:rPr>
          <w:spacing w:val="-4"/>
        </w:rPr>
        <w:t> </w:t>
      </w:r>
      <w:r>
        <w:rPr/>
        <w:t>Otherwise,</w:t>
      </w:r>
      <w:r>
        <w:rPr>
          <w:spacing w:val="-1"/>
        </w:rPr>
        <w:t> </w:t>
      </w:r>
      <w:r>
        <w:rPr/>
        <w:t>the</w:t>
      </w:r>
      <w:r>
        <w:rPr>
          <w:spacing w:val="-3"/>
        </w:rPr>
        <w:t> </w:t>
      </w:r>
      <w:r>
        <w:rPr/>
        <w:t>surplus</w:t>
      </w:r>
      <w:r>
        <w:rPr>
          <w:spacing w:val="-2"/>
        </w:rPr>
        <w:t> </w:t>
      </w:r>
      <w:r>
        <w:rPr/>
        <w:t>cash</w:t>
      </w:r>
      <w:r>
        <w:rPr>
          <w:spacing w:val="-3"/>
        </w:rPr>
        <w:t> </w:t>
      </w:r>
      <w:r>
        <w:rPr/>
        <w:t>payment</w:t>
      </w:r>
      <w:r>
        <w:rPr>
          <w:spacing w:val="-1"/>
        </w:rPr>
        <w:t> </w:t>
      </w:r>
      <w:r>
        <w:rPr/>
        <w:t>will</w:t>
      </w:r>
      <w:r>
        <w:rPr>
          <w:spacing w:val="-1"/>
        </w:rPr>
        <w:t> </w:t>
      </w:r>
      <w:r>
        <w:rPr/>
        <w:t>be</w:t>
      </w:r>
      <w:r>
        <w:rPr>
          <w:spacing w:val="-3"/>
        </w:rPr>
        <w:t> </w:t>
      </w:r>
      <w:r>
        <w:rPr/>
        <w:t>due</w:t>
      </w:r>
      <w:r>
        <w:rPr>
          <w:spacing w:val="-3"/>
        </w:rPr>
        <w:t> </w:t>
      </w:r>
      <w:r>
        <w:rPr/>
        <w:t>within 45</w:t>
      </w:r>
      <w:r>
        <w:rPr>
          <w:spacing w:val="-3"/>
        </w:rPr>
        <w:t> </w:t>
      </w:r>
      <w:r>
        <w:rPr/>
        <w:t>days</w:t>
      </w:r>
      <w:r>
        <w:rPr>
          <w:spacing w:val="-4"/>
        </w:rPr>
        <w:t> </w:t>
      </w:r>
      <w:r>
        <w:rPr/>
        <w:t>of</w:t>
      </w:r>
      <w:r>
        <w:rPr>
          <w:spacing w:val="-3"/>
        </w:rPr>
        <w:t> </w:t>
      </w:r>
      <w:r>
        <w:rPr/>
        <w:t>the</w:t>
      </w:r>
      <w:r>
        <w:rPr>
          <w:spacing w:val="-4"/>
        </w:rPr>
        <w:t> </w:t>
      </w:r>
      <w:r>
        <w:rPr/>
        <w:t>invoice</w:t>
      </w:r>
      <w:r>
        <w:rPr>
          <w:spacing w:val="-3"/>
        </w:rPr>
        <w:t> </w:t>
      </w:r>
      <w:r>
        <w:rPr/>
        <w:t>postmark.</w:t>
      </w:r>
      <w:r>
        <w:rPr>
          <w:spacing w:val="-3"/>
        </w:rPr>
        <w:t> </w:t>
      </w:r>
      <w:r>
        <w:rPr/>
        <w:t>Late</w:t>
      </w:r>
      <w:r>
        <w:rPr>
          <w:spacing w:val="-4"/>
        </w:rPr>
        <w:t> </w:t>
      </w:r>
      <w:r>
        <w:rPr/>
        <w:t>payments</w:t>
      </w:r>
      <w:r>
        <w:rPr>
          <w:spacing w:val="-5"/>
        </w:rPr>
        <w:t> </w:t>
      </w:r>
      <w:r>
        <w:rPr/>
        <w:t>will</w:t>
      </w:r>
      <w:r>
        <w:rPr>
          <w:spacing w:val="-3"/>
        </w:rPr>
        <w:t> </w:t>
      </w:r>
      <w:r>
        <w:rPr/>
        <w:t>be</w:t>
      </w:r>
      <w:r>
        <w:rPr>
          <w:spacing w:val="-3"/>
        </w:rPr>
        <w:t> </w:t>
      </w:r>
      <w:r>
        <w:rPr/>
        <w:t>assessed</w:t>
      </w:r>
      <w:r>
        <w:rPr>
          <w:spacing w:val="-4"/>
        </w:rPr>
        <w:t> </w:t>
      </w:r>
      <w:r>
        <w:rPr/>
        <w:t>a</w:t>
      </w:r>
      <w:r>
        <w:rPr>
          <w:spacing w:val="-5"/>
        </w:rPr>
        <w:t> </w:t>
      </w:r>
      <w:r>
        <w:rPr/>
        <w:t>5%</w:t>
      </w:r>
      <w:r>
        <w:rPr>
          <w:spacing w:val="-4"/>
        </w:rPr>
        <w:t> </w:t>
      </w:r>
      <w:r>
        <w:rPr/>
        <w:t>late</w:t>
      </w:r>
      <w:r>
        <w:rPr>
          <w:spacing w:val="-4"/>
        </w:rPr>
        <w:t> </w:t>
      </w:r>
      <w:r>
        <w:rPr/>
        <w:t>charge.</w:t>
      </w:r>
      <w:r>
        <w:rPr>
          <w:spacing w:val="-4"/>
        </w:rPr>
        <w:t> </w:t>
      </w:r>
      <w:r>
        <w:rPr/>
        <w:t>The</w:t>
      </w:r>
      <w:r>
        <w:rPr>
          <w:spacing w:val="-4"/>
        </w:rPr>
        <w:t> </w:t>
      </w:r>
      <w:r>
        <w:rPr/>
        <w:t>loan</w:t>
      </w:r>
      <w:r>
        <w:rPr>
          <w:spacing w:val="-5"/>
        </w:rPr>
        <w:t> </w:t>
      </w:r>
      <w:r>
        <w:rPr/>
        <w:t>will</w:t>
      </w:r>
    </w:p>
    <w:p>
      <w:pPr>
        <w:spacing w:after="0"/>
        <w:jc w:val="both"/>
        <w:sectPr>
          <w:pgSz w:w="12240" w:h="15840"/>
          <w:pgMar w:header="0" w:footer="1738" w:top="1360" w:bottom="1920" w:left="1320" w:right="1280"/>
        </w:sectPr>
      </w:pPr>
    </w:p>
    <w:p>
      <w:pPr>
        <w:pStyle w:val="BodyText"/>
        <w:spacing w:before="80"/>
        <w:ind w:left="120" w:right="157"/>
        <w:jc w:val="both"/>
      </w:pPr>
      <w:r>
        <w:rPr/>
        <w:t>be in default if payments</w:t>
      </w:r>
      <w:r>
        <w:rPr>
          <w:spacing w:val="-1"/>
        </w:rPr>
        <w:t> </w:t>
      </w:r>
      <w:r>
        <w:rPr/>
        <w:t>are</w:t>
      </w:r>
      <w:r>
        <w:rPr>
          <w:spacing w:val="-2"/>
        </w:rPr>
        <w:t> </w:t>
      </w:r>
      <w:r>
        <w:rPr/>
        <w:t>more than</w:t>
      </w:r>
      <w:r>
        <w:rPr>
          <w:spacing w:val="-2"/>
        </w:rPr>
        <w:t> </w:t>
      </w:r>
      <w:r>
        <w:rPr/>
        <w:t>75</w:t>
      </w:r>
      <w:r>
        <w:rPr>
          <w:spacing w:val="-2"/>
        </w:rPr>
        <w:t> </w:t>
      </w:r>
      <w:r>
        <w:rPr/>
        <w:t>days</w:t>
      </w:r>
      <w:r>
        <w:rPr>
          <w:spacing w:val="-1"/>
        </w:rPr>
        <w:t> </w:t>
      </w:r>
      <w:r>
        <w:rPr/>
        <w:t>late. The</w:t>
      </w:r>
      <w:r>
        <w:rPr>
          <w:spacing w:val="-2"/>
        </w:rPr>
        <w:t> </w:t>
      </w:r>
      <w:r>
        <w:rPr/>
        <w:t>default interest rate</w:t>
      </w:r>
      <w:r>
        <w:rPr>
          <w:spacing w:val="-2"/>
        </w:rPr>
        <w:t> </w:t>
      </w:r>
      <w:r>
        <w:rPr/>
        <w:t>shall be</w:t>
      </w:r>
      <w:r>
        <w:rPr>
          <w:spacing w:val="-2"/>
        </w:rPr>
        <w:t> </w:t>
      </w:r>
      <w:r>
        <w:rPr/>
        <w:t>500</w:t>
      </w:r>
      <w:r>
        <w:rPr>
          <w:spacing w:val="-2"/>
        </w:rPr>
        <w:t> </w:t>
      </w:r>
      <w:r>
        <w:rPr/>
        <w:t>basis points (5%) over the note interest rate.</w:t>
      </w:r>
    </w:p>
    <w:p>
      <w:pPr>
        <w:pStyle w:val="BodyText"/>
        <w:spacing w:before="3"/>
        <w:rPr>
          <w:sz w:val="26"/>
        </w:rPr>
      </w:pPr>
    </w:p>
    <w:p>
      <w:pPr>
        <w:spacing w:before="1"/>
        <w:ind w:left="120" w:right="0" w:firstLine="0"/>
        <w:jc w:val="both"/>
        <w:rPr>
          <w:b/>
          <w:sz w:val="22"/>
        </w:rPr>
      </w:pPr>
      <w:r>
        <w:rPr>
          <w:b/>
          <w:color w:val="1F3762"/>
          <w:sz w:val="22"/>
        </w:rPr>
        <w:t>Appraisal</w:t>
      </w:r>
      <w:r>
        <w:rPr>
          <w:b/>
          <w:color w:val="1F3762"/>
          <w:spacing w:val="-8"/>
          <w:sz w:val="22"/>
        </w:rPr>
        <w:t> </w:t>
      </w:r>
      <w:r>
        <w:rPr>
          <w:b/>
          <w:color w:val="1F3762"/>
          <w:spacing w:val="-2"/>
          <w:sz w:val="22"/>
        </w:rPr>
        <w:t>Requirements</w:t>
      </w:r>
    </w:p>
    <w:p>
      <w:pPr>
        <w:pStyle w:val="BodyText"/>
        <w:spacing w:line="252" w:lineRule="exact" w:before="51"/>
        <w:ind w:left="120"/>
        <w:jc w:val="both"/>
      </w:pPr>
      <w:r>
        <w:rPr/>
        <w:t>Projects</w:t>
      </w:r>
      <w:r>
        <w:rPr>
          <w:spacing w:val="-5"/>
        </w:rPr>
        <w:t> </w:t>
      </w:r>
      <w:r>
        <w:rPr/>
        <w:t>Receiving</w:t>
      </w:r>
      <w:r>
        <w:rPr>
          <w:spacing w:val="-6"/>
        </w:rPr>
        <w:t> </w:t>
      </w:r>
      <w:r>
        <w:rPr/>
        <w:t>City</w:t>
      </w:r>
      <w:r>
        <w:rPr>
          <w:spacing w:val="-9"/>
        </w:rPr>
        <w:t> </w:t>
      </w:r>
      <w:r>
        <w:rPr/>
        <w:t>First</w:t>
      </w:r>
      <w:r>
        <w:rPr>
          <w:spacing w:val="-6"/>
        </w:rPr>
        <w:t> </w:t>
      </w:r>
      <w:r>
        <w:rPr/>
        <w:t>Mortgage</w:t>
      </w:r>
      <w:r>
        <w:rPr>
          <w:spacing w:val="-8"/>
        </w:rPr>
        <w:t> </w:t>
      </w:r>
      <w:r>
        <w:rPr/>
        <w:t>Acquisition</w:t>
      </w:r>
      <w:r>
        <w:rPr>
          <w:spacing w:val="-5"/>
        </w:rPr>
        <w:t> </w:t>
      </w:r>
      <w:r>
        <w:rPr>
          <w:spacing w:val="-2"/>
        </w:rPr>
        <w:t>Financing</w:t>
      </w:r>
    </w:p>
    <w:p>
      <w:pPr>
        <w:pStyle w:val="BodyText"/>
        <w:ind w:left="120" w:right="157"/>
        <w:jc w:val="both"/>
      </w:pPr>
      <w:r>
        <w:rPr/>
        <w:pict>
          <v:shape style="position:absolute;margin-left:90.065002pt;margin-top:28.937471pt;width:395.3pt;height:419pt;mso-position-horizontal-relative:page;mso-position-vertical-relative:paragraph;z-index:-17707520" id="docshape74" coordorigin="1801,579" coordsize="7906,8380" path="m4498,7842l4492,7769,4477,7691,4455,7608,4432,7539,4403,7467,4367,7392,4325,7314,4276,7233,4237,7174,4200,7124,4200,7809,4197,7866,4186,7922,4167,7980,4138,8039,4097,8102,4044,8168,3979,8238,3674,8543,2216,7085,2517,6785,2598,6708,2672,6649,2740,6605,2801,6579,2868,6564,2941,6560,3020,6567,3105,6585,3195,6614,3255,6639,3317,6672,3380,6710,3446,6755,3514,6807,3584,6865,3656,6930,3729,7001,3789,7063,3845,7123,3896,7182,3943,7240,3986,7296,4025,7351,4059,7405,4101,7480,4136,7552,4163,7622,4183,7689,4196,7753,4200,7809,4200,7124,4194,7115,4148,7055,4098,6994,4045,6933,3989,6872,3929,6810,3865,6748,3801,6689,3737,6634,3673,6583,3643,6560,3609,6535,3546,6490,3482,6449,3419,6411,3346,6373,3274,6341,3203,6314,3132,6292,3062,6275,2992,6263,2923,6256,2850,6254,2779,6261,2709,6276,2642,6299,2577,6329,2528,6357,2476,6394,2420,6440,2359,6494,2294,6557,1801,7050,3710,8958,4124,8543,4226,8441,4287,8376,4341,8311,4386,8245,4424,8178,4454,8112,4476,8045,4491,7979,4498,7911,4498,7842xm6418,6249l6056,6122,5650,5979,5561,5950,5475,5926,5393,5907,5365,5901,5314,5892,5239,5882,5193,5881,5143,5884,5089,5891,5030,5901,5073,5832,5109,5762,5136,5693,5154,5624,5164,5556,5165,5487,5157,5420,5139,5342,5111,5265,5075,5191,5030,5118,4976,5048,4956,5025,4913,4979,4872,4941,4872,5498,4868,5554,4854,5609,4830,5665,4794,5723,4747,5784,4687,5848,4280,6255,3649,5624,4102,5171,4166,5114,4229,5071,4293,5041,4358,5026,4422,5025,4501,5040,4577,5070,4649,5114,4718,5174,4761,5222,4797,5272,4827,5326,4851,5383,4867,5441,4872,5498,4872,4941,4849,4919,4782,4867,4713,4821,4641,4783,4566,4751,4474,4722,4386,4710,4303,4712,4225,4728,4163,4753,4098,4789,4030,4837,3958,4897,3883,4968,3248,5603,5157,7511,5346,7321,4499,6474,4718,6255,4753,6221,4783,6193,4810,6172,4833,6158,4863,6144,4896,6133,4932,6126,4971,6122,5014,6122,5066,6127,5125,6137,5194,6154,5256,6171,5328,6192,5407,6217,5496,6246,6180,6487,6418,6249xm7780,4887l7415,4692,6555,4238,6555,4545,6070,5030,6030,4959,5989,4887,5748,4456,5708,4385,5668,4313,5629,4248,5590,4183,5550,4119,5509,4056,5467,3994,5424,3932,5380,3872,5436,3907,5498,3945,5564,3985,5635,4027,5792,4117,6555,4545,6555,4238,5862,3872,5286,3565,5082,3769,5277,4119,5316,4189,5701,4887,6207,5806,6441,6227,6642,6026,6565,5892,6298,5424,6221,5290,6481,5030,6820,4692,7173,4887,7565,5103,7780,4887xm8131,4537l7264,3670,7936,2998,7711,2773,7039,3444,6448,2854,7224,2077,6999,1852,6033,2818,7941,4726,8131,4537xm9707,2961l8024,1278,8497,804,8272,579,7138,1713,7363,1939,7834,1467,9517,3150,9707,2961xe" filled="true" fillcolor="#c0c0c0" stroked="false">
            <v:path arrowok="t"/>
            <v:fill opacity="32896f" type="solid"/>
            <w10:wrap type="none"/>
          </v:shape>
        </w:pict>
      </w:r>
      <w:r>
        <w:rPr/>
        <w:t>Prior</w:t>
      </w:r>
      <w:r>
        <w:rPr>
          <w:spacing w:val="-9"/>
        </w:rPr>
        <w:t> </w:t>
      </w:r>
      <w:r>
        <w:rPr/>
        <w:t>to</w:t>
      </w:r>
      <w:r>
        <w:rPr>
          <w:spacing w:val="-12"/>
        </w:rPr>
        <w:t> </w:t>
      </w:r>
      <w:r>
        <w:rPr/>
        <w:t>funding</w:t>
      </w:r>
      <w:r>
        <w:rPr>
          <w:spacing w:val="-10"/>
        </w:rPr>
        <w:t> </w:t>
      </w:r>
      <w:r>
        <w:rPr/>
        <w:t>commitment,</w:t>
      </w:r>
      <w:r>
        <w:rPr>
          <w:spacing w:val="-11"/>
        </w:rPr>
        <w:t> </w:t>
      </w:r>
      <w:r>
        <w:rPr/>
        <w:t>the</w:t>
      </w:r>
      <w:r>
        <w:rPr>
          <w:spacing w:val="-10"/>
        </w:rPr>
        <w:t> </w:t>
      </w:r>
      <w:r>
        <w:rPr/>
        <w:t>borrower</w:t>
      </w:r>
      <w:r>
        <w:rPr>
          <w:spacing w:val="-11"/>
        </w:rPr>
        <w:t> </w:t>
      </w:r>
      <w:r>
        <w:rPr/>
        <w:t>must</w:t>
      </w:r>
      <w:r>
        <w:rPr>
          <w:spacing w:val="-8"/>
        </w:rPr>
        <w:t> </w:t>
      </w:r>
      <w:r>
        <w:rPr/>
        <w:t>provide</w:t>
      </w:r>
      <w:r>
        <w:rPr>
          <w:spacing w:val="-10"/>
        </w:rPr>
        <w:t> </w:t>
      </w:r>
      <w:r>
        <w:rPr/>
        <w:t>a</w:t>
      </w:r>
      <w:r>
        <w:rPr>
          <w:spacing w:val="-10"/>
        </w:rPr>
        <w:t> </w:t>
      </w:r>
      <w:r>
        <w:rPr/>
        <w:t>completed</w:t>
      </w:r>
      <w:r>
        <w:rPr>
          <w:spacing w:val="-7"/>
        </w:rPr>
        <w:t> </w:t>
      </w:r>
      <w:r>
        <w:rPr/>
        <w:t>Appraisal</w:t>
      </w:r>
      <w:r>
        <w:rPr>
          <w:spacing w:val="-10"/>
        </w:rPr>
        <w:t> </w:t>
      </w:r>
      <w:r>
        <w:rPr/>
        <w:t>Request</w:t>
      </w:r>
      <w:r>
        <w:rPr>
          <w:spacing w:val="-8"/>
        </w:rPr>
        <w:t> </w:t>
      </w:r>
      <w:r>
        <w:rPr/>
        <w:t>Form</w:t>
      </w:r>
      <w:r>
        <w:rPr>
          <w:spacing w:val="-11"/>
        </w:rPr>
        <w:t> </w:t>
      </w:r>
      <w:r>
        <w:rPr/>
        <w:t>for City-Ordered Appraisals by the date specified in the City’s notice of funding award, unless the development</w:t>
      </w:r>
      <w:r>
        <w:rPr>
          <w:spacing w:val="-9"/>
        </w:rPr>
        <w:t> </w:t>
      </w:r>
      <w:r>
        <w:rPr/>
        <w:t>is</w:t>
      </w:r>
      <w:r>
        <w:rPr>
          <w:spacing w:val="-10"/>
        </w:rPr>
        <w:t> </w:t>
      </w:r>
      <w:r>
        <w:rPr/>
        <w:t>exempt</w:t>
      </w:r>
      <w:r>
        <w:rPr>
          <w:spacing w:val="-9"/>
        </w:rPr>
        <w:t> </w:t>
      </w:r>
      <w:r>
        <w:rPr/>
        <w:t>from</w:t>
      </w:r>
      <w:r>
        <w:rPr>
          <w:spacing w:val="-10"/>
        </w:rPr>
        <w:t> </w:t>
      </w:r>
      <w:r>
        <w:rPr/>
        <w:t>the</w:t>
      </w:r>
      <w:r>
        <w:rPr>
          <w:spacing w:val="-11"/>
        </w:rPr>
        <w:t> </w:t>
      </w:r>
      <w:r>
        <w:rPr/>
        <w:t>appraisal</w:t>
      </w:r>
      <w:r>
        <w:rPr>
          <w:spacing w:val="-9"/>
        </w:rPr>
        <w:t> </w:t>
      </w:r>
      <w:r>
        <w:rPr/>
        <w:t>requirement</w:t>
      </w:r>
      <w:r>
        <w:rPr>
          <w:spacing w:val="-9"/>
        </w:rPr>
        <w:t> </w:t>
      </w:r>
      <w:r>
        <w:rPr/>
        <w:t>as</w:t>
      </w:r>
      <w:r>
        <w:rPr>
          <w:spacing w:val="-10"/>
        </w:rPr>
        <w:t> </w:t>
      </w:r>
      <w:r>
        <w:rPr/>
        <w:t>described</w:t>
      </w:r>
      <w:r>
        <w:rPr>
          <w:spacing w:val="-11"/>
        </w:rPr>
        <w:t> </w:t>
      </w:r>
      <w:r>
        <w:rPr/>
        <w:t>below.</w:t>
      </w:r>
      <w:r>
        <w:rPr>
          <w:spacing w:val="-7"/>
        </w:rPr>
        <w:t> </w:t>
      </w:r>
      <w:r>
        <w:rPr/>
        <w:t>The</w:t>
      </w:r>
      <w:r>
        <w:rPr>
          <w:spacing w:val="-11"/>
        </w:rPr>
        <w:t> </w:t>
      </w:r>
      <w:r>
        <w:rPr/>
        <w:t>establishment</w:t>
      </w:r>
      <w:r>
        <w:rPr>
          <w:spacing w:val="-9"/>
        </w:rPr>
        <w:t> </w:t>
      </w:r>
      <w:r>
        <w:rPr/>
        <w:t>of the date will take into account the applicable funding source commitment deadline and the Borrower’s project timeline.</w:t>
      </w:r>
    </w:p>
    <w:p>
      <w:pPr>
        <w:pStyle w:val="BodyText"/>
        <w:spacing w:before="1"/>
      </w:pPr>
    </w:p>
    <w:p>
      <w:pPr>
        <w:pStyle w:val="BodyText"/>
        <w:ind w:left="120"/>
      </w:pPr>
      <w:r>
        <w:rPr/>
        <w:t>Developments</w:t>
      </w:r>
      <w:r>
        <w:rPr>
          <w:spacing w:val="-10"/>
        </w:rPr>
        <w:t> </w:t>
      </w:r>
      <w:r>
        <w:rPr/>
        <w:t>exempt</w:t>
      </w:r>
      <w:r>
        <w:rPr>
          <w:spacing w:val="-6"/>
        </w:rPr>
        <w:t> </w:t>
      </w:r>
      <w:r>
        <w:rPr/>
        <w:t>from</w:t>
      </w:r>
      <w:r>
        <w:rPr>
          <w:spacing w:val="-7"/>
        </w:rPr>
        <w:t> </w:t>
      </w:r>
      <w:r>
        <w:rPr/>
        <w:t>the</w:t>
      </w:r>
      <w:r>
        <w:rPr>
          <w:spacing w:val="-5"/>
        </w:rPr>
        <w:t> </w:t>
      </w:r>
      <w:r>
        <w:rPr/>
        <w:t>prior</w:t>
      </w:r>
      <w:r>
        <w:rPr>
          <w:spacing w:val="-7"/>
        </w:rPr>
        <w:t> </w:t>
      </w:r>
      <w:r>
        <w:rPr/>
        <w:t>to</w:t>
      </w:r>
      <w:r>
        <w:rPr>
          <w:spacing w:val="-7"/>
        </w:rPr>
        <w:t> </w:t>
      </w:r>
      <w:r>
        <w:rPr/>
        <w:t>commitment</w:t>
      </w:r>
      <w:r>
        <w:rPr>
          <w:spacing w:val="-4"/>
        </w:rPr>
        <w:t> </w:t>
      </w:r>
      <w:r>
        <w:rPr/>
        <w:t>appraisal</w:t>
      </w:r>
      <w:r>
        <w:rPr>
          <w:spacing w:val="-5"/>
        </w:rPr>
        <w:t> </w:t>
      </w:r>
      <w:r>
        <w:rPr>
          <w:spacing w:val="-2"/>
        </w:rPr>
        <w:t>requirement:</w:t>
      </w:r>
    </w:p>
    <w:p>
      <w:pPr>
        <w:pStyle w:val="ListParagraph"/>
        <w:numPr>
          <w:ilvl w:val="1"/>
          <w:numId w:val="16"/>
        </w:numPr>
        <w:tabs>
          <w:tab w:pos="840" w:val="left" w:leader="none"/>
          <w:tab w:pos="841" w:val="left" w:leader="none"/>
        </w:tabs>
        <w:spacing w:line="268" w:lineRule="exact" w:before="1" w:after="0"/>
        <w:ind w:left="840" w:right="0" w:hanging="361"/>
        <w:jc w:val="left"/>
        <w:rPr>
          <w:rFonts w:ascii="Symbol" w:hAnsi="Symbol"/>
          <w:sz w:val="22"/>
        </w:rPr>
      </w:pPr>
      <w:r>
        <w:rPr>
          <w:sz w:val="22"/>
        </w:rPr>
        <w:t>Acquisition</w:t>
      </w:r>
      <w:r>
        <w:rPr>
          <w:spacing w:val="-6"/>
          <w:sz w:val="22"/>
        </w:rPr>
        <w:t> </w:t>
      </w:r>
      <w:r>
        <w:rPr>
          <w:sz w:val="22"/>
        </w:rPr>
        <w:t>price</w:t>
      </w:r>
      <w:r>
        <w:rPr>
          <w:spacing w:val="-6"/>
          <w:sz w:val="22"/>
        </w:rPr>
        <w:t> </w:t>
      </w:r>
      <w:r>
        <w:rPr>
          <w:sz w:val="22"/>
        </w:rPr>
        <w:t>under</w:t>
      </w:r>
      <w:r>
        <w:rPr>
          <w:spacing w:val="-4"/>
          <w:sz w:val="22"/>
        </w:rPr>
        <w:t> </w:t>
      </w:r>
      <w:r>
        <w:rPr>
          <w:spacing w:val="-2"/>
          <w:sz w:val="22"/>
        </w:rPr>
        <w:t>$100,000</w:t>
      </w:r>
    </w:p>
    <w:p>
      <w:pPr>
        <w:pStyle w:val="ListParagraph"/>
        <w:numPr>
          <w:ilvl w:val="1"/>
          <w:numId w:val="16"/>
        </w:numPr>
        <w:tabs>
          <w:tab w:pos="840" w:val="left" w:leader="none"/>
          <w:tab w:pos="841" w:val="left" w:leader="none"/>
        </w:tabs>
        <w:spacing w:line="237" w:lineRule="auto" w:before="0" w:after="0"/>
        <w:ind w:left="840" w:right="155" w:hanging="361"/>
        <w:jc w:val="left"/>
        <w:rPr>
          <w:rFonts w:ascii="Symbol" w:hAnsi="Symbol"/>
          <w:sz w:val="22"/>
        </w:rPr>
      </w:pPr>
      <w:r>
        <w:rPr>
          <w:sz w:val="22"/>
        </w:rPr>
        <w:t>Land</w:t>
      </w:r>
      <w:r>
        <w:rPr>
          <w:spacing w:val="31"/>
          <w:sz w:val="22"/>
        </w:rPr>
        <w:t> </w:t>
      </w:r>
      <w:r>
        <w:rPr>
          <w:sz w:val="22"/>
        </w:rPr>
        <w:t>only</w:t>
      </w:r>
      <w:r>
        <w:rPr>
          <w:spacing w:val="31"/>
          <w:sz w:val="22"/>
        </w:rPr>
        <w:t> </w:t>
      </w:r>
      <w:r>
        <w:rPr>
          <w:sz w:val="22"/>
        </w:rPr>
        <w:t>where</w:t>
      </w:r>
      <w:r>
        <w:rPr>
          <w:spacing w:val="28"/>
          <w:sz w:val="22"/>
        </w:rPr>
        <w:t> </w:t>
      </w:r>
      <w:r>
        <w:rPr>
          <w:sz w:val="22"/>
        </w:rPr>
        <w:t>there</w:t>
      </w:r>
      <w:r>
        <w:rPr>
          <w:spacing w:val="31"/>
          <w:sz w:val="22"/>
        </w:rPr>
        <w:t> </w:t>
      </w:r>
      <w:r>
        <w:rPr>
          <w:sz w:val="22"/>
        </w:rPr>
        <w:t>is</w:t>
      </w:r>
      <w:r>
        <w:rPr>
          <w:spacing w:val="31"/>
          <w:sz w:val="22"/>
        </w:rPr>
        <w:t> </w:t>
      </w:r>
      <w:r>
        <w:rPr>
          <w:sz w:val="22"/>
        </w:rPr>
        <w:t>no</w:t>
      </w:r>
      <w:r>
        <w:rPr>
          <w:spacing w:val="31"/>
          <w:sz w:val="22"/>
        </w:rPr>
        <w:t> </w:t>
      </w:r>
      <w:r>
        <w:rPr>
          <w:sz w:val="22"/>
        </w:rPr>
        <w:t>identity</w:t>
      </w:r>
      <w:r>
        <w:rPr>
          <w:spacing w:val="31"/>
          <w:sz w:val="22"/>
        </w:rPr>
        <w:t> </w:t>
      </w:r>
      <w:r>
        <w:rPr>
          <w:sz w:val="22"/>
        </w:rPr>
        <w:t>of</w:t>
      </w:r>
      <w:r>
        <w:rPr>
          <w:spacing w:val="32"/>
          <w:sz w:val="22"/>
        </w:rPr>
        <w:t> </w:t>
      </w:r>
      <w:r>
        <w:rPr>
          <w:sz w:val="22"/>
        </w:rPr>
        <w:t>interest.</w:t>
      </w:r>
      <w:r>
        <w:rPr>
          <w:spacing w:val="30"/>
          <w:sz w:val="22"/>
        </w:rPr>
        <w:t> </w:t>
      </w:r>
      <w:r>
        <w:rPr>
          <w:sz w:val="22"/>
        </w:rPr>
        <w:t>Identity</w:t>
      </w:r>
      <w:r>
        <w:rPr>
          <w:spacing w:val="31"/>
          <w:sz w:val="22"/>
        </w:rPr>
        <w:t> </w:t>
      </w:r>
      <w:r>
        <w:rPr>
          <w:sz w:val="22"/>
        </w:rPr>
        <w:t>of</w:t>
      </w:r>
      <w:r>
        <w:rPr>
          <w:spacing w:val="32"/>
          <w:sz w:val="22"/>
        </w:rPr>
        <w:t> </w:t>
      </w:r>
      <w:r>
        <w:rPr>
          <w:sz w:val="22"/>
        </w:rPr>
        <w:t>interest</w:t>
      </w:r>
      <w:r>
        <w:rPr>
          <w:spacing w:val="32"/>
          <w:sz w:val="22"/>
        </w:rPr>
        <w:t> </w:t>
      </w:r>
      <w:r>
        <w:rPr>
          <w:sz w:val="22"/>
        </w:rPr>
        <w:t>is</w:t>
      </w:r>
      <w:r>
        <w:rPr>
          <w:spacing w:val="31"/>
          <w:sz w:val="22"/>
        </w:rPr>
        <w:t> </w:t>
      </w:r>
      <w:r>
        <w:rPr>
          <w:sz w:val="22"/>
        </w:rPr>
        <w:t>used</w:t>
      </w:r>
      <w:r>
        <w:rPr>
          <w:spacing w:val="31"/>
          <w:sz w:val="22"/>
        </w:rPr>
        <w:t> </w:t>
      </w:r>
      <w:r>
        <w:rPr>
          <w:sz w:val="22"/>
        </w:rPr>
        <w:t>broadly</w:t>
      </w:r>
      <w:r>
        <w:rPr>
          <w:spacing w:val="29"/>
          <w:sz w:val="22"/>
        </w:rPr>
        <w:t> </w:t>
      </w:r>
      <w:r>
        <w:rPr>
          <w:sz w:val="22"/>
        </w:rPr>
        <w:t>to include non-arm’s length transactions, related-party transactions, etc.</w:t>
      </w:r>
    </w:p>
    <w:p>
      <w:pPr>
        <w:pStyle w:val="ListParagraph"/>
        <w:numPr>
          <w:ilvl w:val="1"/>
          <w:numId w:val="16"/>
        </w:numPr>
        <w:tabs>
          <w:tab w:pos="840" w:val="left" w:leader="none"/>
          <w:tab w:pos="841" w:val="left" w:leader="none"/>
        </w:tabs>
        <w:spacing w:line="269" w:lineRule="exact" w:before="2" w:after="0"/>
        <w:ind w:left="840" w:right="0" w:hanging="361"/>
        <w:jc w:val="left"/>
        <w:rPr>
          <w:rFonts w:ascii="Symbol" w:hAnsi="Symbol"/>
          <w:sz w:val="22"/>
        </w:rPr>
      </w:pPr>
      <w:r>
        <w:rPr>
          <w:sz w:val="22"/>
        </w:rPr>
        <w:t>Single</w:t>
      </w:r>
      <w:r>
        <w:rPr>
          <w:spacing w:val="-5"/>
          <w:sz w:val="22"/>
        </w:rPr>
        <w:t> </w:t>
      </w:r>
      <w:r>
        <w:rPr>
          <w:sz w:val="22"/>
        </w:rPr>
        <w:t>family</w:t>
      </w:r>
      <w:r>
        <w:rPr>
          <w:spacing w:val="-4"/>
          <w:sz w:val="22"/>
        </w:rPr>
        <w:t> </w:t>
      </w:r>
      <w:r>
        <w:rPr>
          <w:sz w:val="22"/>
        </w:rPr>
        <w:t>homes</w:t>
      </w:r>
      <w:r>
        <w:rPr>
          <w:spacing w:val="-7"/>
          <w:sz w:val="22"/>
        </w:rPr>
        <w:t> </w:t>
      </w:r>
      <w:r>
        <w:rPr>
          <w:sz w:val="22"/>
        </w:rPr>
        <w:t>(1-4</w:t>
      </w:r>
      <w:r>
        <w:rPr>
          <w:spacing w:val="-6"/>
          <w:sz w:val="22"/>
        </w:rPr>
        <w:t> </w:t>
      </w:r>
      <w:r>
        <w:rPr>
          <w:sz w:val="22"/>
        </w:rPr>
        <w:t>family</w:t>
      </w:r>
      <w:r>
        <w:rPr>
          <w:spacing w:val="-4"/>
          <w:sz w:val="22"/>
        </w:rPr>
        <w:t> </w:t>
      </w:r>
      <w:r>
        <w:rPr>
          <w:sz w:val="22"/>
        </w:rPr>
        <w:t>structures)</w:t>
      </w:r>
      <w:r>
        <w:rPr>
          <w:spacing w:val="-6"/>
          <w:sz w:val="22"/>
        </w:rPr>
        <w:t> </w:t>
      </w:r>
      <w:r>
        <w:rPr>
          <w:sz w:val="22"/>
        </w:rPr>
        <w:t>that</w:t>
      </w:r>
      <w:r>
        <w:rPr>
          <w:spacing w:val="-6"/>
          <w:sz w:val="22"/>
        </w:rPr>
        <w:t> </w:t>
      </w:r>
      <w:r>
        <w:rPr>
          <w:sz w:val="22"/>
        </w:rPr>
        <w:t>are</w:t>
      </w:r>
      <w:r>
        <w:rPr>
          <w:spacing w:val="-4"/>
          <w:sz w:val="22"/>
        </w:rPr>
        <w:t> </w:t>
      </w:r>
      <w:r>
        <w:rPr>
          <w:sz w:val="22"/>
        </w:rPr>
        <w:t>aggregated</w:t>
      </w:r>
      <w:r>
        <w:rPr>
          <w:spacing w:val="-5"/>
          <w:sz w:val="22"/>
        </w:rPr>
        <w:t> </w:t>
      </w:r>
      <w:r>
        <w:rPr>
          <w:sz w:val="22"/>
        </w:rPr>
        <w:t>under</w:t>
      </w:r>
      <w:r>
        <w:rPr>
          <w:spacing w:val="-3"/>
          <w:sz w:val="22"/>
        </w:rPr>
        <w:t> </w:t>
      </w:r>
      <w:r>
        <w:rPr>
          <w:sz w:val="22"/>
        </w:rPr>
        <w:t>one</w:t>
      </w:r>
      <w:r>
        <w:rPr>
          <w:spacing w:val="-8"/>
          <w:sz w:val="22"/>
        </w:rPr>
        <w:t> </w:t>
      </w:r>
      <w:r>
        <w:rPr>
          <w:spacing w:val="-4"/>
          <w:sz w:val="22"/>
        </w:rPr>
        <w:t>loan</w:t>
      </w:r>
    </w:p>
    <w:p>
      <w:pPr>
        <w:pStyle w:val="ListParagraph"/>
        <w:numPr>
          <w:ilvl w:val="1"/>
          <w:numId w:val="16"/>
        </w:numPr>
        <w:tabs>
          <w:tab w:pos="840" w:val="left" w:leader="none"/>
          <w:tab w:pos="841" w:val="left" w:leader="none"/>
        </w:tabs>
        <w:spacing w:line="268" w:lineRule="exact" w:before="0" w:after="0"/>
        <w:ind w:left="840" w:right="0" w:hanging="361"/>
        <w:jc w:val="left"/>
        <w:rPr>
          <w:rFonts w:ascii="Symbol" w:hAnsi="Symbol"/>
          <w:sz w:val="22"/>
        </w:rPr>
      </w:pPr>
      <w:r>
        <w:rPr>
          <w:sz w:val="22"/>
        </w:rPr>
        <w:t>The</w:t>
      </w:r>
      <w:r>
        <w:rPr>
          <w:spacing w:val="-6"/>
          <w:sz w:val="22"/>
        </w:rPr>
        <w:t> </w:t>
      </w:r>
      <w:r>
        <w:rPr>
          <w:sz w:val="22"/>
        </w:rPr>
        <w:t>Borrower</w:t>
      </w:r>
      <w:r>
        <w:rPr>
          <w:spacing w:val="-2"/>
          <w:sz w:val="22"/>
        </w:rPr>
        <w:t> </w:t>
      </w:r>
      <w:r>
        <w:rPr>
          <w:sz w:val="22"/>
        </w:rPr>
        <w:t>has</w:t>
      </w:r>
      <w:r>
        <w:rPr>
          <w:spacing w:val="-6"/>
          <w:sz w:val="22"/>
        </w:rPr>
        <w:t> </w:t>
      </w:r>
      <w:r>
        <w:rPr>
          <w:sz w:val="22"/>
        </w:rPr>
        <w:t>provided</w:t>
      </w:r>
      <w:r>
        <w:rPr>
          <w:spacing w:val="-4"/>
          <w:sz w:val="22"/>
        </w:rPr>
        <w:t> </w:t>
      </w:r>
      <w:r>
        <w:rPr>
          <w:sz w:val="22"/>
        </w:rPr>
        <w:t>a</w:t>
      </w:r>
      <w:r>
        <w:rPr>
          <w:spacing w:val="-6"/>
          <w:sz w:val="22"/>
        </w:rPr>
        <w:t> </w:t>
      </w:r>
      <w:r>
        <w:rPr>
          <w:sz w:val="22"/>
        </w:rPr>
        <w:t>third-party</w:t>
      </w:r>
      <w:r>
        <w:rPr>
          <w:spacing w:val="-8"/>
          <w:sz w:val="22"/>
        </w:rPr>
        <w:t> </w:t>
      </w:r>
      <w:r>
        <w:rPr>
          <w:sz w:val="22"/>
        </w:rPr>
        <w:t>market</w:t>
      </w:r>
      <w:r>
        <w:rPr>
          <w:spacing w:val="-2"/>
          <w:sz w:val="22"/>
        </w:rPr>
        <w:t> study</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The</w:t>
      </w:r>
      <w:r>
        <w:rPr>
          <w:spacing w:val="-5"/>
          <w:sz w:val="22"/>
        </w:rPr>
        <w:t> </w:t>
      </w:r>
      <w:r>
        <w:rPr>
          <w:sz w:val="22"/>
        </w:rPr>
        <w:t>Project</w:t>
      </w:r>
      <w:r>
        <w:rPr>
          <w:spacing w:val="-3"/>
          <w:sz w:val="22"/>
        </w:rPr>
        <w:t> </w:t>
      </w:r>
      <w:r>
        <w:rPr>
          <w:sz w:val="22"/>
        </w:rPr>
        <w:t>is</w:t>
      </w:r>
      <w:r>
        <w:rPr>
          <w:spacing w:val="-2"/>
          <w:sz w:val="22"/>
        </w:rPr>
        <w:t> </w:t>
      </w:r>
      <w:r>
        <w:rPr>
          <w:sz w:val="22"/>
        </w:rPr>
        <w:t>HUD</w:t>
      </w:r>
      <w:r>
        <w:rPr>
          <w:spacing w:val="-3"/>
          <w:sz w:val="22"/>
        </w:rPr>
        <w:t> </w:t>
      </w:r>
      <w:r>
        <w:rPr>
          <w:sz w:val="22"/>
        </w:rPr>
        <w:t>202</w:t>
      </w:r>
      <w:r>
        <w:rPr>
          <w:spacing w:val="-7"/>
          <w:sz w:val="22"/>
        </w:rPr>
        <w:t> </w:t>
      </w:r>
      <w:r>
        <w:rPr>
          <w:sz w:val="22"/>
        </w:rPr>
        <w:t>or HUD</w:t>
      </w:r>
      <w:r>
        <w:rPr>
          <w:spacing w:val="-3"/>
          <w:sz w:val="22"/>
        </w:rPr>
        <w:t> </w:t>
      </w:r>
      <w:r>
        <w:rPr>
          <w:sz w:val="22"/>
        </w:rPr>
        <w:t>811</w:t>
      </w:r>
      <w:r>
        <w:rPr>
          <w:spacing w:val="-5"/>
          <w:sz w:val="22"/>
        </w:rPr>
        <w:t> </w:t>
      </w:r>
      <w:r>
        <w:rPr>
          <w:sz w:val="22"/>
        </w:rPr>
        <w:t>with</w:t>
      </w:r>
      <w:r>
        <w:rPr>
          <w:spacing w:val="-3"/>
          <w:sz w:val="22"/>
        </w:rPr>
        <w:t> </w:t>
      </w:r>
      <w:r>
        <w:rPr>
          <w:sz w:val="22"/>
        </w:rPr>
        <w:t>a</w:t>
      </w:r>
      <w:r>
        <w:rPr>
          <w:spacing w:val="-5"/>
          <w:sz w:val="22"/>
        </w:rPr>
        <w:t> </w:t>
      </w:r>
      <w:r>
        <w:rPr>
          <w:sz w:val="22"/>
        </w:rPr>
        <w:t>funding</w:t>
      </w:r>
      <w:r>
        <w:rPr>
          <w:spacing w:val="-2"/>
          <w:sz w:val="22"/>
        </w:rPr>
        <w:t> reservation</w:t>
      </w:r>
    </w:p>
    <w:p>
      <w:pPr>
        <w:pStyle w:val="BodyText"/>
        <w:spacing w:before="10"/>
        <w:rPr>
          <w:sz w:val="21"/>
        </w:rPr>
      </w:pPr>
    </w:p>
    <w:p>
      <w:pPr>
        <w:pStyle w:val="BodyText"/>
        <w:ind w:left="121" w:right="154"/>
        <w:jc w:val="both"/>
      </w:pPr>
      <w:r>
        <w:rPr/>
        <w:t>Note:</w:t>
      </w:r>
      <w:r>
        <w:rPr>
          <w:spacing w:val="-13"/>
        </w:rPr>
        <w:t> </w:t>
      </w:r>
      <w:r>
        <w:rPr/>
        <w:t>Whenever</w:t>
      </w:r>
      <w:r>
        <w:rPr>
          <w:spacing w:val="-11"/>
        </w:rPr>
        <w:t> </w:t>
      </w:r>
      <w:r>
        <w:rPr/>
        <w:t>a</w:t>
      </w:r>
      <w:r>
        <w:rPr>
          <w:spacing w:val="-15"/>
        </w:rPr>
        <w:t> </w:t>
      </w:r>
      <w:r>
        <w:rPr/>
        <w:t>project</w:t>
      </w:r>
      <w:r>
        <w:rPr>
          <w:spacing w:val="-11"/>
        </w:rPr>
        <w:t> </w:t>
      </w:r>
      <w:r>
        <w:rPr/>
        <w:t>is</w:t>
      </w:r>
      <w:r>
        <w:rPr>
          <w:spacing w:val="-12"/>
        </w:rPr>
        <w:t> </w:t>
      </w:r>
      <w:r>
        <w:rPr/>
        <w:t>exempt</w:t>
      </w:r>
      <w:r>
        <w:rPr>
          <w:spacing w:val="-11"/>
        </w:rPr>
        <w:t> </w:t>
      </w:r>
      <w:r>
        <w:rPr/>
        <w:t>under</w:t>
      </w:r>
      <w:r>
        <w:rPr>
          <w:spacing w:val="-11"/>
        </w:rPr>
        <w:t> </w:t>
      </w:r>
      <w:r>
        <w:rPr/>
        <w:t>one</w:t>
      </w:r>
      <w:r>
        <w:rPr>
          <w:spacing w:val="-15"/>
        </w:rPr>
        <w:t> </w:t>
      </w:r>
      <w:r>
        <w:rPr/>
        <w:t>of</w:t>
      </w:r>
      <w:r>
        <w:rPr>
          <w:spacing w:val="-13"/>
        </w:rPr>
        <w:t> </w:t>
      </w:r>
      <w:r>
        <w:rPr/>
        <w:t>the</w:t>
      </w:r>
      <w:r>
        <w:rPr>
          <w:spacing w:val="-12"/>
        </w:rPr>
        <w:t> </w:t>
      </w:r>
      <w:r>
        <w:rPr/>
        <w:t>above</w:t>
      </w:r>
      <w:r>
        <w:rPr>
          <w:spacing w:val="-12"/>
        </w:rPr>
        <w:t> </w:t>
      </w:r>
      <w:r>
        <w:rPr/>
        <w:t>provisions,</w:t>
      </w:r>
      <w:r>
        <w:rPr>
          <w:spacing w:val="-13"/>
        </w:rPr>
        <w:t> </w:t>
      </w:r>
      <w:r>
        <w:rPr/>
        <w:t>the</w:t>
      </w:r>
      <w:r>
        <w:rPr>
          <w:spacing w:val="-16"/>
        </w:rPr>
        <w:t> </w:t>
      </w:r>
      <w:r>
        <w:rPr/>
        <w:t>City</w:t>
      </w:r>
      <w:r>
        <w:rPr>
          <w:spacing w:val="-11"/>
        </w:rPr>
        <w:t> </w:t>
      </w:r>
      <w:r>
        <w:rPr/>
        <w:t>will</w:t>
      </w:r>
      <w:r>
        <w:rPr>
          <w:spacing w:val="-13"/>
        </w:rPr>
        <w:t> </w:t>
      </w:r>
      <w:r>
        <w:rPr/>
        <w:t>use</w:t>
      </w:r>
      <w:r>
        <w:rPr>
          <w:spacing w:val="-12"/>
        </w:rPr>
        <w:t> </w:t>
      </w:r>
      <w:r>
        <w:rPr/>
        <w:t>assessed value unless the borrower requests an appraisal for determining acquisition cost as defined in these Underwriting Standards.</w:t>
      </w:r>
    </w:p>
    <w:p>
      <w:pPr>
        <w:pStyle w:val="BodyText"/>
        <w:spacing w:before="9"/>
        <w:rPr>
          <w:sz w:val="21"/>
        </w:rPr>
      </w:pPr>
    </w:p>
    <w:p>
      <w:pPr>
        <w:pStyle w:val="BodyText"/>
        <w:ind w:left="121" w:right="154"/>
        <w:jc w:val="both"/>
      </w:pPr>
      <w:r>
        <w:rPr/>
        <w:t>The cost of appraisals must be borne by the Borrower. All costs incurred for the appraisal, and any revisions, will be the responsibility of the applicant. The City will collect the appraisal costs from its loan proceeds at closing.</w:t>
      </w:r>
    </w:p>
    <w:p>
      <w:pPr>
        <w:pStyle w:val="BodyText"/>
        <w:spacing w:before="1"/>
      </w:pPr>
    </w:p>
    <w:p>
      <w:pPr>
        <w:pStyle w:val="BodyText"/>
        <w:ind w:left="121" w:right="157"/>
        <w:jc w:val="both"/>
      </w:pPr>
      <w:r>
        <w:rPr/>
        <w:t>Appraisals ordered by the Borrower will not be accepted. All appraisals must be ordered by the City,</w:t>
      </w:r>
      <w:r>
        <w:rPr>
          <w:spacing w:val="-8"/>
        </w:rPr>
        <w:t> </w:t>
      </w:r>
      <w:r>
        <w:rPr/>
        <w:t>HUD</w:t>
      </w:r>
      <w:r>
        <w:rPr>
          <w:spacing w:val="-9"/>
        </w:rPr>
        <w:t> </w:t>
      </w:r>
      <w:r>
        <w:rPr/>
        <w:t>or</w:t>
      </w:r>
      <w:r>
        <w:rPr>
          <w:spacing w:val="-9"/>
        </w:rPr>
        <w:t> </w:t>
      </w:r>
      <w:r>
        <w:rPr/>
        <w:t>a</w:t>
      </w:r>
      <w:r>
        <w:rPr>
          <w:spacing w:val="-9"/>
        </w:rPr>
        <w:t> </w:t>
      </w:r>
      <w:r>
        <w:rPr/>
        <w:t>designated</w:t>
      </w:r>
      <w:r>
        <w:rPr>
          <w:spacing w:val="-9"/>
        </w:rPr>
        <w:t> </w:t>
      </w:r>
      <w:r>
        <w:rPr/>
        <w:t>HUD</w:t>
      </w:r>
      <w:r>
        <w:rPr>
          <w:spacing w:val="-9"/>
        </w:rPr>
        <w:t> </w:t>
      </w:r>
      <w:r>
        <w:rPr/>
        <w:t>MAP</w:t>
      </w:r>
      <w:r>
        <w:rPr>
          <w:spacing w:val="-9"/>
        </w:rPr>
        <w:t> </w:t>
      </w:r>
      <w:r>
        <w:rPr/>
        <w:t>lender,</w:t>
      </w:r>
      <w:r>
        <w:rPr>
          <w:spacing w:val="-8"/>
        </w:rPr>
        <w:t> </w:t>
      </w:r>
      <w:r>
        <w:rPr/>
        <w:t>Fannie</w:t>
      </w:r>
      <w:r>
        <w:rPr>
          <w:spacing w:val="-9"/>
        </w:rPr>
        <w:t> </w:t>
      </w:r>
      <w:r>
        <w:rPr/>
        <w:t>Mae</w:t>
      </w:r>
      <w:r>
        <w:rPr>
          <w:spacing w:val="-9"/>
        </w:rPr>
        <w:t> </w:t>
      </w:r>
      <w:r>
        <w:rPr/>
        <w:t>or</w:t>
      </w:r>
      <w:r>
        <w:rPr>
          <w:spacing w:val="-9"/>
        </w:rPr>
        <w:t> </w:t>
      </w:r>
      <w:r>
        <w:rPr/>
        <w:t>a</w:t>
      </w:r>
      <w:r>
        <w:rPr>
          <w:spacing w:val="-9"/>
        </w:rPr>
        <w:t> </w:t>
      </w:r>
      <w:r>
        <w:rPr/>
        <w:t>designated</w:t>
      </w:r>
      <w:r>
        <w:rPr>
          <w:spacing w:val="-11"/>
        </w:rPr>
        <w:t> </w:t>
      </w:r>
      <w:r>
        <w:rPr/>
        <w:t>Fannie</w:t>
      </w:r>
      <w:r>
        <w:rPr>
          <w:spacing w:val="-9"/>
        </w:rPr>
        <w:t> </w:t>
      </w:r>
      <w:r>
        <w:rPr/>
        <w:t>Mae</w:t>
      </w:r>
      <w:r>
        <w:rPr>
          <w:spacing w:val="-9"/>
        </w:rPr>
        <w:t> </w:t>
      </w:r>
      <w:r>
        <w:rPr/>
        <w:t>Delegated Underwriter Services (DUS) lender or a regulated financial institution.</w:t>
      </w:r>
    </w:p>
    <w:p>
      <w:pPr>
        <w:pStyle w:val="BodyText"/>
        <w:spacing w:before="1"/>
      </w:pPr>
    </w:p>
    <w:p>
      <w:pPr>
        <w:pStyle w:val="BodyText"/>
        <w:ind w:left="121" w:right="156"/>
        <w:jc w:val="both"/>
      </w:pPr>
      <w:r>
        <w:rPr/>
        <w:t>An</w:t>
      </w:r>
      <w:r>
        <w:rPr>
          <w:spacing w:val="-6"/>
        </w:rPr>
        <w:t> </w:t>
      </w:r>
      <w:r>
        <w:rPr/>
        <w:t>Agency-ordered</w:t>
      </w:r>
      <w:r>
        <w:rPr>
          <w:spacing w:val="-6"/>
        </w:rPr>
        <w:t> </w:t>
      </w:r>
      <w:r>
        <w:rPr/>
        <w:t>appraisal</w:t>
      </w:r>
      <w:r>
        <w:rPr>
          <w:spacing w:val="-7"/>
        </w:rPr>
        <w:t> </w:t>
      </w:r>
      <w:r>
        <w:rPr/>
        <w:t>will</w:t>
      </w:r>
      <w:r>
        <w:rPr>
          <w:spacing w:val="-7"/>
        </w:rPr>
        <w:t> </w:t>
      </w:r>
      <w:r>
        <w:rPr/>
        <w:t>be</w:t>
      </w:r>
      <w:r>
        <w:rPr>
          <w:spacing w:val="-6"/>
        </w:rPr>
        <w:t> </w:t>
      </w:r>
      <w:r>
        <w:rPr/>
        <w:t>used</w:t>
      </w:r>
      <w:r>
        <w:rPr>
          <w:spacing w:val="-6"/>
        </w:rPr>
        <w:t> </w:t>
      </w:r>
      <w:r>
        <w:rPr/>
        <w:t>to</w:t>
      </w:r>
      <w:r>
        <w:rPr>
          <w:spacing w:val="-6"/>
        </w:rPr>
        <w:t> </w:t>
      </w:r>
      <w:r>
        <w:rPr/>
        <w:t>support</w:t>
      </w:r>
      <w:r>
        <w:rPr>
          <w:spacing w:val="-7"/>
        </w:rPr>
        <w:t> </w:t>
      </w:r>
      <w:r>
        <w:rPr/>
        <w:t>the</w:t>
      </w:r>
      <w:r>
        <w:rPr>
          <w:spacing w:val="-6"/>
        </w:rPr>
        <w:t> </w:t>
      </w:r>
      <w:r>
        <w:rPr/>
        <w:t>acquisition</w:t>
      </w:r>
      <w:r>
        <w:rPr>
          <w:spacing w:val="-6"/>
        </w:rPr>
        <w:t> </w:t>
      </w:r>
      <w:r>
        <w:rPr/>
        <w:t>costs</w:t>
      </w:r>
      <w:r>
        <w:rPr>
          <w:spacing w:val="-6"/>
        </w:rPr>
        <w:t> </w:t>
      </w:r>
      <w:r>
        <w:rPr/>
        <w:t>identified</w:t>
      </w:r>
      <w:r>
        <w:rPr>
          <w:spacing w:val="-6"/>
        </w:rPr>
        <w:t> </w:t>
      </w:r>
      <w:r>
        <w:rPr/>
        <w:t>at</w:t>
      </w:r>
      <w:r>
        <w:rPr>
          <w:spacing w:val="-7"/>
        </w:rPr>
        <w:t> </w:t>
      </w:r>
      <w:r>
        <w:rPr/>
        <w:t>the</w:t>
      </w:r>
      <w:r>
        <w:rPr>
          <w:spacing w:val="-6"/>
        </w:rPr>
        <w:t> </w:t>
      </w:r>
      <w:r>
        <w:rPr/>
        <w:t>time</w:t>
      </w:r>
      <w:r>
        <w:rPr>
          <w:spacing w:val="-6"/>
        </w:rPr>
        <w:t> </w:t>
      </w:r>
      <w:r>
        <w:rPr/>
        <w:t>of application. The</w:t>
      </w:r>
      <w:r>
        <w:rPr>
          <w:spacing w:val="-3"/>
        </w:rPr>
        <w:t> </w:t>
      </w:r>
      <w:r>
        <w:rPr/>
        <w:t>appraised value will</w:t>
      </w:r>
      <w:r>
        <w:rPr>
          <w:spacing w:val="-1"/>
        </w:rPr>
        <w:t> </w:t>
      </w:r>
      <w:r>
        <w:rPr/>
        <w:t>be</w:t>
      </w:r>
      <w:r>
        <w:rPr>
          <w:spacing w:val="-3"/>
        </w:rPr>
        <w:t> </w:t>
      </w:r>
      <w:r>
        <w:rPr/>
        <w:t>used by</w:t>
      </w:r>
      <w:r>
        <w:rPr>
          <w:spacing w:val="-2"/>
        </w:rPr>
        <w:t> </w:t>
      </w:r>
      <w:r>
        <w:rPr/>
        <w:t>the City</w:t>
      </w:r>
      <w:r>
        <w:rPr>
          <w:spacing w:val="-2"/>
        </w:rPr>
        <w:t> </w:t>
      </w:r>
      <w:r>
        <w:rPr/>
        <w:t>and</w:t>
      </w:r>
      <w:r>
        <w:rPr>
          <w:spacing w:val="-3"/>
        </w:rPr>
        <w:t> </w:t>
      </w:r>
      <w:r>
        <w:rPr/>
        <w:t>its</w:t>
      </w:r>
      <w:r>
        <w:rPr>
          <w:spacing w:val="-2"/>
        </w:rPr>
        <w:t> </w:t>
      </w:r>
      <w:r>
        <w:rPr/>
        <w:t>funding partners in</w:t>
      </w:r>
      <w:r>
        <w:rPr>
          <w:spacing w:val="-3"/>
        </w:rPr>
        <w:t> </w:t>
      </w:r>
      <w:r>
        <w:rPr/>
        <w:t>underwriting the acquisition cost.</w:t>
      </w:r>
    </w:p>
    <w:p>
      <w:pPr>
        <w:pStyle w:val="BodyText"/>
        <w:spacing w:before="9"/>
        <w:rPr>
          <w:sz w:val="21"/>
        </w:rPr>
      </w:pPr>
    </w:p>
    <w:p>
      <w:pPr>
        <w:pStyle w:val="Heading5"/>
        <w:spacing w:before="1"/>
        <w:ind w:left="121"/>
      </w:pPr>
      <w:r>
        <w:rPr/>
        <w:t>An</w:t>
      </w:r>
      <w:r>
        <w:rPr>
          <w:spacing w:val="-2"/>
        </w:rPr>
        <w:t> </w:t>
      </w:r>
      <w:r>
        <w:rPr/>
        <w:t>As-Is</w:t>
      </w:r>
      <w:r>
        <w:rPr>
          <w:spacing w:val="-2"/>
        </w:rPr>
        <w:t> Appraisal:</w:t>
      </w:r>
    </w:p>
    <w:p>
      <w:pPr>
        <w:pStyle w:val="BodyText"/>
        <w:spacing w:before="51"/>
        <w:ind w:left="120" w:right="158"/>
        <w:jc w:val="both"/>
      </w:pPr>
      <w:r>
        <w:rPr/>
        <w:t>Land Only for New Construction: Fee simple value of the land. The market value appraisal will consider the real property's zoning as of the effective date of the appraiser's opinion of value. If the</w:t>
      </w:r>
      <w:r>
        <w:rPr>
          <w:spacing w:val="-2"/>
        </w:rPr>
        <w:t> </w:t>
      </w:r>
      <w:r>
        <w:rPr/>
        <w:t>real</w:t>
      </w:r>
      <w:r>
        <w:rPr>
          <w:spacing w:val="-2"/>
        </w:rPr>
        <w:t> </w:t>
      </w:r>
      <w:r>
        <w:rPr/>
        <w:t>property</w:t>
      </w:r>
      <w:r>
        <w:rPr>
          <w:spacing w:val="-1"/>
        </w:rPr>
        <w:t> </w:t>
      </w:r>
      <w:r>
        <w:rPr/>
        <w:t>consists</w:t>
      </w:r>
      <w:r>
        <w:rPr>
          <w:spacing w:val="-1"/>
        </w:rPr>
        <w:t> </w:t>
      </w:r>
      <w:r>
        <w:rPr/>
        <w:t>of</w:t>
      </w:r>
      <w:r>
        <w:rPr>
          <w:spacing w:val="-3"/>
        </w:rPr>
        <w:t> </w:t>
      </w:r>
      <w:r>
        <w:rPr/>
        <w:t>more</w:t>
      </w:r>
      <w:r>
        <w:rPr>
          <w:spacing w:val="-4"/>
        </w:rPr>
        <w:t> </w:t>
      </w:r>
      <w:r>
        <w:rPr/>
        <w:t>than</w:t>
      </w:r>
      <w:r>
        <w:rPr>
          <w:spacing w:val="-2"/>
        </w:rPr>
        <w:t> </w:t>
      </w:r>
      <w:r>
        <w:rPr/>
        <w:t>one</w:t>
      </w:r>
      <w:r>
        <w:rPr>
          <w:spacing w:val="-2"/>
        </w:rPr>
        <w:t> </w:t>
      </w:r>
      <w:r>
        <w:rPr/>
        <w:t>parcel, the</w:t>
      </w:r>
      <w:r>
        <w:rPr>
          <w:spacing w:val="-2"/>
        </w:rPr>
        <w:t> </w:t>
      </w:r>
      <w:r>
        <w:rPr/>
        <w:t>parcels</w:t>
      </w:r>
      <w:r>
        <w:rPr>
          <w:spacing w:val="-1"/>
        </w:rPr>
        <w:t> </w:t>
      </w:r>
      <w:r>
        <w:rPr/>
        <w:t>will</w:t>
      </w:r>
      <w:r>
        <w:rPr>
          <w:spacing w:val="-2"/>
        </w:rPr>
        <w:t> </w:t>
      </w:r>
      <w:r>
        <w:rPr/>
        <w:t>be</w:t>
      </w:r>
      <w:r>
        <w:rPr>
          <w:spacing w:val="-2"/>
        </w:rPr>
        <w:t> </w:t>
      </w:r>
      <w:r>
        <w:rPr/>
        <w:t>combined</w:t>
      </w:r>
      <w:r>
        <w:rPr>
          <w:spacing w:val="-2"/>
        </w:rPr>
        <w:t> </w:t>
      </w:r>
      <w:r>
        <w:rPr/>
        <w:t>in</w:t>
      </w:r>
      <w:r>
        <w:rPr>
          <w:spacing w:val="-2"/>
        </w:rPr>
        <w:t> </w:t>
      </w:r>
      <w:r>
        <w:rPr/>
        <w:t>one</w:t>
      </w:r>
      <w:r>
        <w:rPr>
          <w:spacing w:val="-2"/>
        </w:rPr>
        <w:t> </w:t>
      </w:r>
      <w:r>
        <w:rPr/>
        <w:t>appraisal with one value conclusion.</w:t>
      </w:r>
    </w:p>
    <w:p>
      <w:pPr>
        <w:pStyle w:val="BodyText"/>
      </w:pPr>
    </w:p>
    <w:p>
      <w:pPr>
        <w:pStyle w:val="Heading5"/>
        <w:jc w:val="left"/>
      </w:pPr>
      <w:r>
        <w:rPr>
          <w:spacing w:val="-2"/>
        </w:rPr>
        <w:t>Acquisition/Rehab:</w:t>
      </w:r>
    </w:p>
    <w:p>
      <w:pPr>
        <w:pStyle w:val="BodyText"/>
        <w:spacing w:before="49"/>
        <w:ind w:left="120"/>
      </w:pPr>
      <w:r>
        <w:rPr/>
        <w:t>Fee simple “as-is” value of the existing multi-family property assuming market rate rents. Fee</w:t>
      </w:r>
      <w:r>
        <w:rPr>
          <w:spacing w:val="80"/>
        </w:rPr>
        <w:t> </w:t>
      </w:r>
      <w:r>
        <w:rPr/>
        <w:t>simple, in “as-is” condition, with existing restricted rate rents.</w:t>
      </w:r>
    </w:p>
    <w:p>
      <w:pPr>
        <w:pStyle w:val="BodyText"/>
        <w:spacing w:before="2"/>
      </w:pPr>
    </w:p>
    <w:p>
      <w:pPr>
        <w:pStyle w:val="Heading5"/>
        <w:jc w:val="left"/>
      </w:pPr>
      <w:r>
        <w:rPr/>
        <w:t>Adaptive</w:t>
      </w:r>
      <w:r>
        <w:rPr>
          <w:spacing w:val="-9"/>
        </w:rPr>
        <w:t> </w:t>
      </w:r>
      <w:r>
        <w:rPr/>
        <w:t>Re-</w:t>
      </w:r>
      <w:r>
        <w:rPr>
          <w:spacing w:val="-4"/>
        </w:rPr>
        <w:t>Use:</w:t>
      </w:r>
    </w:p>
    <w:p>
      <w:pPr>
        <w:spacing w:after="0"/>
        <w:jc w:val="left"/>
        <w:sectPr>
          <w:pgSz w:w="12240" w:h="15840"/>
          <w:pgMar w:header="0" w:footer="1738" w:top="1360" w:bottom="1920" w:left="1320" w:right="1280"/>
        </w:sectPr>
      </w:pPr>
    </w:p>
    <w:p>
      <w:pPr>
        <w:pStyle w:val="BodyText"/>
        <w:spacing w:before="80"/>
        <w:ind w:left="120" w:right="157"/>
        <w:jc w:val="both"/>
      </w:pPr>
      <w:r>
        <w:rPr/>
        <w:t>Fee simple market value of the property to be adapted for an alternate use. The valuation will assume the highest and best use permitted by law and economically feasible in the current </w:t>
      </w:r>
      <w:r>
        <w:rPr>
          <w:spacing w:val="-2"/>
        </w:rPr>
        <w:t>market.</w:t>
      </w:r>
    </w:p>
    <w:p>
      <w:pPr>
        <w:pStyle w:val="BodyText"/>
        <w:spacing w:before="5"/>
        <w:rPr>
          <w:sz w:val="26"/>
        </w:rPr>
      </w:pPr>
    </w:p>
    <w:p>
      <w:pPr>
        <w:pStyle w:val="Heading5"/>
        <w:jc w:val="left"/>
      </w:pPr>
      <w:r>
        <w:rPr/>
        <w:t>Prior</w:t>
      </w:r>
      <w:r>
        <w:rPr>
          <w:spacing w:val="-6"/>
        </w:rPr>
        <w:t> </w:t>
      </w:r>
      <w:r>
        <w:rPr/>
        <w:t>to</w:t>
      </w:r>
      <w:r>
        <w:rPr>
          <w:spacing w:val="-5"/>
        </w:rPr>
        <w:t> </w:t>
      </w:r>
      <w:r>
        <w:rPr/>
        <w:t>Closing</w:t>
      </w:r>
      <w:r>
        <w:rPr>
          <w:spacing w:val="-5"/>
        </w:rPr>
        <w:t> </w:t>
      </w:r>
      <w:r>
        <w:rPr/>
        <w:t>–</w:t>
      </w:r>
      <w:r>
        <w:rPr>
          <w:spacing w:val="-6"/>
        </w:rPr>
        <w:t> </w:t>
      </w:r>
      <w:r>
        <w:rPr/>
        <w:t>Scheduled</w:t>
      </w:r>
      <w:r>
        <w:rPr>
          <w:spacing w:val="-3"/>
        </w:rPr>
        <w:t> </w:t>
      </w:r>
      <w:r>
        <w:rPr/>
        <w:t>Payment</w:t>
      </w:r>
      <w:r>
        <w:rPr>
          <w:spacing w:val="-1"/>
        </w:rPr>
        <w:t> </w:t>
      </w:r>
      <w:r>
        <w:rPr>
          <w:spacing w:val="-2"/>
        </w:rPr>
        <w:t>Loans:</w:t>
      </w:r>
    </w:p>
    <w:p>
      <w:pPr>
        <w:pStyle w:val="BodyText"/>
        <w:spacing w:before="49"/>
        <w:ind w:left="120" w:right="50"/>
      </w:pPr>
      <w:r>
        <w:rPr/>
        <w:t>For scheduled payment loans, an as-completed appraisal is required to establish loan to value. An “as-completed and stabilized” appraisal is required for all amortizing loans.</w:t>
      </w:r>
    </w:p>
    <w:p>
      <w:pPr>
        <w:pStyle w:val="BodyText"/>
        <w:spacing w:before="1"/>
        <w:ind w:left="120"/>
      </w:pPr>
      <w:r>
        <w:rPr/>
        <w:pict>
          <v:shape style="position:absolute;margin-left:90.065002pt;margin-top:3.672775pt;width:395.3pt;height:419pt;mso-position-horizontal-relative:page;mso-position-vertical-relative:paragraph;z-index:-17707008" id="docshape75" coordorigin="1801,73" coordsize="7906,8380" path="m4498,7337l4492,7264,4477,7186,4455,7103,4432,7034,4403,6962,4367,6887,4325,6809,4276,6728,4237,6669,4200,6618,4200,7304,4197,7360,4186,7417,4167,7475,4138,7534,4097,7597,4044,7663,3979,7732,3674,8038,2216,6580,2517,6279,2598,6203,2672,6143,2740,6100,2801,6073,2868,6059,2941,6055,3020,6061,3105,6079,3195,6108,3255,6134,3317,6166,3380,6205,3446,6250,3514,6302,3584,6360,3656,6425,3729,6496,3789,6557,3845,6617,3896,6677,3943,6734,3986,6791,4025,6846,4059,6900,4101,6975,4136,7047,4163,7117,4183,7183,4196,7248,4200,7304,4200,6618,4194,6609,4148,6549,4098,6489,4045,6428,3989,6366,3929,6305,3865,6242,3801,6184,3737,6129,3673,6077,3643,6055,3609,6029,3546,5985,3482,5944,3419,5906,3346,5868,3274,5836,3203,5809,3132,5787,3062,5770,2992,5758,2923,5750,2850,5749,2779,5756,2709,5770,2642,5793,2577,5824,2528,5852,2476,5889,2420,5935,2359,5989,2294,6051,1801,6544,3710,8453,4124,8038,4226,7936,4287,7871,4341,7806,4386,7740,4424,7673,4454,7607,4476,7540,4491,7473,4498,7406,4498,7337xm6418,5744l6056,5616,5650,5474,5561,5444,5475,5420,5393,5401,5365,5396,5314,5387,5239,5377,5193,5375,5143,5378,5089,5385,5030,5396,5073,5326,5109,5257,5136,5188,5154,5119,5164,5050,5165,4982,5157,4914,5139,4836,5111,4760,5075,4686,5030,4613,4976,4542,4956,4519,4913,4473,4872,4435,4872,4993,4868,5048,4854,5103,4830,5160,4794,5218,4747,5279,4687,5343,4280,5750,3649,5119,4102,4666,4166,4609,4229,4565,4293,4536,4358,4521,4422,4519,4501,4535,4577,4564,4649,4609,4718,4669,4761,4716,4797,4767,4827,4821,4851,4877,4867,4936,4872,4993,4872,4435,4849,4414,4782,4361,4713,4316,4641,4277,4566,4245,4474,4217,4386,4204,4303,4206,4225,4222,4163,4247,4098,4284,4030,4332,3958,4392,3883,4463,3248,5097,5157,7005,5346,6816,4499,5969,4718,5750,4753,5715,4783,5688,4810,5667,4833,5653,4863,5639,4896,5628,4932,5621,4971,5616,5014,5616,5066,5622,5125,5632,5194,5648,5256,5666,5328,5687,5407,5712,5496,5741,6180,5982,6418,5744xm7780,4382l7415,4187,6555,3733,6555,4040,6070,4525,6030,4453,5989,4382,5748,3951,5708,3879,5668,3808,5629,3742,5590,3678,5550,3614,5509,3551,5467,3488,5424,3427,5380,3366,5436,3402,5498,3440,5564,3480,5635,3522,5792,3612,6555,4040,6555,3733,5862,3366,5286,3059,5082,3263,5277,3614,5316,3684,5701,4382,6207,5301,6441,5721,6642,5520,6565,5387,6298,4919,6221,4785,6481,4525,6820,4187,7173,4382,7565,4598,7780,4382xm8131,4031l7264,3164,7936,2493,7711,2267,7039,2939,6448,2348,7224,1572,6999,1347,6033,2312,7941,4221,8131,4031xm9707,2455l8024,772,8497,299,8272,73,7138,1208,7363,1433,7834,962,9517,2645,9707,2455xe" filled="true" fillcolor="#c0c0c0" stroked="false">
            <v:path arrowok="t"/>
            <v:fill opacity="32896f" type="solid"/>
            <w10:wrap type="none"/>
          </v:shape>
        </w:pict>
      </w:r>
      <w:r>
        <w:rPr/>
        <w:t>Two</w:t>
      </w:r>
      <w:r>
        <w:rPr>
          <w:spacing w:val="-5"/>
        </w:rPr>
        <w:t> </w:t>
      </w:r>
      <w:r>
        <w:rPr/>
        <w:t>hypothetical</w:t>
      </w:r>
      <w:r>
        <w:rPr>
          <w:spacing w:val="-5"/>
        </w:rPr>
        <w:t> </w:t>
      </w:r>
      <w:r>
        <w:rPr/>
        <w:t>values</w:t>
      </w:r>
      <w:r>
        <w:rPr>
          <w:spacing w:val="-6"/>
        </w:rPr>
        <w:t> </w:t>
      </w:r>
      <w:r>
        <w:rPr/>
        <w:t>are</w:t>
      </w:r>
      <w:r>
        <w:rPr>
          <w:spacing w:val="-6"/>
        </w:rPr>
        <w:t> </w:t>
      </w:r>
      <w:r>
        <w:rPr>
          <w:spacing w:val="-2"/>
        </w:rPr>
        <w:t>required:</w:t>
      </w:r>
    </w:p>
    <w:p>
      <w:pPr>
        <w:pStyle w:val="ListParagraph"/>
        <w:numPr>
          <w:ilvl w:val="1"/>
          <w:numId w:val="16"/>
        </w:numPr>
        <w:tabs>
          <w:tab w:pos="839" w:val="left" w:leader="none"/>
          <w:tab w:pos="841" w:val="left" w:leader="none"/>
        </w:tabs>
        <w:spacing w:line="269" w:lineRule="exact" w:before="1" w:after="0"/>
        <w:ind w:left="840" w:right="0" w:hanging="362"/>
        <w:jc w:val="left"/>
        <w:rPr>
          <w:rFonts w:ascii="Symbol" w:hAnsi="Symbol"/>
          <w:sz w:val="22"/>
        </w:rPr>
      </w:pPr>
      <w:r>
        <w:rPr>
          <w:sz w:val="22"/>
        </w:rPr>
        <w:t>As</w:t>
      </w:r>
      <w:r>
        <w:rPr>
          <w:spacing w:val="-4"/>
          <w:sz w:val="22"/>
        </w:rPr>
        <w:t> </w:t>
      </w:r>
      <w:r>
        <w:rPr>
          <w:sz w:val="22"/>
        </w:rPr>
        <w:t>completed</w:t>
      </w:r>
      <w:r>
        <w:rPr>
          <w:spacing w:val="-4"/>
          <w:sz w:val="22"/>
        </w:rPr>
        <w:t> </w:t>
      </w:r>
      <w:r>
        <w:rPr>
          <w:sz w:val="22"/>
        </w:rPr>
        <w:t>and</w:t>
      </w:r>
      <w:r>
        <w:rPr>
          <w:spacing w:val="-6"/>
          <w:sz w:val="22"/>
        </w:rPr>
        <w:t> </w:t>
      </w:r>
      <w:r>
        <w:rPr>
          <w:sz w:val="22"/>
        </w:rPr>
        <w:t>stabilized,</w:t>
      </w:r>
      <w:r>
        <w:rPr>
          <w:spacing w:val="-3"/>
          <w:sz w:val="22"/>
        </w:rPr>
        <w:t> </w:t>
      </w:r>
      <w:r>
        <w:rPr>
          <w:sz w:val="22"/>
        </w:rPr>
        <w:t>subject</w:t>
      </w:r>
      <w:r>
        <w:rPr>
          <w:spacing w:val="-5"/>
          <w:sz w:val="22"/>
        </w:rPr>
        <w:t> </w:t>
      </w:r>
      <w:r>
        <w:rPr>
          <w:sz w:val="22"/>
        </w:rPr>
        <w:t>to</w:t>
      </w:r>
      <w:r>
        <w:rPr>
          <w:spacing w:val="-6"/>
          <w:sz w:val="22"/>
        </w:rPr>
        <w:t> </w:t>
      </w:r>
      <w:r>
        <w:rPr>
          <w:sz w:val="22"/>
        </w:rPr>
        <w:t>restricted</w:t>
      </w:r>
      <w:r>
        <w:rPr>
          <w:spacing w:val="-8"/>
          <w:sz w:val="22"/>
        </w:rPr>
        <w:t> </w:t>
      </w:r>
      <w:r>
        <w:rPr>
          <w:spacing w:val="-2"/>
          <w:sz w:val="22"/>
        </w:rPr>
        <w:t>rents</w:t>
      </w:r>
    </w:p>
    <w:p>
      <w:pPr>
        <w:pStyle w:val="ListParagraph"/>
        <w:numPr>
          <w:ilvl w:val="1"/>
          <w:numId w:val="16"/>
        </w:numPr>
        <w:tabs>
          <w:tab w:pos="840" w:val="left" w:leader="none"/>
          <w:tab w:pos="841" w:val="left" w:leader="none"/>
        </w:tabs>
        <w:spacing w:line="269" w:lineRule="exact" w:before="0" w:after="0"/>
        <w:ind w:left="840" w:right="0" w:hanging="361"/>
        <w:jc w:val="left"/>
        <w:rPr>
          <w:rFonts w:ascii="Symbol" w:hAnsi="Symbol"/>
          <w:sz w:val="22"/>
        </w:rPr>
      </w:pPr>
      <w:r>
        <w:rPr>
          <w:sz w:val="22"/>
        </w:rPr>
        <w:t>As</w:t>
      </w:r>
      <w:r>
        <w:rPr>
          <w:spacing w:val="-4"/>
          <w:sz w:val="22"/>
        </w:rPr>
        <w:t> </w:t>
      </w:r>
      <w:r>
        <w:rPr>
          <w:sz w:val="22"/>
        </w:rPr>
        <w:t>completed</w:t>
      </w:r>
      <w:r>
        <w:rPr>
          <w:spacing w:val="-5"/>
          <w:sz w:val="22"/>
        </w:rPr>
        <w:t> </w:t>
      </w:r>
      <w:r>
        <w:rPr>
          <w:sz w:val="22"/>
        </w:rPr>
        <w:t>and</w:t>
      </w:r>
      <w:r>
        <w:rPr>
          <w:spacing w:val="-7"/>
          <w:sz w:val="22"/>
        </w:rPr>
        <w:t> </w:t>
      </w:r>
      <w:r>
        <w:rPr>
          <w:sz w:val="22"/>
        </w:rPr>
        <w:t>stabilized,</w:t>
      </w:r>
      <w:r>
        <w:rPr>
          <w:spacing w:val="-3"/>
          <w:sz w:val="22"/>
        </w:rPr>
        <w:t> </w:t>
      </w:r>
      <w:r>
        <w:rPr>
          <w:sz w:val="22"/>
        </w:rPr>
        <w:t>assuming</w:t>
      </w:r>
      <w:r>
        <w:rPr>
          <w:spacing w:val="-6"/>
          <w:sz w:val="22"/>
        </w:rPr>
        <w:t> </w:t>
      </w:r>
      <w:r>
        <w:rPr>
          <w:sz w:val="22"/>
        </w:rPr>
        <w:t>market</w:t>
      </w:r>
      <w:r>
        <w:rPr>
          <w:spacing w:val="-6"/>
          <w:sz w:val="22"/>
        </w:rPr>
        <w:t> </w:t>
      </w:r>
      <w:r>
        <w:rPr>
          <w:sz w:val="22"/>
        </w:rPr>
        <w:t>rate</w:t>
      </w:r>
      <w:r>
        <w:rPr>
          <w:spacing w:val="-6"/>
          <w:sz w:val="22"/>
        </w:rPr>
        <w:t> </w:t>
      </w:r>
      <w:r>
        <w:rPr>
          <w:spacing w:val="-2"/>
          <w:sz w:val="22"/>
        </w:rPr>
        <w:t>rents</w:t>
      </w:r>
    </w:p>
    <w:p>
      <w:pPr>
        <w:pStyle w:val="BodyText"/>
        <w:spacing w:before="10"/>
      </w:pPr>
    </w:p>
    <w:p>
      <w:pPr>
        <w:pStyle w:val="BodyText"/>
        <w:ind w:left="120" w:right="155"/>
        <w:jc w:val="both"/>
      </w:pPr>
      <w:r>
        <w:rPr/>
        <w:t>The lesser of the two values will be used to determine loan to value for the City’s underwriting. The City will finance no more than 87% of appraised value (85% for loans with $15,000 per unit or less in rehabilitation). Plans and specifications</w:t>
      </w:r>
      <w:r>
        <w:rPr>
          <w:spacing w:val="-1"/>
        </w:rPr>
        <w:t> </w:t>
      </w:r>
      <w:r>
        <w:rPr/>
        <w:t>must be sufficiently complete for the appraiser to</w:t>
      </w:r>
      <w:r>
        <w:rPr>
          <w:spacing w:val="-6"/>
        </w:rPr>
        <w:t> </w:t>
      </w:r>
      <w:r>
        <w:rPr/>
        <w:t>establish</w:t>
      </w:r>
      <w:r>
        <w:rPr>
          <w:spacing w:val="-6"/>
        </w:rPr>
        <w:t> </w:t>
      </w:r>
      <w:r>
        <w:rPr/>
        <w:t>the</w:t>
      </w:r>
      <w:r>
        <w:rPr>
          <w:spacing w:val="-9"/>
        </w:rPr>
        <w:t> </w:t>
      </w:r>
      <w:r>
        <w:rPr/>
        <w:t>“as</w:t>
      </w:r>
      <w:r>
        <w:rPr>
          <w:spacing w:val="-8"/>
        </w:rPr>
        <w:t> </w:t>
      </w:r>
      <w:r>
        <w:rPr/>
        <w:t>completed”</w:t>
      </w:r>
      <w:r>
        <w:rPr>
          <w:spacing w:val="-5"/>
        </w:rPr>
        <w:t> </w:t>
      </w:r>
      <w:r>
        <w:rPr/>
        <w:t>value.</w:t>
      </w:r>
      <w:r>
        <w:rPr>
          <w:spacing w:val="-7"/>
        </w:rPr>
        <w:t> </w:t>
      </w:r>
      <w:r>
        <w:rPr/>
        <w:t>The</w:t>
      </w:r>
      <w:r>
        <w:rPr>
          <w:spacing w:val="-6"/>
        </w:rPr>
        <w:t> </w:t>
      </w:r>
      <w:r>
        <w:rPr/>
        <w:t>appraisal</w:t>
      </w:r>
      <w:r>
        <w:rPr>
          <w:spacing w:val="-7"/>
        </w:rPr>
        <w:t> </w:t>
      </w:r>
      <w:r>
        <w:rPr/>
        <w:t>must</w:t>
      </w:r>
      <w:r>
        <w:rPr>
          <w:spacing w:val="-7"/>
        </w:rPr>
        <w:t> </w:t>
      </w:r>
      <w:r>
        <w:rPr/>
        <w:t>be</w:t>
      </w:r>
      <w:r>
        <w:rPr>
          <w:spacing w:val="-6"/>
        </w:rPr>
        <w:t> </w:t>
      </w:r>
      <w:r>
        <w:rPr/>
        <w:t>conducted</w:t>
      </w:r>
      <w:r>
        <w:rPr>
          <w:spacing w:val="-9"/>
        </w:rPr>
        <w:t> </w:t>
      </w:r>
      <w:r>
        <w:rPr/>
        <w:t>no</w:t>
      </w:r>
      <w:r>
        <w:rPr>
          <w:spacing w:val="-9"/>
        </w:rPr>
        <w:t> </w:t>
      </w:r>
      <w:r>
        <w:rPr/>
        <w:t>more</w:t>
      </w:r>
      <w:r>
        <w:rPr>
          <w:spacing w:val="-9"/>
        </w:rPr>
        <w:t> </w:t>
      </w:r>
      <w:r>
        <w:rPr/>
        <w:t>than</w:t>
      </w:r>
      <w:r>
        <w:rPr>
          <w:spacing w:val="-9"/>
        </w:rPr>
        <w:t> </w:t>
      </w:r>
      <w:r>
        <w:rPr/>
        <w:t>six</w:t>
      </w:r>
      <w:r>
        <w:rPr>
          <w:spacing w:val="-8"/>
        </w:rPr>
        <w:t> </w:t>
      </w:r>
      <w:r>
        <w:rPr/>
        <w:t>months prior to closing or end loan commitment (or the borrower will be required to pay for an appraisal </w:t>
      </w:r>
      <w:r>
        <w:rPr>
          <w:spacing w:val="-2"/>
        </w:rPr>
        <w:t>update).</w:t>
      </w:r>
    </w:p>
    <w:p>
      <w:pPr>
        <w:pStyle w:val="BodyText"/>
        <w:spacing w:before="5"/>
        <w:rPr>
          <w:sz w:val="26"/>
        </w:rPr>
      </w:pPr>
    </w:p>
    <w:p>
      <w:pPr>
        <w:pStyle w:val="Heading5"/>
      </w:pPr>
      <w:r>
        <w:rPr/>
        <w:t>Prior</w:t>
      </w:r>
      <w:r>
        <w:rPr>
          <w:spacing w:val="-8"/>
        </w:rPr>
        <w:t> </w:t>
      </w:r>
      <w:r>
        <w:rPr/>
        <w:t>to</w:t>
      </w:r>
      <w:r>
        <w:rPr>
          <w:spacing w:val="-6"/>
        </w:rPr>
        <w:t> </w:t>
      </w:r>
      <w:r>
        <w:rPr/>
        <w:t>Closing-</w:t>
      </w:r>
      <w:r>
        <w:rPr>
          <w:spacing w:val="-2"/>
        </w:rPr>
        <w:t> </w:t>
      </w:r>
      <w:r>
        <w:rPr/>
        <w:t>Deferred</w:t>
      </w:r>
      <w:r>
        <w:rPr>
          <w:spacing w:val="-4"/>
        </w:rPr>
        <w:t> </w:t>
      </w:r>
      <w:r>
        <w:rPr>
          <w:spacing w:val="-2"/>
        </w:rPr>
        <w:t>Loans:</w:t>
      </w:r>
    </w:p>
    <w:p>
      <w:pPr>
        <w:pStyle w:val="BodyText"/>
        <w:spacing w:before="52"/>
        <w:ind w:left="120" w:right="154"/>
        <w:jc w:val="both"/>
      </w:pPr>
      <w:r>
        <w:rPr/>
        <w:t>For</w:t>
      </w:r>
      <w:r>
        <w:rPr>
          <w:spacing w:val="-7"/>
        </w:rPr>
        <w:t> </w:t>
      </w:r>
      <w:r>
        <w:rPr/>
        <w:t>non-amortizing</w:t>
      </w:r>
      <w:r>
        <w:rPr>
          <w:spacing w:val="-9"/>
        </w:rPr>
        <w:t> </w:t>
      </w:r>
      <w:r>
        <w:rPr/>
        <w:t>loans,</w:t>
      </w:r>
      <w:r>
        <w:rPr>
          <w:spacing w:val="-7"/>
        </w:rPr>
        <w:t> </w:t>
      </w:r>
      <w:r>
        <w:rPr/>
        <w:t>the</w:t>
      </w:r>
      <w:r>
        <w:rPr>
          <w:spacing w:val="-9"/>
        </w:rPr>
        <w:t> </w:t>
      </w:r>
      <w:r>
        <w:rPr/>
        <w:t>City</w:t>
      </w:r>
      <w:r>
        <w:rPr>
          <w:spacing w:val="-11"/>
        </w:rPr>
        <w:t> </w:t>
      </w:r>
      <w:r>
        <w:rPr/>
        <w:t>requires</w:t>
      </w:r>
      <w:r>
        <w:rPr>
          <w:spacing w:val="-11"/>
        </w:rPr>
        <w:t> </w:t>
      </w:r>
      <w:r>
        <w:rPr/>
        <w:t>an</w:t>
      </w:r>
      <w:r>
        <w:rPr>
          <w:spacing w:val="-9"/>
        </w:rPr>
        <w:t> </w:t>
      </w:r>
      <w:r>
        <w:rPr/>
        <w:t>appraisal</w:t>
      </w:r>
      <w:r>
        <w:rPr>
          <w:spacing w:val="-9"/>
        </w:rPr>
        <w:t> </w:t>
      </w:r>
      <w:r>
        <w:rPr/>
        <w:t>prior</w:t>
      </w:r>
      <w:r>
        <w:rPr>
          <w:spacing w:val="-10"/>
        </w:rPr>
        <w:t> </w:t>
      </w:r>
      <w:r>
        <w:rPr/>
        <w:t>to</w:t>
      </w:r>
      <w:r>
        <w:rPr>
          <w:spacing w:val="-11"/>
        </w:rPr>
        <w:t> </w:t>
      </w:r>
      <w:r>
        <w:rPr/>
        <w:t>closing</w:t>
      </w:r>
      <w:r>
        <w:rPr>
          <w:spacing w:val="-9"/>
        </w:rPr>
        <w:t> </w:t>
      </w:r>
      <w:r>
        <w:rPr/>
        <w:t>similar</w:t>
      </w:r>
      <w:r>
        <w:rPr>
          <w:spacing w:val="-8"/>
        </w:rPr>
        <w:t> </w:t>
      </w:r>
      <w:r>
        <w:rPr/>
        <w:t>to</w:t>
      </w:r>
      <w:r>
        <w:rPr>
          <w:spacing w:val="-11"/>
        </w:rPr>
        <w:t> </w:t>
      </w:r>
      <w:r>
        <w:rPr/>
        <w:t>that</w:t>
      </w:r>
      <w:r>
        <w:rPr>
          <w:spacing w:val="-10"/>
        </w:rPr>
        <w:t> </w:t>
      </w:r>
      <w:r>
        <w:rPr/>
        <w:t>required</w:t>
      </w:r>
      <w:r>
        <w:rPr>
          <w:spacing w:val="-11"/>
        </w:rPr>
        <w:t> </w:t>
      </w:r>
      <w:r>
        <w:rPr/>
        <w:t>for amortizing loans (above). Borrowers may use another lender’s appraisal. Non- Amortizing developments exempt from the prior to closing appraisal requirement include:</w:t>
      </w:r>
    </w:p>
    <w:p>
      <w:pPr>
        <w:pStyle w:val="ListParagraph"/>
        <w:numPr>
          <w:ilvl w:val="1"/>
          <w:numId w:val="16"/>
        </w:numPr>
        <w:tabs>
          <w:tab w:pos="841" w:val="left" w:leader="none"/>
        </w:tabs>
        <w:spacing w:line="237" w:lineRule="auto" w:before="3" w:after="0"/>
        <w:ind w:left="840" w:right="156" w:hanging="361"/>
        <w:jc w:val="both"/>
        <w:rPr>
          <w:rFonts w:ascii="Symbol" w:hAnsi="Symbol"/>
          <w:sz w:val="22"/>
        </w:rPr>
      </w:pPr>
      <w:r>
        <w:rPr>
          <w:sz w:val="22"/>
        </w:rPr>
        <w:t>Single family homes (1-4 family) that are aggregated under one loan (the City will use assessed</w:t>
      </w:r>
      <w:r>
        <w:rPr>
          <w:spacing w:val="-16"/>
          <w:sz w:val="22"/>
        </w:rPr>
        <w:t> </w:t>
      </w:r>
      <w:r>
        <w:rPr>
          <w:sz w:val="22"/>
        </w:rPr>
        <w:t>value</w:t>
      </w:r>
      <w:r>
        <w:rPr>
          <w:spacing w:val="-15"/>
          <w:sz w:val="22"/>
        </w:rPr>
        <w:t> </w:t>
      </w:r>
      <w:r>
        <w:rPr>
          <w:sz w:val="22"/>
        </w:rPr>
        <w:t>unless</w:t>
      </w:r>
      <w:r>
        <w:rPr>
          <w:spacing w:val="-15"/>
          <w:sz w:val="22"/>
        </w:rPr>
        <w:t> </w:t>
      </w:r>
      <w:r>
        <w:rPr>
          <w:sz w:val="22"/>
        </w:rPr>
        <w:t>the</w:t>
      </w:r>
      <w:r>
        <w:rPr>
          <w:spacing w:val="-16"/>
          <w:sz w:val="22"/>
        </w:rPr>
        <w:t> </w:t>
      </w:r>
      <w:r>
        <w:rPr>
          <w:sz w:val="22"/>
        </w:rPr>
        <w:t>Borrower</w:t>
      </w:r>
      <w:r>
        <w:rPr>
          <w:spacing w:val="-15"/>
          <w:sz w:val="22"/>
        </w:rPr>
        <w:t> </w:t>
      </w:r>
      <w:r>
        <w:rPr>
          <w:sz w:val="22"/>
        </w:rPr>
        <w:t>requests</w:t>
      </w:r>
      <w:r>
        <w:rPr>
          <w:spacing w:val="-15"/>
          <w:sz w:val="22"/>
        </w:rPr>
        <w:t> </w:t>
      </w:r>
      <w:r>
        <w:rPr>
          <w:sz w:val="22"/>
        </w:rPr>
        <w:t>an</w:t>
      </w:r>
      <w:r>
        <w:rPr>
          <w:spacing w:val="-15"/>
          <w:sz w:val="22"/>
        </w:rPr>
        <w:t> </w:t>
      </w:r>
      <w:r>
        <w:rPr>
          <w:sz w:val="22"/>
        </w:rPr>
        <w:t>appraisal</w:t>
      </w:r>
      <w:r>
        <w:rPr>
          <w:spacing w:val="-16"/>
          <w:sz w:val="22"/>
        </w:rPr>
        <w:t> </w:t>
      </w:r>
      <w:r>
        <w:rPr>
          <w:sz w:val="22"/>
        </w:rPr>
        <w:t>for</w:t>
      </w:r>
      <w:r>
        <w:rPr>
          <w:spacing w:val="-15"/>
          <w:sz w:val="22"/>
        </w:rPr>
        <w:t> </w:t>
      </w:r>
      <w:r>
        <w:rPr>
          <w:sz w:val="22"/>
        </w:rPr>
        <w:t>determining</w:t>
      </w:r>
      <w:r>
        <w:rPr>
          <w:spacing w:val="-15"/>
          <w:sz w:val="22"/>
        </w:rPr>
        <w:t> </w:t>
      </w:r>
      <w:r>
        <w:rPr>
          <w:sz w:val="22"/>
        </w:rPr>
        <w:t>acquisition</w:t>
      </w:r>
      <w:r>
        <w:rPr>
          <w:spacing w:val="-16"/>
          <w:sz w:val="22"/>
        </w:rPr>
        <w:t> </w:t>
      </w:r>
      <w:r>
        <w:rPr>
          <w:sz w:val="22"/>
        </w:rPr>
        <w:t>cost as defined in the Borrower’s Underwriting Standards.)</w:t>
      </w:r>
    </w:p>
    <w:p>
      <w:pPr>
        <w:pStyle w:val="BodyText"/>
        <w:spacing w:before="2"/>
      </w:pPr>
    </w:p>
    <w:p>
      <w:pPr>
        <w:pStyle w:val="Heading5"/>
      </w:pPr>
      <w:r>
        <w:rPr/>
        <w:t>Loan</w:t>
      </w:r>
      <w:r>
        <w:rPr>
          <w:spacing w:val="-2"/>
        </w:rPr>
        <w:t> Conditions</w:t>
      </w:r>
    </w:p>
    <w:p>
      <w:pPr>
        <w:pStyle w:val="BodyText"/>
        <w:spacing w:before="50"/>
        <w:ind w:left="120"/>
        <w:jc w:val="both"/>
      </w:pPr>
      <w:r>
        <w:rPr/>
        <w:t>As</w:t>
      </w:r>
      <w:r>
        <w:rPr>
          <w:spacing w:val="-4"/>
        </w:rPr>
        <w:t> </w:t>
      </w:r>
      <w:r>
        <w:rPr/>
        <w:t>a</w:t>
      </w:r>
      <w:r>
        <w:rPr>
          <w:spacing w:val="-3"/>
        </w:rPr>
        <w:t> </w:t>
      </w:r>
      <w:r>
        <w:rPr/>
        <w:t>condition</w:t>
      </w:r>
      <w:r>
        <w:rPr>
          <w:spacing w:val="-5"/>
        </w:rPr>
        <w:t> </w:t>
      </w:r>
      <w:r>
        <w:rPr/>
        <w:t>of</w:t>
      </w:r>
      <w:r>
        <w:rPr>
          <w:spacing w:val="-4"/>
        </w:rPr>
        <w:t> </w:t>
      </w:r>
      <w:r>
        <w:rPr/>
        <w:t>the</w:t>
      </w:r>
      <w:r>
        <w:rPr>
          <w:spacing w:val="-5"/>
        </w:rPr>
        <w:t> </w:t>
      </w:r>
      <w:r>
        <w:rPr/>
        <w:t>City</w:t>
      </w:r>
      <w:r>
        <w:rPr>
          <w:spacing w:val="-5"/>
        </w:rPr>
        <w:t> </w:t>
      </w:r>
      <w:r>
        <w:rPr/>
        <w:t>Loan,</w:t>
      </w:r>
      <w:r>
        <w:rPr>
          <w:spacing w:val="-4"/>
        </w:rPr>
        <w:t> </w:t>
      </w:r>
      <w:r>
        <w:rPr/>
        <w:t>the</w:t>
      </w:r>
      <w:r>
        <w:rPr>
          <w:spacing w:val="-5"/>
        </w:rPr>
        <w:t> </w:t>
      </w:r>
      <w:r>
        <w:rPr/>
        <w:t>Developer</w:t>
      </w:r>
      <w:r>
        <w:rPr>
          <w:spacing w:val="-3"/>
        </w:rPr>
        <w:t> </w:t>
      </w:r>
      <w:r>
        <w:rPr/>
        <w:t>must</w:t>
      </w:r>
      <w:r>
        <w:rPr>
          <w:spacing w:val="-1"/>
        </w:rPr>
        <w:t> </w:t>
      </w:r>
      <w:r>
        <w:rPr>
          <w:spacing w:val="-2"/>
        </w:rPr>
        <w:t>agree:</w:t>
      </w:r>
    </w:p>
    <w:p>
      <w:pPr>
        <w:pStyle w:val="ListParagraph"/>
        <w:numPr>
          <w:ilvl w:val="1"/>
          <w:numId w:val="16"/>
        </w:numPr>
        <w:tabs>
          <w:tab w:pos="841" w:val="left" w:leader="none"/>
        </w:tabs>
        <w:spacing w:line="240" w:lineRule="auto" w:before="1" w:after="0"/>
        <w:ind w:left="840" w:right="157" w:hanging="361"/>
        <w:jc w:val="both"/>
        <w:rPr>
          <w:rFonts w:ascii="Symbol" w:hAnsi="Symbol"/>
          <w:sz w:val="22"/>
        </w:rPr>
      </w:pPr>
      <w:r>
        <w:rPr>
          <w:sz w:val="22"/>
        </w:rPr>
        <w:t>To</w:t>
      </w:r>
      <w:r>
        <w:rPr>
          <w:spacing w:val="-10"/>
          <w:sz w:val="22"/>
        </w:rPr>
        <w:t> </w:t>
      </w:r>
      <w:r>
        <w:rPr>
          <w:sz w:val="22"/>
        </w:rPr>
        <w:t>rent</w:t>
      </w:r>
      <w:r>
        <w:rPr>
          <w:spacing w:val="-11"/>
          <w:sz w:val="22"/>
        </w:rPr>
        <w:t> </w:t>
      </w:r>
      <w:r>
        <w:rPr>
          <w:sz w:val="22"/>
        </w:rPr>
        <w:t>these</w:t>
      </w:r>
      <w:r>
        <w:rPr>
          <w:spacing w:val="-12"/>
          <w:sz w:val="22"/>
        </w:rPr>
        <w:t> </w:t>
      </w:r>
      <w:r>
        <w:rPr>
          <w:sz w:val="22"/>
        </w:rPr>
        <w:t>properties</w:t>
      </w:r>
      <w:r>
        <w:rPr>
          <w:spacing w:val="-12"/>
          <w:sz w:val="22"/>
        </w:rPr>
        <w:t> </w:t>
      </w:r>
      <w:r>
        <w:rPr>
          <w:sz w:val="22"/>
        </w:rPr>
        <w:t>in</w:t>
      </w:r>
      <w:r>
        <w:rPr>
          <w:spacing w:val="-10"/>
          <w:sz w:val="22"/>
        </w:rPr>
        <w:t> </w:t>
      </w:r>
      <w:r>
        <w:rPr>
          <w:sz w:val="22"/>
        </w:rPr>
        <w:t>accordance</w:t>
      </w:r>
      <w:r>
        <w:rPr>
          <w:spacing w:val="-10"/>
          <w:sz w:val="22"/>
        </w:rPr>
        <w:t> </w:t>
      </w:r>
      <w:r>
        <w:rPr>
          <w:sz w:val="22"/>
        </w:rPr>
        <w:t>with</w:t>
      </w:r>
      <w:r>
        <w:rPr>
          <w:spacing w:val="-12"/>
          <w:sz w:val="22"/>
        </w:rPr>
        <w:t> </w:t>
      </w:r>
      <w:r>
        <w:rPr>
          <w:sz w:val="22"/>
        </w:rPr>
        <w:t>Affirmative</w:t>
      </w:r>
      <w:r>
        <w:rPr>
          <w:spacing w:val="-12"/>
          <w:sz w:val="22"/>
        </w:rPr>
        <w:t> </w:t>
      </w:r>
      <w:r>
        <w:rPr>
          <w:sz w:val="22"/>
        </w:rPr>
        <w:t>marking</w:t>
      </w:r>
      <w:r>
        <w:rPr>
          <w:spacing w:val="-12"/>
          <w:sz w:val="22"/>
        </w:rPr>
        <w:t> </w:t>
      </w:r>
      <w:r>
        <w:rPr>
          <w:sz w:val="22"/>
        </w:rPr>
        <w:t>standards</w:t>
      </w:r>
      <w:r>
        <w:rPr>
          <w:spacing w:val="-14"/>
          <w:sz w:val="22"/>
        </w:rPr>
        <w:t> </w:t>
      </w:r>
      <w:r>
        <w:rPr>
          <w:sz w:val="22"/>
        </w:rPr>
        <w:t>and</w:t>
      </w:r>
      <w:r>
        <w:rPr>
          <w:spacing w:val="-10"/>
          <w:sz w:val="22"/>
        </w:rPr>
        <w:t> </w:t>
      </w:r>
      <w:r>
        <w:rPr>
          <w:sz w:val="22"/>
        </w:rPr>
        <w:t>the</w:t>
      </w:r>
      <w:r>
        <w:rPr>
          <w:spacing w:val="-12"/>
          <w:sz w:val="22"/>
        </w:rPr>
        <w:t> </w:t>
      </w:r>
      <w:r>
        <w:rPr>
          <w:sz w:val="22"/>
        </w:rPr>
        <w:t>current HUD Section 8 rental income guidelines for the Period of Affordability and the federal equal housing opportunity requirements in the Fair Housing Act.</w:t>
      </w:r>
    </w:p>
    <w:p>
      <w:pPr>
        <w:pStyle w:val="ListParagraph"/>
        <w:numPr>
          <w:ilvl w:val="1"/>
          <w:numId w:val="16"/>
        </w:numPr>
        <w:tabs>
          <w:tab w:pos="841" w:val="left" w:leader="none"/>
        </w:tabs>
        <w:spacing w:line="268" w:lineRule="exact" w:before="0" w:after="0"/>
        <w:ind w:left="840" w:right="0" w:hanging="361"/>
        <w:jc w:val="both"/>
        <w:rPr>
          <w:rFonts w:ascii="Symbol" w:hAnsi="Symbol"/>
          <w:sz w:val="22"/>
        </w:rPr>
      </w:pPr>
      <w:r>
        <w:rPr>
          <w:sz w:val="22"/>
        </w:rPr>
        <w:t>Not</w:t>
      </w:r>
      <w:r>
        <w:rPr>
          <w:spacing w:val="-6"/>
          <w:sz w:val="22"/>
        </w:rPr>
        <w:t> </w:t>
      </w:r>
      <w:r>
        <w:rPr>
          <w:sz w:val="22"/>
        </w:rPr>
        <w:t>discriminate</w:t>
      </w:r>
      <w:r>
        <w:rPr>
          <w:spacing w:val="-5"/>
          <w:sz w:val="22"/>
        </w:rPr>
        <w:t> </w:t>
      </w:r>
      <w:r>
        <w:rPr>
          <w:sz w:val="22"/>
        </w:rPr>
        <w:t>on</w:t>
      </w:r>
      <w:r>
        <w:rPr>
          <w:spacing w:val="-7"/>
          <w:sz w:val="22"/>
        </w:rPr>
        <w:t> </w:t>
      </w:r>
      <w:r>
        <w:rPr>
          <w:sz w:val="22"/>
        </w:rPr>
        <w:t>basis</w:t>
      </w:r>
      <w:r>
        <w:rPr>
          <w:spacing w:val="-5"/>
          <w:sz w:val="22"/>
        </w:rPr>
        <w:t> </w:t>
      </w:r>
      <w:r>
        <w:rPr>
          <w:sz w:val="22"/>
        </w:rPr>
        <w:t>or</w:t>
      </w:r>
      <w:r>
        <w:rPr>
          <w:spacing w:val="-6"/>
          <w:sz w:val="22"/>
        </w:rPr>
        <w:t> </w:t>
      </w:r>
      <w:r>
        <w:rPr>
          <w:sz w:val="22"/>
        </w:rPr>
        <w:t>race,</w:t>
      </w:r>
      <w:r>
        <w:rPr>
          <w:spacing w:val="-6"/>
          <w:sz w:val="22"/>
        </w:rPr>
        <w:t> </w:t>
      </w:r>
      <w:r>
        <w:rPr>
          <w:sz w:val="22"/>
        </w:rPr>
        <w:t>religion</w:t>
      </w:r>
      <w:r>
        <w:rPr>
          <w:spacing w:val="-6"/>
          <w:sz w:val="22"/>
        </w:rPr>
        <w:t> </w:t>
      </w:r>
      <w:r>
        <w:rPr>
          <w:sz w:val="22"/>
        </w:rPr>
        <w:t>or</w:t>
      </w:r>
      <w:r>
        <w:rPr>
          <w:spacing w:val="-3"/>
          <w:sz w:val="22"/>
        </w:rPr>
        <w:t> </w:t>
      </w:r>
      <w:r>
        <w:rPr>
          <w:sz w:val="22"/>
        </w:rPr>
        <w:t>national</w:t>
      </w:r>
      <w:r>
        <w:rPr>
          <w:spacing w:val="-5"/>
          <w:sz w:val="22"/>
        </w:rPr>
        <w:t> </w:t>
      </w:r>
      <w:r>
        <w:rPr>
          <w:spacing w:val="-2"/>
          <w:sz w:val="22"/>
        </w:rPr>
        <w:t>origin.</w:t>
      </w:r>
    </w:p>
    <w:p>
      <w:pPr>
        <w:pStyle w:val="ListParagraph"/>
        <w:numPr>
          <w:ilvl w:val="1"/>
          <w:numId w:val="16"/>
        </w:numPr>
        <w:tabs>
          <w:tab w:pos="841" w:val="left" w:leader="none"/>
        </w:tabs>
        <w:spacing w:line="268" w:lineRule="exact" w:before="0" w:after="0"/>
        <w:ind w:left="840" w:right="0" w:hanging="361"/>
        <w:jc w:val="both"/>
        <w:rPr>
          <w:rFonts w:ascii="Symbol" w:hAnsi="Symbol"/>
          <w:sz w:val="22"/>
        </w:rPr>
      </w:pPr>
      <w:r>
        <w:rPr>
          <w:sz w:val="22"/>
        </w:rPr>
        <w:t>To</w:t>
      </w:r>
      <w:r>
        <w:rPr>
          <w:spacing w:val="-3"/>
          <w:sz w:val="22"/>
        </w:rPr>
        <w:t> </w:t>
      </w:r>
      <w:r>
        <w:rPr>
          <w:sz w:val="22"/>
        </w:rPr>
        <w:t>comply</w:t>
      </w:r>
      <w:r>
        <w:rPr>
          <w:spacing w:val="-5"/>
          <w:sz w:val="22"/>
        </w:rPr>
        <w:t> </w:t>
      </w:r>
      <w:r>
        <w:rPr>
          <w:sz w:val="22"/>
        </w:rPr>
        <w:t>with</w:t>
      </w:r>
      <w:r>
        <w:rPr>
          <w:spacing w:val="-3"/>
          <w:sz w:val="22"/>
        </w:rPr>
        <w:t> </w:t>
      </w:r>
      <w:r>
        <w:rPr>
          <w:sz w:val="22"/>
        </w:rPr>
        <w:t>Chapter</w:t>
      </w:r>
      <w:r>
        <w:rPr>
          <w:spacing w:val="-6"/>
          <w:sz w:val="22"/>
        </w:rPr>
        <w:t> </w:t>
      </w:r>
      <w:r>
        <w:rPr>
          <w:sz w:val="22"/>
        </w:rPr>
        <w:t>20A</w:t>
      </w:r>
      <w:r>
        <w:rPr>
          <w:spacing w:val="-4"/>
          <w:sz w:val="22"/>
        </w:rPr>
        <w:t> </w:t>
      </w:r>
      <w:r>
        <w:rPr>
          <w:sz w:val="22"/>
        </w:rPr>
        <w:t>of</w:t>
      </w:r>
      <w:r>
        <w:rPr>
          <w:spacing w:val="-4"/>
          <w:sz w:val="22"/>
        </w:rPr>
        <w:t> </w:t>
      </w:r>
      <w:r>
        <w:rPr>
          <w:sz w:val="22"/>
        </w:rPr>
        <w:t>the</w:t>
      </w:r>
      <w:r>
        <w:rPr>
          <w:spacing w:val="-5"/>
          <w:sz w:val="22"/>
        </w:rPr>
        <w:t> </w:t>
      </w:r>
      <w:r>
        <w:rPr>
          <w:sz w:val="22"/>
        </w:rPr>
        <w:t>Dallas</w:t>
      </w:r>
      <w:r>
        <w:rPr>
          <w:spacing w:val="-2"/>
          <w:sz w:val="22"/>
        </w:rPr>
        <w:t> </w:t>
      </w:r>
      <w:r>
        <w:rPr>
          <w:sz w:val="22"/>
        </w:rPr>
        <w:t>City</w:t>
      </w:r>
      <w:r>
        <w:rPr>
          <w:spacing w:val="-2"/>
          <w:sz w:val="22"/>
        </w:rPr>
        <w:t> Code.</w:t>
      </w:r>
    </w:p>
    <w:p>
      <w:pPr>
        <w:pStyle w:val="ListParagraph"/>
        <w:numPr>
          <w:ilvl w:val="1"/>
          <w:numId w:val="16"/>
        </w:numPr>
        <w:tabs>
          <w:tab w:pos="841" w:val="left" w:leader="none"/>
        </w:tabs>
        <w:spacing w:line="237" w:lineRule="auto" w:before="1" w:after="0"/>
        <w:ind w:left="840" w:right="161" w:hanging="361"/>
        <w:jc w:val="both"/>
        <w:rPr>
          <w:rFonts w:ascii="Symbol" w:hAnsi="Symbol"/>
          <w:sz w:val="22"/>
        </w:rPr>
      </w:pPr>
      <w:r>
        <w:rPr>
          <w:sz w:val="22"/>
        </w:rPr>
        <w:t>Not discriminate against lower income prospective tenants, solely on the basis of their receipt of Section 8 Housing assistance support.</w:t>
      </w:r>
    </w:p>
    <w:p>
      <w:pPr>
        <w:pStyle w:val="ListParagraph"/>
        <w:numPr>
          <w:ilvl w:val="1"/>
          <w:numId w:val="16"/>
        </w:numPr>
        <w:tabs>
          <w:tab w:pos="841" w:val="left" w:leader="none"/>
        </w:tabs>
        <w:spacing w:line="269" w:lineRule="exact" w:before="1" w:after="0"/>
        <w:ind w:left="840" w:right="0" w:hanging="361"/>
        <w:jc w:val="both"/>
        <w:rPr>
          <w:rFonts w:ascii="Symbol" w:hAnsi="Symbol"/>
          <w:sz w:val="22"/>
        </w:rPr>
      </w:pPr>
      <w:r>
        <w:rPr>
          <w:sz w:val="22"/>
        </w:rPr>
        <w:t>Not</w:t>
      </w:r>
      <w:r>
        <w:rPr>
          <w:spacing w:val="-5"/>
          <w:sz w:val="22"/>
        </w:rPr>
        <w:t> </w:t>
      </w:r>
      <w:r>
        <w:rPr>
          <w:sz w:val="22"/>
        </w:rPr>
        <w:t>convert</w:t>
      </w:r>
      <w:r>
        <w:rPr>
          <w:spacing w:val="-4"/>
          <w:sz w:val="22"/>
        </w:rPr>
        <w:t> </w:t>
      </w:r>
      <w:r>
        <w:rPr>
          <w:sz w:val="22"/>
        </w:rPr>
        <w:t>the</w:t>
      </w:r>
      <w:r>
        <w:rPr>
          <w:spacing w:val="-5"/>
          <w:sz w:val="22"/>
        </w:rPr>
        <w:t> </w:t>
      </w:r>
      <w:r>
        <w:rPr>
          <w:sz w:val="22"/>
        </w:rPr>
        <w:t>rental</w:t>
      </w:r>
      <w:r>
        <w:rPr>
          <w:spacing w:val="-4"/>
          <w:sz w:val="22"/>
        </w:rPr>
        <w:t> </w:t>
      </w:r>
      <w:r>
        <w:rPr>
          <w:sz w:val="22"/>
        </w:rPr>
        <w:t>property</w:t>
      </w:r>
      <w:r>
        <w:rPr>
          <w:spacing w:val="-6"/>
          <w:sz w:val="22"/>
        </w:rPr>
        <w:t> </w:t>
      </w:r>
      <w:r>
        <w:rPr>
          <w:sz w:val="22"/>
        </w:rPr>
        <w:t>to</w:t>
      </w:r>
      <w:r>
        <w:rPr>
          <w:spacing w:val="-6"/>
          <w:sz w:val="22"/>
        </w:rPr>
        <w:t> </w:t>
      </w:r>
      <w:r>
        <w:rPr>
          <w:sz w:val="22"/>
        </w:rPr>
        <w:t>condominiums</w:t>
      </w:r>
      <w:r>
        <w:rPr>
          <w:spacing w:val="-6"/>
          <w:sz w:val="22"/>
        </w:rPr>
        <w:t> </w:t>
      </w:r>
      <w:r>
        <w:rPr>
          <w:sz w:val="22"/>
        </w:rPr>
        <w:t>for</w:t>
      </w:r>
      <w:r>
        <w:rPr>
          <w:spacing w:val="-5"/>
          <w:sz w:val="22"/>
        </w:rPr>
        <w:t> </w:t>
      </w:r>
      <w:r>
        <w:rPr>
          <w:sz w:val="22"/>
        </w:rPr>
        <w:t>the</w:t>
      </w:r>
      <w:r>
        <w:rPr>
          <w:spacing w:val="-6"/>
          <w:sz w:val="22"/>
        </w:rPr>
        <w:t> </w:t>
      </w:r>
      <w:r>
        <w:rPr>
          <w:sz w:val="22"/>
        </w:rPr>
        <w:t>duration</w:t>
      </w:r>
      <w:r>
        <w:rPr>
          <w:spacing w:val="-4"/>
          <w:sz w:val="22"/>
        </w:rPr>
        <w:t> </w:t>
      </w:r>
      <w:r>
        <w:rPr>
          <w:sz w:val="22"/>
        </w:rPr>
        <w:t>of</w:t>
      </w:r>
      <w:r>
        <w:rPr>
          <w:spacing w:val="-4"/>
          <w:sz w:val="22"/>
        </w:rPr>
        <w:t> </w:t>
      </w:r>
      <w:r>
        <w:rPr>
          <w:sz w:val="22"/>
        </w:rPr>
        <w:t>the</w:t>
      </w:r>
      <w:r>
        <w:rPr>
          <w:spacing w:val="-4"/>
          <w:sz w:val="22"/>
        </w:rPr>
        <w:t> </w:t>
      </w:r>
      <w:r>
        <w:rPr>
          <w:sz w:val="22"/>
        </w:rPr>
        <w:t>public</w:t>
      </w:r>
      <w:r>
        <w:rPr>
          <w:spacing w:val="-3"/>
          <w:sz w:val="22"/>
        </w:rPr>
        <w:t> </w:t>
      </w:r>
      <w:r>
        <w:rPr>
          <w:spacing w:val="-2"/>
          <w:sz w:val="22"/>
        </w:rPr>
        <w:t>note.</w:t>
      </w:r>
    </w:p>
    <w:p>
      <w:pPr>
        <w:pStyle w:val="ListParagraph"/>
        <w:numPr>
          <w:ilvl w:val="1"/>
          <w:numId w:val="16"/>
        </w:numPr>
        <w:tabs>
          <w:tab w:pos="841" w:val="left" w:leader="none"/>
        </w:tabs>
        <w:spacing w:line="237" w:lineRule="auto" w:before="2" w:after="0"/>
        <w:ind w:left="840" w:right="157" w:hanging="361"/>
        <w:jc w:val="both"/>
        <w:rPr>
          <w:rFonts w:ascii="Symbol" w:hAnsi="Symbol"/>
          <w:sz w:val="22"/>
        </w:rPr>
      </w:pPr>
      <w:r>
        <w:rPr>
          <w:sz w:val="22"/>
        </w:rPr>
        <w:t>To maintain the property in a safe, sanitary and decent condition, in compliance with the City of Dallas Building Codes throughout the term of the public sector note.</w:t>
      </w:r>
    </w:p>
    <w:p>
      <w:pPr>
        <w:pStyle w:val="ListParagraph"/>
        <w:numPr>
          <w:ilvl w:val="1"/>
          <w:numId w:val="16"/>
        </w:numPr>
        <w:tabs>
          <w:tab w:pos="842" w:val="left" w:leader="none"/>
        </w:tabs>
        <w:spacing w:line="237" w:lineRule="auto" w:before="4" w:after="0"/>
        <w:ind w:left="841" w:right="157" w:hanging="361"/>
        <w:jc w:val="both"/>
        <w:rPr>
          <w:rFonts w:ascii="Symbol" w:hAnsi="Symbol"/>
          <w:sz w:val="22"/>
        </w:rPr>
      </w:pPr>
      <w:r>
        <w:rPr>
          <w:sz w:val="22"/>
        </w:rPr>
        <w:t>To provide evidence of</w:t>
      </w:r>
      <w:r>
        <w:rPr>
          <w:spacing w:val="-1"/>
          <w:sz w:val="22"/>
        </w:rPr>
        <w:t> </w:t>
      </w:r>
      <w:r>
        <w:rPr>
          <w:sz w:val="22"/>
        </w:rPr>
        <w:t>having paid annual</w:t>
      </w:r>
      <w:r>
        <w:rPr>
          <w:spacing w:val="-1"/>
          <w:sz w:val="22"/>
        </w:rPr>
        <w:t> </w:t>
      </w:r>
      <w:r>
        <w:rPr>
          <w:sz w:val="22"/>
        </w:rPr>
        <w:t>property taxes unless</w:t>
      </w:r>
      <w:r>
        <w:rPr>
          <w:spacing w:val="-2"/>
          <w:sz w:val="22"/>
        </w:rPr>
        <w:t> </w:t>
      </w:r>
      <w:r>
        <w:rPr>
          <w:sz w:val="22"/>
        </w:rPr>
        <w:t>the property is deemed tax-exempt</w:t>
      </w:r>
      <w:r>
        <w:rPr>
          <w:spacing w:val="-2"/>
          <w:sz w:val="22"/>
        </w:rPr>
        <w:t> </w:t>
      </w:r>
      <w:r>
        <w:rPr>
          <w:sz w:val="22"/>
        </w:rPr>
        <w:t>by</w:t>
      </w:r>
      <w:r>
        <w:rPr>
          <w:spacing w:val="-7"/>
          <w:sz w:val="22"/>
        </w:rPr>
        <w:t> </w:t>
      </w:r>
      <w:r>
        <w:rPr>
          <w:sz w:val="22"/>
        </w:rPr>
        <w:t>the</w:t>
      </w:r>
      <w:r>
        <w:rPr>
          <w:spacing w:val="-3"/>
          <w:sz w:val="22"/>
        </w:rPr>
        <w:t> </w:t>
      </w:r>
      <w:r>
        <w:rPr>
          <w:sz w:val="22"/>
        </w:rPr>
        <w:t>Dallas</w:t>
      </w:r>
      <w:r>
        <w:rPr>
          <w:spacing w:val="-5"/>
          <w:sz w:val="22"/>
        </w:rPr>
        <w:t> </w:t>
      </w:r>
      <w:r>
        <w:rPr>
          <w:sz w:val="22"/>
        </w:rPr>
        <w:t>Central</w:t>
      </w:r>
      <w:r>
        <w:rPr>
          <w:spacing w:val="-3"/>
          <w:sz w:val="22"/>
        </w:rPr>
        <w:t> </w:t>
      </w:r>
      <w:r>
        <w:rPr>
          <w:sz w:val="22"/>
        </w:rPr>
        <w:t>Appraisal</w:t>
      </w:r>
      <w:r>
        <w:rPr>
          <w:spacing w:val="-3"/>
          <w:sz w:val="22"/>
        </w:rPr>
        <w:t> </w:t>
      </w:r>
      <w:r>
        <w:rPr>
          <w:sz w:val="22"/>
        </w:rPr>
        <w:t>District.</w:t>
      </w:r>
      <w:r>
        <w:rPr>
          <w:spacing w:val="-3"/>
          <w:sz w:val="22"/>
        </w:rPr>
        <w:t> </w:t>
      </w:r>
      <w:r>
        <w:rPr>
          <w:sz w:val="22"/>
        </w:rPr>
        <w:t>The</w:t>
      </w:r>
      <w:r>
        <w:rPr>
          <w:spacing w:val="-2"/>
          <w:sz w:val="22"/>
        </w:rPr>
        <w:t> </w:t>
      </w:r>
      <w:r>
        <w:rPr>
          <w:sz w:val="22"/>
        </w:rPr>
        <w:t>City</w:t>
      </w:r>
      <w:r>
        <w:rPr>
          <w:spacing w:val="-2"/>
          <w:sz w:val="22"/>
        </w:rPr>
        <w:t> </w:t>
      </w:r>
      <w:r>
        <w:rPr>
          <w:sz w:val="22"/>
        </w:rPr>
        <w:t>will</w:t>
      </w:r>
      <w:r>
        <w:rPr>
          <w:spacing w:val="-3"/>
          <w:sz w:val="22"/>
        </w:rPr>
        <w:t> </w:t>
      </w:r>
      <w:r>
        <w:rPr>
          <w:sz w:val="22"/>
        </w:rPr>
        <w:t>require</w:t>
      </w:r>
      <w:r>
        <w:rPr>
          <w:spacing w:val="-5"/>
          <w:sz w:val="22"/>
        </w:rPr>
        <w:t> </w:t>
      </w:r>
      <w:r>
        <w:rPr>
          <w:sz w:val="22"/>
        </w:rPr>
        <w:t>owner</w:t>
      </w:r>
      <w:r>
        <w:rPr>
          <w:spacing w:val="-4"/>
          <w:sz w:val="22"/>
        </w:rPr>
        <w:t> </w:t>
      </w:r>
      <w:r>
        <w:rPr>
          <w:sz w:val="22"/>
        </w:rPr>
        <w:t>to</w:t>
      </w:r>
      <w:r>
        <w:rPr>
          <w:spacing w:val="-3"/>
          <w:sz w:val="22"/>
        </w:rPr>
        <w:t> </w:t>
      </w:r>
      <w:r>
        <w:rPr>
          <w:sz w:val="22"/>
        </w:rPr>
        <w:t>provide documentation of property tax payment on an annual basis.</w:t>
      </w:r>
    </w:p>
    <w:p>
      <w:pPr>
        <w:pStyle w:val="ListParagraph"/>
        <w:numPr>
          <w:ilvl w:val="1"/>
          <w:numId w:val="16"/>
        </w:numPr>
        <w:tabs>
          <w:tab w:pos="842" w:val="left" w:leader="none"/>
        </w:tabs>
        <w:spacing w:line="237" w:lineRule="auto" w:before="5" w:after="0"/>
        <w:ind w:left="841" w:right="154" w:hanging="361"/>
        <w:jc w:val="both"/>
        <w:rPr>
          <w:rFonts w:ascii="Symbol" w:hAnsi="Symbol"/>
          <w:sz w:val="22"/>
        </w:rPr>
      </w:pPr>
      <w:r>
        <w:rPr>
          <w:sz w:val="22"/>
        </w:rPr>
        <w:t>To secure fire and extended insurance coverage for the property with City named as co- insured on</w:t>
      </w:r>
      <w:r>
        <w:rPr>
          <w:spacing w:val="-2"/>
          <w:sz w:val="22"/>
        </w:rPr>
        <w:t> </w:t>
      </w:r>
      <w:r>
        <w:rPr>
          <w:sz w:val="22"/>
        </w:rPr>
        <w:t>the subject property</w:t>
      </w:r>
      <w:r>
        <w:rPr>
          <w:spacing w:val="-1"/>
          <w:sz w:val="22"/>
        </w:rPr>
        <w:t> </w:t>
      </w:r>
      <w:r>
        <w:rPr>
          <w:sz w:val="22"/>
        </w:rPr>
        <w:t>for the</w:t>
      </w:r>
      <w:r>
        <w:rPr>
          <w:spacing w:val="-2"/>
          <w:sz w:val="22"/>
        </w:rPr>
        <w:t> </w:t>
      </w:r>
      <w:r>
        <w:rPr>
          <w:sz w:val="22"/>
        </w:rPr>
        <w:t>full term of the loan. The</w:t>
      </w:r>
      <w:r>
        <w:rPr>
          <w:spacing w:val="-2"/>
          <w:sz w:val="22"/>
        </w:rPr>
        <w:t> </w:t>
      </w:r>
      <w:r>
        <w:rPr>
          <w:sz w:val="22"/>
        </w:rPr>
        <w:t>City will require owner to provide documentation of insurance coverage on an annual basis.</w:t>
      </w:r>
    </w:p>
    <w:p>
      <w:pPr>
        <w:pStyle w:val="ListParagraph"/>
        <w:numPr>
          <w:ilvl w:val="1"/>
          <w:numId w:val="16"/>
        </w:numPr>
        <w:tabs>
          <w:tab w:pos="842" w:val="left" w:leader="none"/>
        </w:tabs>
        <w:spacing w:line="237" w:lineRule="auto" w:before="4" w:after="0"/>
        <w:ind w:left="841" w:right="154" w:hanging="361"/>
        <w:jc w:val="both"/>
        <w:rPr>
          <w:rFonts w:ascii="Symbol" w:hAnsi="Symbol"/>
          <w:sz w:val="22"/>
        </w:rPr>
      </w:pPr>
      <w:r>
        <w:rPr>
          <w:sz w:val="22"/>
        </w:rPr>
        <w:t>Comply with Annual Re-certification of tenant’s annual income, which means each year the</w:t>
      </w:r>
      <w:r>
        <w:rPr>
          <w:spacing w:val="-13"/>
          <w:sz w:val="22"/>
        </w:rPr>
        <w:t> </w:t>
      </w:r>
      <w:r>
        <w:rPr>
          <w:sz w:val="22"/>
        </w:rPr>
        <w:t>property</w:t>
      </w:r>
      <w:r>
        <w:rPr>
          <w:spacing w:val="-14"/>
          <w:sz w:val="22"/>
        </w:rPr>
        <w:t> </w:t>
      </w:r>
      <w:r>
        <w:rPr>
          <w:sz w:val="22"/>
        </w:rPr>
        <w:t>owner</w:t>
      </w:r>
      <w:r>
        <w:rPr>
          <w:spacing w:val="-13"/>
          <w:sz w:val="22"/>
        </w:rPr>
        <w:t> </w:t>
      </w:r>
      <w:r>
        <w:rPr>
          <w:sz w:val="22"/>
        </w:rPr>
        <w:t>must</w:t>
      </w:r>
      <w:r>
        <w:rPr>
          <w:spacing w:val="-13"/>
          <w:sz w:val="22"/>
        </w:rPr>
        <w:t> </w:t>
      </w:r>
      <w:r>
        <w:rPr>
          <w:sz w:val="22"/>
        </w:rPr>
        <w:t>document</w:t>
      </w:r>
      <w:r>
        <w:rPr>
          <w:spacing w:val="-16"/>
          <w:sz w:val="22"/>
        </w:rPr>
        <w:t> </w:t>
      </w:r>
      <w:r>
        <w:rPr>
          <w:sz w:val="22"/>
        </w:rPr>
        <w:t>the</w:t>
      </w:r>
      <w:r>
        <w:rPr>
          <w:spacing w:val="-12"/>
          <w:sz w:val="22"/>
        </w:rPr>
        <w:t> </w:t>
      </w:r>
      <w:r>
        <w:rPr>
          <w:sz w:val="22"/>
        </w:rPr>
        <w:t>income</w:t>
      </w:r>
      <w:r>
        <w:rPr>
          <w:spacing w:val="-12"/>
          <w:sz w:val="22"/>
        </w:rPr>
        <w:t> </w:t>
      </w:r>
      <w:r>
        <w:rPr>
          <w:sz w:val="22"/>
        </w:rPr>
        <w:t>of</w:t>
      </w:r>
      <w:r>
        <w:rPr>
          <w:spacing w:val="-13"/>
          <w:sz w:val="22"/>
        </w:rPr>
        <w:t> </w:t>
      </w:r>
      <w:r>
        <w:rPr>
          <w:sz w:val="22"/>
        </w:rPr>
        <w:t>the</w:t>
      </w:r>
      <w:r>
        <w:rPr>
          <w:spacing w:val="-12"/>
          <w:sz w:val="22"/>
        </w:rPr>
        <w:t> </w:t>
      </w:r>
      <w:r>
        <w:rPr>
          <w:sz w:val="22"/>
        </w:rPr>
        <w:t>tenant</w:t>
      </w:r>
      <w:r>
        <w:rPr>
          <w:spacing w:val="-11"/>
          <w:sz w:val="22"/>
        </w:rPr>
        <w:t> </w:t>
      </w:r>
      <w:r>
        <w:rPr>
          <w:sz w:val="22"/>
        </w:rPr>
        <w:t>by</w:t>
      </w:r>
      <w:r>
        <w:rPr>
          <w:spacing w:val="-14"/>
          <w:sz w:val="22"/>
        </w:rPr>
        <w:t> </w:t>
      </w:r>
      <w:r>
        <w:rPr>
          <w:sz w:val="22"/>
        </w:rPr>
        <w:t>reviewing</w:t>
      </w:r>
      <w:r>
        <w:rPr>
          <w:spacing w:val="-12"/>
          <w:sz w:val="22"/>
        </w:rPr>
        <w:t> </w:t>
      </w:r>
      <w:r>
        <w:rPr>
          <w:sz w:val="22"/>
        </w:rPr>
        <w:t>documents</w:t>
      </w:r>
      <w:r>
        <w:rPr>
          <w:spacing w:val="-12"/>
          <w:sz w:val="22"/>
        </w:rPr>
        <w:t> </w:t>
      </w:r>
      <w:r>
        <w:rPr>
          <w:sz w:val="22"/>
        </w:rPr>
        <w:t>such</w:t>
      </w:r>
    </w:p>
    <w:p>
      <w:pPr>
        <w:spacing w:after="0" w:line="237" w:lineRule="auto"/>
        <w:jc w:val="both"/>
        <w:rPr>
          <w:rFonts w:ascii="Symbol" w:hAnsi="Symbol"/>
          <w:sz w:val="22"/>
        </w:rPr>
        <w:sectPr>
          <w:pgSz w:w="12240" w:h="15840"/>
          <w:pgMar w:header="0" w:footer="1738" w:top="1360" w:bottom="1920" w:left="1320" w:right="1280"/>
        </w:sectPr>
      </w:pPr>
    </w:p>
    <w:p>
      <w:pPr>
        <w:pStyle w:val="BodyText"/>
        <w:spacing w:before="80"/>
        <w:ind w:left="840" w:right="155"/>
        <w:jc w:val="both"/>
      </w:pPr>
      <w:r>
        <w:rPr/>
        <w:t>as W-2s, pay stubs, etc. in order to ensure that their income meets the low-income </w:t>
      </w:r>
      <w:r>
        <w:rPr>
          <w:spacing w:val="-2"/>
        </w:rPr>
        <w:t>requirements.</w:t>
      </w:r>
    </w:p>
    <w:p>
      <w:pPr>
        <w:pStyle w:val="ListParagraph"/>
        <w:numPr>
          <w:ilvl w:val="1"/>
          <w:numId w:val="16"/>
        </w:numPr>
        <w:tabs>
          <w:tab w:pos="841" w:val="left" w:leader="none"/>
        </w:tabs>
        <w:spacing w:line="240" w:lineRule="auto" w:before="0" w:after="0"/>
        <w:ind w:left="840" w:right="156" w:hanging="361"/>
        <w:jc w:val="both"/>
        <w:rPr>
          <w:rFonts w:ascii="Symbol" w:hAnsi="Symbol"/>
          <w:sz w:val="22"/>
        </w:rPr>
      </w:pPr>
      <w:r>
        <w:rPr>
          <w:sz w:val="22"/>
        </w:rPr>
        <w:t>To a property inspection one year after the rehabilitation and every two years thereafter during the period of affordability. The owner must agree to cooperate with and assist in this</w:t>
      </w:r>
      <w:r>
        <w:rPr>
          <w:spacing w:val="-2"/>
          <w:sz w:val="22"/>
        </w:rPr>
        <w:t> </w:t>
      </w:r>
      <w:r>
        <w:rPr>
          <w:sz w:val="22"/>
        </w:rPr>
        <w:t>inspection</w:t>
      </w:r>
      <w:r>
        <w:rPr>
          <w:spacing w:val="-3"/>
          <w:sz w:val="22"/>
        </w:rPr>
        <w:t> </w:t>
      </w:r>
      <w:r>
        <w:rPr>
          <w:sz w:val="22"/>
        </w:rPr>
        <w:t>effort,</w:t>
      </w:r>
      <w:r>
        <w:rPr>
          <w:spacing w:val="-1"/>
          <w:sz w:val="22"/>
        </w:rPr>
        <w:t> </w:t>
      </w:r>
      <w:r>
        <w:rPr>
          <w:sz w:val="22"/>
        </w:rPr>
        <w:t>and</w:t>
      </w:r>
      <w:r>
        <w:rPr>
          <w:spacing w:val="-5"/>
          <w:sz w:val="22"/>
        </w:rPr>
        <w:t> </w:t>
      </w:r>
      <w:r>
        <w:rPr>
          <w:sz w:val="22"/>
        </w:rPr>
        <w:t>to</w:t>
      </w:r>
      <w:r>
        <w:rPr>
          <w:spacing w:val="-5"/>
          <w:sz w:val="22"/>
        </w:rPr>
        <w:t> </w:t>
      </w:r>
      <w:r>
        <w:rPr>
          <w:sz w:val="22"/>
        </w:rPr>
        <w:t>resolve</w:t>
      </w:r>
      <w:r>
        <w:rPr>
          <w:spacing w:val="-3"/>
          <w:sz w:val="22"/>
        </w:rPr>
        <w:t> </w:t>
      </w:r>
      <w:r>
        <w:rPr>
          <w:sz w:val="22"/>
        </w:rPr>
        <w:t>all</w:t>
      </w:r>
      <w:r>
        <w:rPr>
          <w:spacing w:val="-3"/>
          <w:sz w:val="22"/>
        </w:rPr>
        <w:t> </w:t>
      </w:r>
      <w:r>
        <w:rPr>
          <w:sz w:val="22"/>
        </w:rPr>
        <w:t>deficiencies</w:t>
      </w:r>
      <w:r>
        <w:rPr>
          <w:spacing w:val="-2"/>
          <w:sz w:val="22"/>
        </w:rPr>
        <w:t> </w:t>
      </w:r>
      <w:r>
        <w:rPr>
          <w:sz w:val="22"/>
        </w:rPr>
        <w:t>cited</w:t>
      </w:r>
      <w:r>
        <w:rPr>
          <w:spacing w:val="-3"/>
          <w:sz w:val="22"/>
        </w:rPr>
        <w:t> </w:t>
      </w:r>
      <w:r>
        <w:rPr>
          <w:sz w:val="22"/>
        </w:rPr>
        <w:t>within</w:t>
      </w:r>
      <w:r>
        <w:rPr>
          <w:spacing w:val="-5"/>
          <w:sz w:val="22"/>
        </w:rPr>
        <w:t> </w:t>
      </w:r>
      <w:r>
        <w:rPr>
          <w:sz w:val="22"/>
        </w:rPr>
        <w:t>the</w:t>
      </w:r>
      <w:r>
        <w:rPr>
          <w:spacing w:val="-3"/>
          <w:sz w:val="22"/>
        </w:rPr>
        <w:t> </w:t>
      </w:r>
      <w:r>
        <w:rPr>
          <w:sz w:val="22"/>
        </w:rPr>
        <w:t>designated</w:t>
      </w:r>
      <w:r>
        <w:rPr>
          <w:spacing w:val="-3"/>
          <w:sz w:val="22"/>
        </w:rPr>
        <w:t> </w:t>
      </w:r>
      <w:r>
        <w:rPr>
          <w:sz w:val="22"/>
        </w:rPr>
        <w:t>correction period allotted.</w:t>
      </w:r>
    </w:p>
    <w:p>
      <w:pPr>
        <w:pStyle w:val="ListParagraph"/>
        <w:numPr>
          <w:ilvl w:val="1"/>
          <w:numId w:val="16"/>
        </w:numPr>
        <w:tabs>
          <w:tab w:pos="841" w:val="left" w:leader="none"/>
        </w:tabs>
        <w:spacing w:line="237" w:lineRule="auto" w:before="0" w:after="0"/>
        <w:ind w:left="840" w:right="158" w:hanging="361"/>
        <w:jc w:val="both"/>
        <w:rPr>
          <w:rFonts w:ascii="Symbol" w:hAnsi="Symbol"/>
          <w:sz w:val="22"/>
        </w:rPr>
      </w:pPr>
      <w:r>
        <w:rPr/>
        <w:pict>
          <v:shape style="position:absolute;margin-left:90.065002pt;margin-top:20.460121pt;width:395.3pt;height:419pt;mso-position-horizontal-relative:page;mso-position-vertical-relative:paragraph;z-index:-17706496" id="docshape76" coordorigin="1801,409" coordsize="7906,8380" path="m4498,7673l4492,7600,4477,7522,4455,7439,4432,7369,4403,7297,4367,7222,4325,7144,4276,7064,4237,7005,4200,6954,4200,7640,4197,7696,4186,7753,4167,7810,4138,7870,4097,7933,4044,7999,3979,8068,3674,8374,2216,6916,2517,6615,2598,6539,2672,6479,2740,6436,2801,6409,2868,6394,2941,6390,3020,6397,3105,6415,3195,6444,3255,6470,3317,6502,3380,6541,3446,6586,3514,6637,3584,6696,3656,6760,3729,6832,3789,6893,3845,6953,3896,7012,3943,7070,3986,7127,4025,7182,4059,7236,4101,7311,4136,7383,4163,7452,4183,7519,4196,7583,4200,7640,4200,6954,4194,6945,4148,6885,4098,6824,4045,6763,3989,6702,3929,6640,3865,6578,3801,6520,3737,6465,3673,6413,3643,6390,3609,6365,3546,6321,3482,6279,3419,6242,3346,6204,3274,6172,3203,6144,3132,6122,3062,6105,2992,6093,2923,6086,2850,6084,2779,6091,2709,6106,2642,6129,2577,6159,2528,6188,2476,6225,2420,6270,2359,6324,2294,6387,1801,6880,3710,8788,4124,8374,4226,8272,4287,8207,4341,8141,4386,8076,4424,8009,4454,7942,4476,7876,4491,7809,4498,7742,4498,7673xm6418,6080l6056,5952,5650,5809,5561,5780,5475,5756,5393,5737,5365,5732,5314,5723,5239,5713,5193,5711,5143,5714,5089,5721,5030,5732,5073,5662,5109,5593,5136,5524,5154,5455,5164,5386,5165,5318,5157,5250,5139,5172,5111,5096,5075,5021,5030,4949,4976,4878,4956,4855,4913,4809,4872,4771,4872,5328,4868,5384,4854,5439,4830,5495,4794,5554,4747,5615,4687,5679,4280,6086,3649,5454,4102,5001,4166,4944,4229,4901,4293,4872,4358,4856,4422,4855,4501,4870,4577,4900,4649,4945,4718,5005,4761,5052,4797,5103,4827,5157,4851,5213,4867,5271,4872,5328,4872,4771,4849,4750,4782,4697,4713,4652,4641,4613,4566,4581,4474,4553,4386,4540,4303,4542,4225,4558,4163,4583,4098,4620,4030,4668,3958,4727,3883,4798,3248,5433,5157,7341,5346,7152,4499,6304,4718,6086,4753,6051,4783,6024,4810,6003,4833,5988,4863,5975,4896,5964,4932,5956,4971,5952,5014,5952,5066,5957,5125,5968,5194,5984,5256,6001,5328,6022,5407,6047,5496,6077,6180,6318,6418,6080xm7780,4718l7415,4522,6555,4068,6555,4375,6070,4861,6030,4789,5989,4717,5748,4287,5708,4215,5668,4144,5629,4078,5590,4013,5550,3949,5509,3886,5467,3824,5424,3763,5380,3702,5436,3738,5498,3776,5564,3815,5635,3857,5792,3948,6555,4375,6555,4068,5862,3702,5286,3395,5082,3599,5277,3950,5316,4020,5701,4718,6207,5637,6441,6057,6642,5856,6565,5723,6298,5254,6221,5121,6481,4861,6820,4522,7173,4718,7565,4933,7780,4718xm8131,4367l7264,3500,7936,2828,7711,2603,7039,3275,6448,2684,7224,1908,6999,1683,6033,2648,7941,4556,8131,4367xm9707,2791l8024,1108,8497,634,8272,409,7138,1544,7363,1769,7834,1297,9517,2980,9707,2791xe" filled="true" fillcolor="#c0c0c0" stroked="false">
            <v:path arrowok="t"/>
            <v:fill opacity="32896f" type="solid"/>
            <w10:wrap type="none"/>
          </v:shape>
        </w:pict>
      </w:r>
      <w:r>
        <w:rPr>
          <w:sz w:val="22"/>
        </w:rPr>
        <w:t>To adhere to Lead-Based Paint Abatement guidelines for all properties built in 1978 and </w:t>
      </w:r>
      <w:r>
        <w:rPr>
          <w:spacing w:val="-2"/>
          <w:sz w:val="22"/>
        </w:rPr>
        <w:t>before.</w:t>
      </w:r>
    </w:p>
    <w:p>
      <w:pPr>
        <w:pStyle w:val="ListParagraph"/>
        <w:numPr>
          <w:ilvl w:val="1"/>
          <w:numId w:val="16"/>
        </w:numPr>
        <w:tabs>
          <w:tab w:pos="841" w:val="left" w:leader="none"/>
        </w:tabs>
        <w:spacing w:line="240" w:lineRule="auto" w:before="1" w:after="0"/>
        <w:ind w:left="840" w:right="0" w:hanging="361"/>
        <w:jc w:val="both"/>
        <w:rPr>
          <w:rFonts w:ascii="Symbol" w:hAnsi="Symbol"/>
          <w:sz w:val="22"/>
        </w:rPr>
      </w:pPr>
      <w:r>
        <w:rPr>
          <w:sz w:val="22"/>
        </w:rPr>
        <w:t>To</w:t>
      </w:r>
      <w:r>
        <w:rPr>
          <w:spacing w:val="-6"/>
          <w:sz w:val="22"/>
        </w:rPr>
        <w:t> </w:t>
      </w:r>
      <w:r>
        <w:rPr>
          <w:sz w:val="22"/>
        </w:rPr>
        <w:t>the</w:t>
      </w:r>
      <w:r>
        <w:rPr>
          <w:spacing w:val="-7"/>
          <w:sz w:val="22"/>
        </w:rPr>
        <w:t> </w:t>
      </w:r>
      <w:r>
        <w:rPr>
          <w:sz w:val="22"/>
        </w:rPr>
        <w:t>CHDO</w:t>
      </w:r>
      <w:r>
        <w:rPr>
          <w:spacing w:val="-3"/>
          <w:sz w:val="22"/>
        </w:rPr>
        <w:t> </w:t>
      </w:r>
      <w:r>
        <w:rPr>
          <w:sz w:val="22"/>
        </w:rPr>
        <w:t>Proceeds</w:t>
      </w:r>
      <w:r>
        <w:rPr>
          <w:spacing w:val="-7"/>
          <w:sz w:val="22"/>
        </w:rPr>
        <w:t> </w:t>
      </w:r>
      <w:r>
        <w:rPr>
          <w:sz w:val="22"/>
        </w:rPr>
        <w:t>provisions</w:t>
      </w:r>
      <w:r>
        <w:rPr>
          <w:spacing w:val="-4"/>
          <w:sz w:val="22"/>
        </w:rPr>
        <w:t> </w:t>
      </w:r>
      <w:r>
        <w:rPr>
          <w:sz w:val="22"/>
        </w:rPr>
        <w:t>outlined</w:t>
      </w:r>
      <w:r>
        <w:rPr>
          <w:spacing w:val="-5"/>
          <w:sz w:val="22"/>
        </w:rPr>
        <w:t> </w:t>
      </w:r>
      <w:r>
        <w:rPr>
          <w:sz w:val="22"/>
        </w:rPr>
        <w:t>in</w:t>
      </w:r>
      <w:r>
        <w:rPr>
          <w:spacing w:val="-5"/>
          <w:sz w:val="22"/>
        </w:rPr>
        <w:t> </w:t>
      </w:r>
      <w:r>
        <w:rPr>
          <w:sz w:val="22"/>
        </w:rPr>
        <w:t>Appendix</w:t>
      </w:r>
      <w:r>
        <w:rPr>
          <w:spacing w:val="-4"/>
          <w:sz w:val="22"/>
        </w:rPr>
        <w:t> </w:t>
      </w:r>
      <w:r>
        <w:rPr>
          <w:sz w:val="22"/>
        </w:rPr>
        <w:t>2</w:t>
      </w:r>
      <w:r>
        <w:rPr>
          <w:spacing w:val="-4"/>
          <w:sz w:val="22"/>
        </w:rPr>
        <w:t> </w:t>
      </w:r>
      <w:r>
        <w:rPr>
          <w:sz w:val="22"/>
        </w:rPr>
        <w:t>(if</w:t>
      </w:r>
      <w:r>
        <w:rPr>
          <w:spacing w:val="-3"/>
          <w:sz w:val="22"/>
        </w:rPr>
        <w:t> </w:t>
      </w:r>
      <w:r>
        <w:rPr>
          <w:spacing w:val="-2"/>
          <w:sz w:val="22"/>
        </w:rPr>
        <w:t>applicable)</w:t>
      </w:r>
    </w:p>
    <w:p>
      <w:pPr>
        <w:pStyle w:val="BodyText"/>
        <w:spacing w:before="10"/>
        <w:rPr>
          <w:sz w:val="21"/>
        </w:rPr>
      </w:pPr>
    </w:p>
    <w:p>
      <w:pPr>
        <w:pStyle w:val="BodyText"/>
        <w:spacing w:before="1"/>
        <w:ind w:left="120" w:right="154"/>
        <w:jc w:val="both"/>
      </w:pPr>
      <w:r>
        <w:rPr/>
        <w:t>The</w:t>
      </w:r>
      <w:r>
        <w:rPr>
          <w:spacing w:val="-7"/>
        </w:rPr>
        <w:t> </w:t>
      </w:r>
      <w:r>
        <w:rPr/>
        <w:t>City</w:t>
      </w:r>
      <w:r>
        <w:rPr>
          <w:spacing w:val="-7"/>
        </w:rPr>
        <w:t> </w:t>
      </w:r>
      <w:r>
        <w:rPr/>
        <w:t>will</w:t>
      </w:r>
      <w:r>
        <w:rPr>
          <w:spacing w:val="-7"/>
        </w:rPr>
        <w:t> </w:t>
      </w:r>
      <w:r>
        <w:rPr/>
        <w:t>examine</w:t>
      </w:r>
      <w:r>
        <w:rPr>
          <w:spacing w:val="-7"/>
        </w:rPr>
        <w:t> </w:t>
      </w:r>
      <w:r>
        <w:rPr/>
        <w:t>the</w:t>
      </w:r>
      <w:r>
        <w:rPr>
          <w:spacing w:val="-9"/>
        </w:rPr>
        <w:t> </w:t>
      </w:r>
      <w:r>
        <w:rPr/>
        <w:t>sources</w:t>
      </w:r>
      <w:r>
        <w:rPr>
          <w:spacing w:val="-7"/>
        </w:rPr>
        <w:t> </w:t>
      </w:r>
      <w:r>
        <w:rPr/>
        <w:t>and</w:t>
      </w:r>
      <w:r>
        <w:rPr>
          <w:spacing w:val="-9"/>
        </w:rPr>
        <w:t> </w:t>
      </w:r>
      <w:r>
        <w:rPr/>
        <w:t>uses</w:t>
      </w:r>
      <w:r>
        <w:rPr>
          <w:spacing w:val="-8"/>
        </w:rPr>
        <w:t> </w:t>
      </w:r>
      <w:r>
        <w:rPr/>
        <w:t>for</w:t>
      </w:r>
      <w:r>
        <w:rPr>
          <w:spacing w:val="-8"/>
        </w:rPr>
        <w:t> </w:t>
      </w:r>
      <w:r>
        <w:rPr/>
        <w:t>each</w:t>
      </w:r>
      <w:r>
        <w:rPr>
          <w:spacing w:val="-7"/>
        </w:rPr>
        <w:t> </w:t>
      </w:r>
      <w:r>
        <w:rPr/>
        <w:t>project</w:t>
      </w:r>
      <w:r>
        <w:rPr>
          <w:spacing w:val="-6"/>
        </w:rPr>
        <w:t> </w:t>
      </w:r>
      <w:r>
        <w:rPr/>
        <w:t>and</w:t>
      </w:r>
      <w:r>
        <w:rPr>
          <w:spacing w:val="-9"/>
        </w:rPr>
        <w:t> </w:t>
      </w:r>
      <w:r>
        <w:rPr/>
        <w:t>determine</w:t>
      </w:r>
      <w:r>
        <w:rPr>
          <w:spacing w:val="-7"/>
        </w:rPr>
        <w:t> </w:t>
      </w:r>
      <w:r>
        <w:rPr/>
        <w:t>whether</w:t>
      </w:r>
      <w:r>
        <w:rPr>
          <w:spacing w:val="-10"/>
        </w:rPr>
        <w:t> </w:t>
      </w:r>
      <w:r>
        <w:rPr/>
        <w:t>the</w:t>
      </w:r>
      <w:r>
        <w:rPr>
          <w:spacing w:val="-7"/>
        </w:rPr>
        <w:t> </w:t>
      </w:r>
      <w:r>
        <w:rPr/>
        <w:t>costs</w:t>
      </w:r>
      <w:r>
        <w:rPr>
          <w:spacing w:val="-8"/>
        </w:rPr>
        <w:t> </w:t>
      </w:r>
      <w:r>
        <w:rPr/>
        <w:t>are eligible and reasonable, the return</w:t>
      </w:r>
      <w:r>
        <w:rPr>
          <w:spacing w:val="-3"/>
        </w:rPr>
        <w:t> </w:t>
      </w:r>
      <w:r>
        <w:rPr/>
        <w:t>to</w:t>
      </w:r>
      <w:r>
        <w:rPr>
          <w:spacing w:val="-3"/>
        </w:rPr>
        <w:t> </w:t>
      </w:r>
      <w:r>
        <w:rPr/>
        <w:t>the developer is appropriate</w:t>
      </w:r>
      <w:r>
        <w:rPr>
          <w:spacing w:val="-3"/>
        </w:rPr>
        <w:t> </w:t>
      </w:r>
      <w:r>
        <w:rPr/>
        <w:t>(not</w:t>
      </w:r>
      <w:r>
        <w:rPr>
          <w:spacing w:val="-1"/>
        </w:rPr>
        <w:t> </w:t>
      </w:r>
      <w:r>
        <w:rPr/>
        <w:t>excessive), and the other sources</w:t>
      </w:r>
      <w:r>
        <w:rPr>
          <w:spacing w:val="-12"/>
        </w:rPr>
        <w:t> </w:t>
      </w:r>
      <w:r>
        <w:rPr/>
        <w:t>of</w:t>
      </w:r>
      <w:r>
        <w:rPr>
          <w:spacing w:val="-11"/>
        </w:rPr>
        <w:t> </w:t>
      </w:r>
      <w:r>
        <w:rPr/>
        <w:t>funds</w:t>
      </w:r>
      <w:r>
        <w:rPr>
          <w:spacing w:val="-12"/>
        </w:rPr>
        <w:t> </w:t>
      </w:r>
      <w:r>
        <w:rPr/>
        <w:t>needed</w:t>
      </w:r>
      <w:r>
        <w:rPr>
          <w:spacing w:val="-15"/>
        </w:rPr>
        <w:t> </w:t>
      </w:r>
      <w:r>
        <w:rPr/>
        <w:t>for</w:t>
      </w:r>
      <w:r>
        <w:rPr>
          <w:spacing w:val="-13"/>
        </w:rPr>
        <w:t> </w:t>
      </w:r>
      <w:r>
        <w:rPr/>
        <w:t>the</w:t>
      </w:r>
      <w:r>
        <w:rPr>
          <w:spacing w:val="-12"/>
        </w:rPr>
        <w:t> </w:t>
      </w:r>
      <w:r>
        <w:rPr/>
        <w:t>project</w:t>
      </w:r>
      <w:r>
        <w:rPr>
          <w:spacing w:val="-11"/>
        </w:rPr>
        <w:t> </w:t>
      </w:r>
      <w:r>
        <w:rPr/>
        <w:t>are</w:t>
      </w:r>
      <w:r>
        <w:rPr>
          <w:spacing w:val="-15"/>
        </w:rPr>
        <w:t> </w:t>
      </w:r>
      <w:r>
        <w:rPr/>
        <w:t>firm</w:t>
      </w:r>
      <w:r>
        <w:rPr>
          <w:spacing w:val="-11"/>
        </w:rPr>
        <w:t> </w:t>
      </w:r>
      <w:r>
        <w:rPr/>
        <w:t>commitments.</w:t>
      </w:r>
      <w:r>
        <w:rPr>
          <w:spacing w:val="-13"/>
        </w:rPr>
        <w:t> </w:t>
      </w:r>
      <w:r>
        <w:rPr/>
        <w:t>“Reasonableness”</w:t>
      </w:r>
      <w:r>
        <w:rPr>
          <w:spacing w:val="-11"/>
        </w:rPr>
        <w:t> </w:t>
      </w:r>
      <w:r>
        <w:rPr/>
        <w:t>of</w:t>
      </w:r>
      <w:r>
        <w:rPr>
          <w:spacing w:val="-11"/>
        </w:rPr>
        <w:t> </w:t>
      </w:r>
      <w:r>
        <w:rPr/>
        <w:t>development costs should be based on the following factors:</w:t>
      </w:r>
    </w:p>
    <w:p>
      <w:pPr>
        <w:pStyle w:val="ListParagraph"/>
        <w:numPr>
          <w:ilvl w:val="1"/>
          <w:numId w:val="16"/>
        </w:numPr>
        <w:tabs>
          <w:tab w:pos="840" w:val="left" w:leader="none"/>
          <w:tab w:pos="841" w:val="left" w:leader="none"/>
        </w:tabs>
        <w:spacing w:line="268" w:lineRule="exact" w:before="0" w:after="0"/>
        <w:ind w:left="840" w:right="0" w:hanging="361"/>
        <w:jc w:val="left"/>
        <w:rPr>
          <w:rFonts w:ascii="Symbol" w:hAnsi="Symbol"/>
          <w:sz w:val="22"/>
        </w:rPr>
      </w:pPr>
      <w:r>
        <w:rPr>
          <w:sz w:val="22"/>
        </w:rPr>
        <w:t>Costs</w:t>
      </w:r>
      <w:r>
        <w:rPr>
          <w:spacing w:val="-7"/>
          <w:sz w:val="22"/>
        </w:rPr>
        <w:t> </w:t>
      </w:r>
      <w:r>
        <w:rPr>
          <w:sz w:val="22"/>
        </w:rPr>
        <w:t>of</w:t>
      </w:r>
      <w:r>
        <w:rPr>
          <w:spacing w:val="-3"/>
          <w:sz w:val="22"/>
        </w:rPr>
        <w:t> </w:t>
      </w:r>
      <w:r>
        <w:rPr>
          <w:sz w:val="22"/>
        </w:rPr>
        <w:t>comparable</w:t>
      </w:r>
      <w:r>
        <w:rPr>
          <w:spacing w:val="-5"/>
          <w:sz w:val="22"/>
        </w:rPr>
        <w:t> </w:t>
      </w:r>
      <w:r>
        <w:rPr>
          <w:sz w:val="22"/>
        </w:rPr>
        <w:t>projects</w:t>
      </w:r>
      <w:r>
        <w:rPr>
          <w:spacing w:val="-4"/>
          <w:sz w:val="22"/>
        </w:rPr>
        <w:t> </w:t>
      </w:r>
      <w:r>
        <w:rPr>
          <w:sz w:val="22"/>
        </w:rPr>
        <w:t>in</w:t>
      </w:r>
      <w:r>
        <w:rPr>
          <w:spacing w:val="-7"/>
          <w:sz w:val="22"/>
        </w:rPr>
        <w:t> </w:t>
      </w:r>
      <w:r>
        <w:rPr>
          <w:sz w:val="22"/>
        </w:rPr>
        <w:t>the</w:t>
      </w:r>
      <w:r>
        <w:rPr>
          <w:spacing w:val="-7"/>
          <w:sz w:val="22"/>
        </w:rPr>
        <w:t> </w:t>
      </w:r>
      <w:r>
        <w:rPr>
          <w:sz w:val="22"/>
        </w:rPr>
        <w:t>same</w:t>
      </w:r>
      <w:r>
        <w:rPr>
          <w:spacing w:val="-7"/>
          <w:sz w:val="22"/>
        </w:rPr>
        <w:t> </w:t>
      </w:r>
      <w:r>
        <w:rPr>
          <w:sz w:val="22"/>
        </w:rPr>
        <w:t>geographical</w:t>
      </w:r>
      <w:r>
        <w:rPr>
          <w:spacing w:val="-5"/>
          <w:sz w:val="22"/>
        </w:rPr>
        <w:t> </w:t>
      </w:r>
      <w:r>
        <w:rPr>
          <w:spacing w:val="-2"/>
          <w:sz w:val="22"/>
        </w:rPr>
        <w:t>area;</w:t>
      </w:r>
    </w:p>
    <w:p>
      <w:pPr>
        <w:pStyle w:val="ListParagraph"/>
        <w:numPr>
          <w:ilvl w:val="1"/>
          <w:numId w:val="16"/>
        </w:numPr>
        <w:tabs>
          <w:tab w:pos="840" w:val="left" w:leader="none"/>
          <w:tab w:pos="841" w:val="left" w:leader="none"/>
        </w:tabs>
        <w:spacing w:line="268" w:lineRule="exact" w:before="0" w:after="0"/>
        <w:ind w:left="840" w:right="0" w:hanging="361"/>
        <w:jc w:val="left"/>
        <w:rPr>
          <w:rFonts w:ascii="Symbol" w:hAnsi="Symbol"/>
          <w:sz w:val="22"/>
        </w:rPr>
      </w:pPr>
      <w:r>
        <w:rPr>
          <w:sz w:val="22"/>
        </w:rPr>
        <w:t>Qualifications</w:t>
      </w:r>
      <w:r>
        <w:rPr>
          <w:spacing w:val="-6"/>
          <w:sz w:val="22"/>
        </w:rPr>
        <w:t> </w:t>
      </w:r>
      <w:r>
        <w:rPr>
          <w:sz w:val="22"/>
        </w:rPr>
        <w:t>of</w:t>
      </w:r>
      <w:r>
        <w:rPr>
          <w:spacing w:val="-5"/>
          <w:sz w:val="22"/>
        </w:rPr>
        <w:t> </w:t>
      </w:r>
      <w:r>
        <w:rPr>
          <w:sz w:val="22"/>
        </w:rPr>
        <w:t>the</w:t>
      </w:r>
      <w:r>
        <w:rPr>
          <w:spacing w:val="-5"/>
          <w:sz w:val="22"/>
        </w:rPr>
        <w:t> </w:t>
      </w:r>
      <w:r>
        <w:rPr>
          <w:sz w:val="22"/>
        </w:rPr>
        <w:t>cost</w:t>
      </w:r>
      <w:r>
        <w:rPr>
          <w:spacing w:val="-5"/>
          <w:sz w:val="22"/>
        </w:rPr>
        <w:t> </w:t>
      </w:r>
      <w:r>
        <w:rPr>
          <w:sz w:val="22"/>
        </w:rPr>
        <w:t>estimators</w:t>
      </w:r>
      <w:r>
        <w:rPr>
          <w:spacing w:val="-5"/>
          <w:sz w:val="22"/>
        </w:rPr>
        <w:t> </w:t>
      </w:r>
      <w:r>
        <w:rPr>
          <w:sz w:val="22"/>
        </w:rPr>
        <w:t>for</w:t>
      </w:r>
      <w:r>
        <w:rPr>
          <w:spacing w:val="-5"/>
          <w:sz w:val="22"/>
        </w:rPr>
        <w:t> </w:t>
      </w:r>
      <w:r>
        <w:rPr>
          <w:sz w:val="22"/>
        </w:rPr>
        <w:t>the</w:t>
      </w:r>
      <w:r>
        <w:rPr>
          <w:spacing w:val="-6"/>
          <w:sz w:val="22"/>
        </w:rPr>
        <w:t> </w:t>
      </w:r>
      <w:r>
        <w:rPr>
          <w:sz w:val="22"/>
        </w:rPr>
        <w:t>various</w:t>
      </w:r>
      <w:r>
        <w:rPr>
          <w:spacing w:val="-3"/>
          <w:sz w:val="22"/>
        </w:rPr>
        <w:t> </w:t>
      </w:r>
      <w:r>
        <w:rPr>
          <w:sz w:val="22"/>
        </w:rPr>
        <w:t>budget</w:t>
      </w:r>
      <w:r>
        <w:rPr>
          <w:spacing w:val="-5"/>
          <w:sz w:val="22"/>
        </w:rPr>
        <w:t> </w:t>
      </w:r>
      <w:r>
        <w:rPr>
          <w:sz w:val="22"/>
        </w:rPr>
        <w:t>line</w:t>
      </w:r>
      <w:r>
        <w:rPr>
          <w:spacing w:val="-4"/>
          <w:sz w:val="22"/>
        </w:rPr>
        <w:t> </w:t>
      </w:r>
      <w:r>
        <w:rPr>
          <w:sz w:val="22"/>
        </w:rPr>
        <w:t>items;</w:t>
      </w:r>
      <w:r>
        <w:rPr>
          <w:spacing w:val="-4"/>
          <w:sz w:val="22"/>
        </w:rPr>
        <w:t> </w:t>
      </w:r>
      <w:r>
        <w:rPr>
          <w:spacing w:val="-5"/>
          <w:sz w:val="22"/>
        </w:rPr>
        <w:t>and</w:t>
      </w:r>
    </w:p>
    <w:p>
      <w:pPr>
        <w:pStyle w:val="ListParagraph"/>
        <w:numPr>
          <w:ilvl w:val="1"/>
          <w:numId w:val="16"/>
        </w:numPr>
        <w:tabs>
          <w:tab w:pos="841" w:val="left" w:leader="none"/>
          <w:tab w:pos="842" w:val="left" w:leader="none"/>
        </w:tabs>
        <w:spacing w:line="269" w:lineRule="exact" w:before="0" w:after="0"/>
        <w:ind w:left="841" w:right="0" w:hanging="362"/>
        <w:jc w:val="left"/>
        <w:rPr>
          <w:rFonts w:ascii="Symbol" w:hAnsi="Symbol"/>
          <w:sz w:val="22"/>
        </w:rPr>
      </w:pPr>
      <w:r>
        <w:rPr>
          <w:sz w:val="22"/>
        </w:rPr>
        <w:t>Comparable</w:t>
      </w:r>
      <w:r>
        <w:rPr>
          <w:spacing w:val="-7"/>
          <w:sz w:val="22"/>
        </w:rPr>
        <w:t> </w:t>
      </w:r>
      <w:r>
        <w:rPr>
          <w:sz w:val="22"/>
        </w:rPr>
        <w:t>costs</w:t>
      </w:r>
      <w:r>
        <w:rPr>
          <w:spacing w:val="-7"/>
          <w:sz w:val="22"/>
        </w:rPr>
        <w:t> </w:t>
      </w:r>
      <w:r>
        <w:rPr>
          <w:sz w:val="22"/>
        </w:rPr>
        <w:t>published</w:t>
      </w:r>
      <w:r>
        <w:rPr>
          <w:spacing w:val="-6"/>
          <w:sz w:val="22"/>
        </w:rPr>
        <w:t> </w:t>
      </w:r>
      <w:r>
        <w:rPr>
          <w:sz w:val="22"/>
        </w:rPr>
        <w:t>by</w:t>
      </w:r>
      <w:r>
        <w:rPr>
          <w:spacing w:val="-8"/>
          <w:sz w:val="22"/>
        </w:rPr>
        <w:t> </w:t>
      </w:r>
      <w:r>
        <w:rPr>
          <w:sz w:val="22"/>
        </w:rPr>
        <w:t>recognized</w:t>
      </w:r>
      <w:r>
        <w:rPr>
          <w:spacing w:val="-6"/>
          <w:sz w:val="22"/>
        </w:rPr>
        <w:t> </w:t>
      </w:r>
      <w:r>
        <w:rPr>
          <w:sz w:val="22"/>
        </w:rPr>
        <w:t>industry</w:t>
      </w:r>
      <w:r>
        <w:rPr>
          <w:spacing w:val="-5"/>
          <w:sz w:val="22"/>
        </w:rPr>
        <w:t> </w:t>
      </w:r>
      <w:r>
        <w:rPr>
          <w:sz w:val="22"/>
        </w:rPr>
        <w:t>cost</w:t>
      </w:r>
      <w:r>
        <w:rPr>
          <w:spacing w:val="-6"/>
          <w:sz w:val="22"/>
        </w:rPr>
        <w:t> </w:t>
      </w:r>
      <w:r>
        <w:rPr>
          <w:sz w:val="22"/>
        </w:rPr>
        <w:t>index</w:t>
      </w:r>
      <w:r>
        <w:rPr>
          <w:spacing w:val="-5"/>
          <w:sz w:val="22"/>
        </w:rPr>
        <w:t> </w:t>
      </w:r>
      <w:r>
        <w:rPr>
          <w:spacing w:val="-2"/>
          <w:sz w:val="22"/>
        </w:rPr>
        <w:t>services</w:t>
      </w:r>
    </w:p>
    <w:p>
      <w:pPr>
        <w:pStyle w:val="BodyText"/>
        <w:spacing w:before="7"/>
        <w:rPr>
          <w:sz w:val="21"/>
        </w:rPr>
      </w:pPr>
    </w:p>
    <w:p>
      <w:pPr>
        <w:pStyle w:val="BodyText"/>
        <w:ind w:left="121" w:right="157"/>
        <w:jc w:val="both"/>
      </w:pPr>
      <w:r>
        <w:rPr/>
        <w:t>Failure to comply with any of the conditions outlined above will constitute a default of the public sector loan, requiring the balance to become immediately due and payable.</w:t>
      </w:r>
    </w:p>
    <w:p>
      <w:pPr>
        <w:pStyle w:val="BodyText"/>
        <w:spacing w:before="2"/>
      </w:pPr>
    </w:p>
    <w:p>
      <w:pPr>
        <w:pStyle w:val="BodyText"/>
        <w:ind w:left="121" w:right="157"/>
        <w:jc w:val="both"/>
      </w:pPr>
      <w:r>
        <w:rPr/>
        <w:t>If</w:t>
      </w:r>
      <w:r>
        <w:rPr>
          <w:spacing w:val="-7"/>
        </w:rPr>
        <w:t> </w:t>
      </w:r>
      <w:r>
        <w:rPr/>
        <w:t>the</w:t>
      </w:r>
      <w:r>
        <w:rPr>
          <w:spacing w:val="-6"/>
        </w:rPr>
        <w:t> </w:t>
      </w:r>
      <w:r>
        <w:rPr/>
        <w:t>property</w:t>
      </w:r>
      <w:r>
        <w:rPr>
          <w:spacing w:val="-6"/>
        </w:rPr>
        <w:t> </w:t>
      </w:r>
      <w:r>
        <w:rPr/>
        <w:t>is</w:t>
      </w:r>
      <w:r>
        <w:rPr>
          <w:spacing w:val="-6"/>
        </w:rPr>
        <w:t> </w:t>
      </w:r>
      <w:r>
        <w:rPr/>
        <w:t>sold</w:t>
      </w:r>
      <w:r>
        <w:rPr>
          <w:spacing w:val="-6"/>
        </w:rPr>
        <w:t> </w:t>
      </w:r>
      <w:r>
        <w:rPr/>
        <w:t>or</w:t>
      </w:r>
      <w:r>
        <w:rPr>
          <w:spacing w:val="-8"/>
        </w:rPr>
        <w:t> </w:t>
      </w:r>
      <w:r>
        <w:rPr/>
        <w:t>ownership</w:t>
      </w:r>
      <w:r>
        <w:rPr>
          <w:spacing w:val="-4"/>
        </w:rPr>
        <w:t> </w:t>
      </w:r>
      <w:r>
        <w:rPr/>
        <w:t>is</w:t>
      </w:r>
      <w:r>
        <w:rPr>
          <w:spacing w:val="-6"/>
        </w:rPr>
        <w:t> </w:t>
      </w:r>
      <w:r>
        <w:rPr/>
        <w:t>transferred</w:t>
      </w:r>
      <w:r>
        <w:rPr>
          <w:spacing w:val="-9"/>
        </w:rPr>
        <w:t> </w:t>
      </w:r>
      <w:r>
        <w:rPr/>
        <w:t>through</w:t>
      </w:r>
      <w:r>
        <w:rPr>
          <w:spacing w:val="-6"/>
        </w:rPr>
        <w:t> </w:t>
      </w:r>
      <w:r>
        <w:rPr/>
        <w:t>any</w:t>
      </w:r>
      <w:r>
        <w:rPr>
          <w:spacing w:val="-8"/>
        </w:rPr>
        <w:t> </w:t>
      </w:r>
      <w:r>
        <w:rPr/>
        <w:t>means,</w:t>
      </w:r>
      <w:r>
        <w:rPr>
          <w:spacing w:val="-5"/>
        </w:rPr>
        <w:t> </w:t>
      </w:r>
      <w:r>
        <w:rPr/>
        <w:t>the</w:t>
      </w:r>
      <w:r>
        <w:rPr>
          <w:spacing w:val="-9"/>
        </w:rPr>
        <w:t> </w:t>
      </w:r>
      <w:r>
        <w:rPr/>
        <w:t>terms</w:t>
      </w:r>
      <w:r>
        <w:rPr>
          <w:spacing w:val="-6"/>
        </w:rPr>
        <w:t> </w:t>
      </w:r>
      <w:r>
        <w:rPr/>
        <w:t>and</w:t>
      </w:r>
      <w:r>
        <w:rPr>
          <w:spacing w:val="-6"/>
        </w:rPr>
        <w:t> </w:t>
      </w:r>
      <w:r>
        <w:rPr/>
        <w:t>conditions</w:t>
      </w:r>
      <w:r>
        <w:rPr>
          <w:spacing w:val="-6"/>
        </w:rPr>
        <w:t> </w:t>
      </w:r>
      <w:r>
        <w:rPr/>
        <w:t>of the loan are binding upon the new owners, successors, and assigns. The loan shall not be assigned and the property shall not be sold without prior written approval from Director.</w:t>
      </w:r>
    </w:p>
    <w:p>
      <w:pPr>
        <w:pStyle w:val="BodyText"/>
        <w:spacing w:before="10"/>
        <w:rPr>
          <w:sz w:val="21"/>
        </w:rPr>
      </w:pPr>
    </w:p>
    <w:p>
      <w:pPr>
        <w:pStyle w:val="BodyText"/>
        <w:ind w:left="121" w:right="156"/>
        <w:jc w:val="both"/>
      </w:pPr>
      <w:r>
        <w:rPr/>
        <w:t>For HOME</w:t>
      </w:r>
      <w:r>
        <w:rPr>
          <w:spacing w:val="-2"/>
        </w:rPr>
        <w:t> </w:t>
      </w:r>
      <w:r>
        <w:rPr/>
        <w:t>projects, a</w:t>
      </w:r>
      <w:r>
        <w:rPr>
          <w:spacing w:val="-4"/>
        </w:rPr>
        <w:t> </w:t>
      </w:r>
      <w:r>
        <w:rPr/>
        <w:t>determination</w:t>
      </w:r>
      <w:r>
        <w:rPr>
          <w:spacing w:val="-2"/>
        </w:rPr>
        <w:t> </w:t>
      </w:r>
      <w:r>
        <w:rPr/>
        <w:t>of</w:t>
      </w:r>
      <w:r>
        <w:rPr>
          <w:spacing w:val="-3"/>
        </w:rPr>
        <w:t> </w:t>
      </w:r>
      <w:r>
        <w:rPr/>
        <w:t>fixed</w:t>
      </w:r>
      <w:r>
        <w:rPr>
          <w:spacing w:val="-4"/>
        </w:rPr>
        <w:t> </w:t>
      </w:r>
      <w:r>
        <w:rPr/>
        <w:t>or</w:t>
      </w:r>
      <w:r>
        <w:rPr>
          <w:spacing w:val="-3"/>
        </w:rPr>
        <w:t> </w:t>
      </w:r>
      <w:r>
        <w:rPr/>
        <w:t>floating</w:t>
      </w:r>
      <w:r>
        <w:rPr>
          <w:spacing w:val="-2"/>
        </w:rPr>
        <w:t> </w:t>
      </w:r>
      <w:r>
        <w:rPr/>
        <w:t>HOME</w:t>
      </w:r>
      <w:r>
        <w:rPr>
          <w:spacing w:val="-2"/>
        </w:rPr>
        <w:t> </w:t>
      </w:r>
      <w:r>
        <w:rPr/>
        <w:t>units</w:t>
      </w:r>
      <w:r>
        <w:rPr>
          <w:spacing w:val="-4"/>
        </w:rPr>
        <w:t> </w:t>
      </w:r>
      <w:r>
        <w:rPr/>
        <w:t>must be</w:t>
      </w:r>
      <w:r>
        <w:rPr>
          <w:spacing w:val="-2"/>
        </w:rPr>
        <w:t> </w:t>
      </w:r>
      <w:r>
        <w:rPr/>
        <w:t>made</w:t>
      </w:r>
      <w:r>
        <w:rPr>
          <w:spacing w:val="-2"/>
        </w:rPr>
        <w:t> </w:t>
      </w:r>
      <w:r>
        <w:rPr/>
        <w:t>at</w:t>
      </w:r>
      <w:r>
        <w:rPr>
          <w:spacing w:val="-3"/>
        </w:rPr>
        <w:t> </w:t>
      </w:r>
      <w:r>
        <w:rPr/>
        <w:t>the</w:t>
      </w:r>
      <w:r>
        <w:rPr>
          <w:spacing w:val="-4"/>
        </w:rPr>
        <w:t> </w:t>
      </w:r>
      <w:r>
        <w:rPr/>
        <w:t>time</w:t>
      </w:r>
      <w:r>
        <w:rPr>
          <w:spacing w:val="-4"/>
        </w:rPr>
        <w:t> </w:t>
      </w:r>
      <w:r>
        <w:rPr/>
        <w:t>of Loan commitment. Fixed units must remain the same throughout the period of affordability. Floating units may change in order to maintain conformity so that the total number of units meet the required number of bedrooms to the originally designated HOME-assisted unit.</w:t>
      </w:r>
    </w:p>
    <w:p>
      <w:pPr>
        <w:pStyle w:val="BodyText"/>
        <w:spacing w:before="11"/>
        <w:rPr>
          <w:sz w:val="21"/>
        </w:rPr>
      </w:pPr>
    </w:p>
    <w:p>
      <w:pPr>
        <w:pStyle w:val="Heading5"/>
        <w:ind w:left="121"/>
        <w:jc w:val="left"/>
      </w:pPr>
      <w:r>
        <w:rPr/>
        <w:t>Loan</w:t>
      </w:r>
      <w:r>
        <w:rPr>
          <w:spacing w:val="-2"/>
        </w:rPr>
        <w:t> Closing</w:t>
      </w:r>
    </w:p>
    <w:p>
      <w:pPr>
        <w:pStyle w:val="BodyText"/>
        <w:spacing w:before="52"/>
        <w:ind w:left="121"/>
      </w:pPr>
      <w:r>
        <w:rPr/>
        <w:t>The</w:t>
      </w:r>
      <w:r>
        <w:rPr>
          <w:spacing w:val="-5"/>
        </w:rPr>
        <w:t> </w:t>
      </w:r>
      <w:r>
        <w:rPr/>
        <w:t>property</w:t>
      </w:r>
      <w:r>
        <w:rPr>
          <w:spacing w:val="-6"/>
        </w:rPr>
        <w:t> </w:t>
      </w:r>
      <w:r>
        <w:rPr/>
        <w:t>owner</w:t>
      </w:r>
      <w:r>
        <w:rPr>
          <w:spacing w:val="-5"/>
        </w:rPr>
        <w:t> </w:t>
      </w:r>
      <w:r>
        <w:rPr/>
        <w:t>will</w:t>
      </w:r>
      <w:r>
        <w:rPr>
          <w:spacing w:val="-4"/>
        </w:rPr>
        <w:t> </w:t>
      </w:r>
      <w:r>
        <w:rPr/>
        <w:t>be</w:t>
      </w:r>
      <w:r>
        <w:rPr>
          <w:spacing w:val="-4"/>
        </w:rPr>
        <w:t> </w:t>
      </w:r>
      <w:r>
        <w:rPr/>
        <w:t>required</w:t>
      </w:r>
      <w:r>
        <w:rPr>
          <w:spacing w:val="-6"/>
        </w:rPr>
        <w:t> </w:t>
      </w:r>
      <w:r>
        <w:rPr/>
        <w:t>to</w:t>
      </w:r>
      <w:r>
        <w:rPr>
          <w:spacing w:val="-5"/>
        </w:rPr>
        <w:t> </w:t>
      </w:r>
      <w:r>
        <w:rPr/>
        <w:t>provide</w:t>
      </w:r>
      <w:r>
        <w:rPr>
          <w:spacing w:val="-6"/>
        </w:rPr>
        <w:t> </w:t>
      </w:r>
      <w:r>
        <w:rPr/>
        <w:t>the</w:t>
      </w:r>
      <w:r>
        <w:rPr>
          <w:spacing w:val="-4"/>
        </w:rPr>
        <w:t> </w:t>
      </w:r>
      <w:r>
        <w:rPr/>
        <w:t>following</w:t>
      </w:r>
      <w:r>
        <w:rPr>
          <w:spacing w:val="-4"/>
        </w:rPr>
        <w:t> </w:t>
      </w:r>
      <w:r>
        <w:rPr/>
        <w:t>items</w:t>
      </w:r>
      <w:r>
        <w:rPr>
          <w:spacing w:val="-6"/>
        </w:rPr>
        <w:t> </w:t>
      </w:r>
      <w:r>
        <w:rPr/>
        <w:t>for</w:t>
      </w:r>
      <w:r>
        <w:rPr>
          <w:spacing w:val="-2"/>
        </w:rPr>
        <w:t> </w:t>
      </w:r>
      <w:r>
        <w:rPr/>
        <w:t>loan</w:t>
      </w:r>
      <w:r>
        <w:rPr>
          <w:spacing w:val="-5"/>
        </w:rPr>
        <w:t> </w:t>
      </w:r>
      <w:r>
        <w:rPr>
          <w:spacing w:val="-2"/>
        </w:rPr>
        <w:t>closing:</w:t>
      </w:r>
    </w:p>
    <w:p>
      <w:pPr>
        <w:pStyle w:val="ListParagraph"/>
        <w:numPr>
          <w:ilvl w:val="1"/>
          <w:numId w:val="16"/>
        </w:numPr>
        <w:tabs>
          <w:tab w:pos="841" w:val="left" w:leader="none"/>
          <w:tab w:pos="842" w:val="left" w:leader="none"/>
        </w:tabs>
        <w:spacing w:line="237" w:lineRule="auto" w:before="3" w:after="0"/>
        <w:ind w:left="841" w:right="155" w:hanging="360"/>
        <w:jc w:val="left"/>
        <w:rPr>
          <w:rFonts w:ascii="Symbol" w:hAnsi="Symbol"/>
          <w:sz w:val="22"/>
        </w:rPr>
      </w:pPr>
      <w:r>
        <w:rPr>
          <w:sz w:val="22"/>
        </w:rPr>
        <w:t>For</w:t>
      </w:r>
      <w:r>
        <w:rPr>
          <w:spacing w:val="38"/>
          <w:sz w:val="22"/>
        </w:rPr>
        <w:t> </w:t>
      </w:r>
      <w:r>
        <w:rPr>
          <w:sz w:val="22"/>
        </w:rPr>
        <w:t>substantial</w:t>
      </w:r>
      <w:r>
        <w:rPr>
          <w:spacing w:val="37"/>
          <w:sz w:val="22"/>
        </w:rPr>
        <w:t> </w:t>
      </w:r>
      <w:r>
        <w:rPr>
          <w:sz w:val="22"/>
        </w:rPr>
        <w:t>rehabilitation</w:t>
      </w:r>
      <w:r>
        <w:rPr>
          <w:spacing w:val="37"/>
          <w:sz w:val="22"/>
        </w:rPr>
        <w:t> </w:t>
      </w:r>
      <w:r>
        <w:rPr>
          <w:sz w:val="22"/>
        </w:rPr>
        <w:t>projects,</w:t>
      </w:r>
      <w:r>
        <w:rPr>
          <w:spacing w:val="37"/>
          <w:sz w:val="22"/>
        </w:rPr>
        <w:t> </w:t>
      </w:r>
      <w:r>
        <w:rPr>
          <w:sz w:val="22"/>
        </w:rPr>
        <w:t>the</w:t>
      </w:r>
      <w:r>
        <w:rPr>
          <w:spacing w:val="37"/>
          <w:sz w:val="22"/>
        </w:rPr>
        <w:t> </w:t>
      </w:r>
      <w:r>
        <w:rPr>
          <w:sz w:val="22"/>
        </w:rPr>
        <w:t>after-rehabilitation</w:t>
      </w:r>
      <w:r>
        <w:rPr>
          <w:spacing w:val="37"/>
          <w:sz w:val="22"/>
        </w:rPr>
        <w:t> </w:t>
      </w:r>
      <w:r>
        <w:rPr>
          <w:sz w:val="22"/>
        </w:rPr>
        <w:t>appraisal</w:t>
      </w:r>
      <w:r>
        <w:rPr>
          <w:spacing w:val="35"/>
          <w:sz w:val="22"/>
        </w:rPr>
        <w:t> </w:t>
      </w:r>
      <w:r>
        <w:rPr>
          <w:sz w:val="22"/>
        </w:rPr>
        <w:t>of</w:t>
      </w:r>
      <w:r>
        <w:rPr>
          <w:spacing w:val="38"/>
          <w:sz w:val="22"/>
        </w:rPr>
        <w:t> </w:t>
      </w:r>
      <w:r>
        <w:rPr>
          <w:sz w:val="22"/>
        </w:rPr>
        <w:t>the</w:t>
      </w:r>
      <w:r>
        <w:rPr>
          <w:spacing w:val="36"/>
          <w:sz w:val="22"/>
        </w:rPr>
        <w:t> </w:t>
      </w:r>
      <w:r>
        <w:rPr>
          <w:sz w:val="22"/>
        </w:rPr>
        <w:t>property showing the appropriate value relative to the proposed loan.</w:t>
      </w:r>
    </w:p>
    <w:p>
      <w:pPr>
        <w:pStyle w:val="ListParagraph"/>
        <w:numPr>
          <w:ilvl w:val="1"/>
          <w:numId w:val="16"/>
        </w:numPr>
        <w:tabs>
          <w:tab w:pos="841" w:val="left" w:leader="none"/>
          <w:tab w:pos="842" w:val="left" w:leader="none"/>
        </w:tabs>
        <w:spacing w:line="237" w:lineRule="auto" w:before="3" w:after="0"/>
        <w:ind w:left="841" w:right="156" w:hanging="361"/>
        <w:jc w:val="left"/>
        <w:rPr>
          <w:rFonts w:ascii="Symbol" w:hAnsi="Symbol"/>
          <w:sz w:val="22"/>
        </w:rPr>
      </w:pPr>
      <w:r>
        <w:rPr>
          <w:sz w:val="22"/>
        </w:rPr>
        <w:t>Acceptable Commitment for Title Insurance Policy showing the City’s interest in the total amount of the City’s Deferred Payment Loan.</w:t>
      </w:r>
    </w:p>
    <w:p>
      <w:pPr>
        <w:pStyle w:val="ListParagraph"/>
        <w:numPr>
          <w:ilvl w:val="1"/>
          <w:numId w:val="16"/>
        </w:numPr>
        <w:tabs>
          <w:tab w:pos="841" w:val="left" w:leader="none"/>
          <w:tab w:pos="842" w:val="left" w:leader="none"/>
        </w:tabs>
        <w:spacing w:line="268" w:lineRule="exact" w:before="1" w:after="0"/>
        <w:ind w:left="841" w:right="0" w:hanging="361"/>
        <w:jc w:val="left"/>
        <w:rPr>
          <w:rFonts w:ascii="Symbol" w:hAnsi="Symbol"/>
          <w:sz w:val="22"/>
        </w:rPr>
      </w:pPr>
      <w:r>
        <w:rPr>
          <w:sz w:val="22"/>
        </w:rPr>
        <w:t>Credit</w:t>
      </w:r>
      <w:r>
        <w:rPr>
          <w:spacing w:val="-5"/>
          <w:sz w:val="22"/>
        </w:rPr>
        <w:t> </w:t>
      </w:r>
      <w:r>
        <w:rPr>
          <w:sz w:val="22"/>
        </w:rPr>
        <w:t>Reports</w:t>
      </w:r>
      <w:r>
        <w:rPr>
          <w:spacing w:val="-5"/>
          <w:sz w:val="22"/>
        </w:rPr>
        <w:t> </w:t>
      </w:r>
      <w:r>
        <w:rPr>
          <w:sz w:val="22"/>
        </w:rPr>
        <w:t>on</w:t>
      </w:r>
      <w:r>
        <w:rPr>
          <w:spacing w:val="-4"/>
          <w:sz w:val="22"/>
        </w:rPr>
        <w:t> </w:t>
      </w:r>
      <w:r>
        <w:rPr>
          <w:sz w:val="22"/>
        </w:rPr>
        <w:t>all</w:t>
      </w:r>
      <w:r>
        <w:rPr>
          <w:spacing w:val="-4"/>
          <w:sz w:val="22"/>
        </w:rPr>
        <w:t> </w:t>
      </w:r>
      <w:r>
        <w:rPr>
          <w:sz w:val="22"/>
        </w:rPr>
        <w:t>Borrowers</w:t>
      </w:r>
      <w:r>
        <w:rPr>
          <w:spacing w:val="-3"/>
          <w:sz w:val="22"/>
        </w:rPr>
        <w:t> </w:t>
      </w:r>
      <w:r>
        <w:rPr>
          <w:sz w:val="22"/>
        </w:rPr>
        <w:t>with</w:t>
      </w:r>
      <w:r>
        <w:rPr>
          <w:spacing w:val="-6"/>
          <w:sz w:val="22"/>
        </w:rPr>
        <w:t> </w:t>
      </w:r>
      <w:r>
        <w:rPr>
          <w:sz w:val="22"/>
        </w:rPr>
        <w:t>a</w:t>
      </w:r>
      <w:r>
        <w:rPr>
          <w:spacing w:val="-6"/>
          <w:sz w:val="22"/>
        </w:rPr>
        <w:t> </w:t>
      </w:r>
      <w:r>
        <w:rPr>
          <w:sz w:val="22"/>
        </w:rPr>
        <w:t>15%</w:t>
      </w:r>
      <w:r>
        <w:rPr>
          <w:spacing w:val="-5"/>
          <w:sz w:val="22"/>
        </w:rPr>
        <w:t> </w:t>
      </w:r>
      <w:r>
        <w:rPr>
          <w:sz w:val="22"/>
        </w:rPr>
        <w:t>or</w:t>
      </w:r>
      <w:r>
        <w:rPr>
          <w:spacing w:val="-5"/>
          <w:sz w:val="22"/>
        </w:rPr>
        <w:t> </w:t>
      </w:r>
      <w:r>
        <w:rPr>
          <w:sz w:val="22"/>
        </w:rPr>
        <w:t>greater</w:t>
      </w:r>
      <w:r>
        <w:rPr>
          <w:spacing w:val="-5"/>
          <w:sz w:val="22"/>
        </w:rPr>
        <w:t> </w:t>
      </w:r>
      <w:r>
        <w:rPr>
          <w:sz w:val="22"/>
        </w:rPr>
        <w:t>ownership</w:t>
      </w:r>
      <w:r>
        <w:rPr>
          <w:spacing w:val="-3"/>
          <w:sz w:val="22"/>
        </w:rPr>
        <w:t> </w:t>
      </w:r>
      <w:r>
        <w:rPr>
          <w:spacing w:val="-2"/>
          <w:sz w:val="22"/>
        </w:rPr>
        <w:t>interest.</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List</w:t>
      </w:r>
      <w:r>
        <w:rPr>
          <w:spacing w:val="-2"/>
          <w:sz w:val="22"/>
        </w:rPr>
        <w:t> </w:t>
      </w:r>
      <w:r>
        <w:rPr>
          <w:sz w:val="22"/>
        </w:rPr>
        <w:t>of</w:t>
      </w:r>
      <w:r>
        <w:rPr>
          <w:spacing w:val="-4"/>
          <w:sz w:val="22"/>
        </w:rPr>
        <w:t> </w:t>
      </w:r>
      <w:r>
        <w:rPr>
          <w:sz w:val="22"/>
        </w:rPr>
        <w:t>all</w:t>
      </w:r>
      <w:r>
        <w:rPr>
          <w:spacing w:val="-3"/>
          <w:sz w:val="22"/>
        </w:rPr>
        <w:t> </w:t>
      </w:r>
      <w:r>
        <w:rPr>
          <w:sz w:val="22"/>
        </w:rPr>
        <w:t>real</w:t>
      </w:r>
      <w:r>
        <w:rPr>
          <w:spacing w:val="-3"/>
          <w:sz w:val="22"/>
        </w:rPr>
        <w:t> </w:t>
      </w:r>
      <w:r>
        <w:rPr>
          <w:sz w:val="22"/>
        </w:rPr>
        <w:t>property</w:t>
      </w:r>
      <w:r>
        <w:rPr>
          <w:spacing w:val="-5"/>
          <w:sz w:val="22"/>
        </w:rPr>
        <w:t> </w:t>
      </w:r>
      <w:r>
        <w:rPr>
          <w:sz w:val="22"/>
        </w:rPr>
        <w:t>assets</w:t>
      </w:r>
      <w:r>
        <w:rPr>
          <w:spacing w:val="-5"/>
          <w:sz w:val="22"/>
        </w:rPr>
        <w:t> </w:t>
      </w:r>
      <w:r>
        <w:rPr>
          <w:sz w:val="22"/>
        </w:rPr>
        <w:t>and</w:t>
      </w:r>
      <w:r>
        <w:rPr>
          <w:spacing w:val="-5"/>
          <w:sz w:val="22"/>
        </w:rPr>
        <w:t> </w:t>
      </w:r>
      <w:r>
        <w:rPr>
          <w:sz w:val="22"/>
        </w:rPr>
        <w:t>their</w:t>
      </w:r>
      <w:r>
        <w:rPr>
          <w:spacing w:val="-1"/>
          <w:sz w:val="22"/>
        </w:rPr>
        <w:t> </w:t>
      </w:r>
      <w:r>
        <w:rPr>
          <w:spacing w:val="-2"/>
          <w:sz w:val="22"/>
        </w:rPr>
        <w:t>value.</w:t>
      </w:r>
    </w:p>
    <w:p>
      <w:pPr>
        <w:pStyle w:val="ListParagraph"/>
        <w:numPr>
          <w:ilvl w:val="1"/>
          <w:numId w:val="16"/>
        </w:numPr>
        <w:tabs>
          <w:tab w:pos="842" w:val="left" w:leader="none"/>
        </w:tabs>
        <w:spacing w:line="240" w:lineRule="auto" w:before="0" w:after="0"/>
        <w:ind w:left="841" w:right="154" w:hanging="361"/>
        <w:jc w:val="both"/>
        <w:rPr>
          <w:rFonts w:ascii="Symbol" w:hAnsi="Symbol"/>
          <w:sz w:val="22"/>
        </w:rPr>
      </w:pPr>
      <w:r>
        <w:rPr>
          <w:sz w:val="22"/>
        </w:rPr>
        <w:t>An acceptable bid from an approved contractor. The approved contractor must be licensed, and provide proof of appropriate insurance coverage, covering the total cost of the rehabilitation work and including, but not limited to worker’s compensation, general liability, and personal liability.</w:t>
      </w:r>
    </w:p>
    <w:p>
      <w:pPr>
        <w:pStyle w:val="ListParagraph"/>
        <w:numPr>
          <w:ilvl w:val="1"/>
          <w:numId w:val="16"/>
        </w:numPr>
        <w:tabs>
          <w:tab w:pos="842" w:val="left" w:leader="none"/>
        </w:tabs>
        <w:spacing w:line="268" w:lineRule="exact" w:before="0" w:after="0"/>
        <w:ind w:left="841" w:right="0" w:hanging="361"/>
        <w:jc w:val="both"/>
        <w:rPr>
          <w:rFonts w:ascii="Symbol" w:hAnsi="Symbol"/>
          <w:sz w:val="22"/>
        </w:rPr>
      </w:pPr>
      <w:r>
        <w:rPr>
          <w:sz w:val="22"/>
        </w:rPr>
        <w:t>Copy</w:t>
      </w:r>
      <w:r>
        <w:rPr>
          <w:spacing w:val="-5"/>
          <w:sz w:val="22"/>
        </w:rPr>
        <w:t> </w:t>
      </w:r>
      <w:r>
        <w:rPr>
          <w:sz w:val="22"/>
        </w:rPr>
        <w:t>of</w:t>
      </w:r>
      <w:r>
        <w:rPr>
          <w:spacing w:val="-5"/>
          <w:sz w:val="22"/>
        </w:rPr>
        <w:t> </w:t>
      </w:r>
      <w:r>
        <w:rPr>
          <w:sz w:val="22"/>
        </w:rPr>
        <w:t>the</w:t>
      </w:r>
      <w:r>
        <w:rPr>
          <w:spacing w:val="-6"/>
          <w:sz w:val="22"/>
        </w:rPr>
        <w:t> </w:t>
      </w:r>
      <w:r>
        <w:rPr>
          <w:sz w:val="22"/>
        </w:rPr>
        <w:t>insurance</w:t>
      </w:r>
      <w:r>
        <w:rPr>
          <w:spacing w:val="-6"/>
          <w:sz w:val="22"/>
        </w:rPr>
        <w:t> </w:t>
      </w:r>
      <w:r>
        <w:rPr>
          <w:sz w:val="22"/>
        </w:rPr>
        <w:t>policy</w:t>
      </w:r>
      <w:r>
        <w:rPr>
          <w:spacing w:val="-3"/>
          <w:sz w:val="22"/>
        </w:rPr>
        <w:t> </w:t>
      </w:r>
      <w:r>
        <w:rPr>
          <w:sz w:val="22"/>
        </w:rPr>
        <w:t>with</w:t>
      </w:r>
      <w:r>
        <w:rPr>
          <w:spacing w:val="-3"/>
          <w:sz w:val="22"/>
        </w:rPr>
        <w:t> </w:t>
      </w:r>
      <w:r>
        <w:rPr>
          <w:sz w:val="22"/>
        </w:rPr>
        <w:t>coverage</w:t>
      </w:r>
      <w:r>
        <w:rPr>
          <w:spacing w:val="-4"/>
          <w:sz w:val="22"/>
        </w:rPr>
        <w:t> </w:t>
      </w:r>
      <w:r>
        <w:rPr>
          <w:sz w:val="22"/>
        </w:rPr>
        <w:t>satisfactory</w:t>
      </w:r>
      <w:r>
        <w:rPr>
          <w:spacing w:val="-6"/>
          <w:sz w:val="22"/>
        </w:rPr>
        <w:t> </w:t>
      </w:r>
      <w:r>
        <w:rPr>
          <w:sz w:val="22"/>
        </w:rPr>
        <w:t>to</w:t>
      </w:r>
      <w:r>
        <w:rPr>
          <w:spacing w:val="-6"/>
          <w:sz w:val="22"/>
        </w:rPr>
        <w:t> </w:t>
      </w:r>
      <w:r>
        <w:rPr>
          <w:sz w:val="22"/>
        </w:rPr>
        <w:t>the</w:t>
      </w:r>
      <w:r>
        <w:rPr>
          <w:spacing w:val="-3"/>
          <w:sz w:val="22"/>
        </w:rPr>
        <w:t> </w:t>
      </w:r>
      <w:r>
        <w:rPr>
          <w:spacing w:val="-2"/>
          <w:sz w:val="22"/>
        </w:rPr>
        <w:t>City.</w:t>
      </w:r>
    </w:p>
    <w:p>
      <w:pPr>
        <w:pStyle w:val="BodyText"/>
        <w:spacing w:before="8"/>
        <w:rPr>
          <w:sz w:val="21"/>
        </w:rPr>
      </w:pPr>
    </w:p>
    <w:p>
      <w:pPr>
        <w:pStyle w:val="Heading5"/>
        <w:ind w:left="121"/>
        <w:jc w:val="left"/>
      </w:pPr>
      <w:r>
        <w:rPr/>
        <w:t>Permitted</w:t>
      </w:r>
      <w:r>
        <w:rPr>
          <w:spacing w:val="-11"/>
        </w:rPr>
        <w:t> </w:t>
      </w:r>
      <w:r>
        <w:rPr/>
        <w:t>Rehabilitation</w:t>
      </w:r>
      <w:r>
        <w:rPr>
          <w:spacing w:val="-7"/>
        </w:rPr>
        <w:t> </w:t>
      </w:r>
      <w:r>
        <w:rPr/>
        <w:t>Program</w:t>
      </w:r>
      <w:r>
        <w:rPr>
          <w:spacing w:val="-7"/>
        </w:rPr>
        <w:t> </w:t>
      </w:r>
      <w:r>
        <w:rPr>
          <w:spacing w:val="-4"/>
        </w:rPr>
        <w:t>Costs</w:t>
      </w:r>
    </w:p>
    <w:p>
      <w:pPr>
        <w:pStyle w:val="BodyText"/>
        <w:spacing w:before="51"/>
        <w:ind w:left="121"/>
      </w:pPr>
      <w:r>
        <w:rPr/>
        <w:t>CDBG</w:t>
      </w:r>
      <w:r>
        <w:rPr>
          <w:spacing w:val="-5"/>
        </w:rPr>
        <w:t> </w:t>
      </w:r>
      <w:r>
        <w:rPr/>
        <w:t>or</w:t>
      </w:r>
      <w:r>
        <w:rPr>
          <w:spacing w:val="-5"/>
        </w:rPr>
        <w:t> </w:t>
      </w:r>
      <w:r>
        <w:rPr/>
        <w:t>HOME</w:t>
      </w:r>
      <w:r>
        <w:rPr>
          <w:spacing w:val="-7"/>
        </w:rPr>
        <w:t> </w:t>
      </w:r>
      <w:r>
        <w:rPr/>
        <w:t>funds</w:t>
      </w:r>
      <w:r>
        <w:rPr>
          <w:spacing w:val="-3"/>
        </w:rPr>
        <w:t> </w:t>
      </w:r>
      <w:r>
        <w:rPr/>
        <w:t>will</w:t>
      </w:r>
      <w:r>
        <w:rPr>
          <w:spacing w:val="-4"/>
        </w:rPr>
        <w:t> </w:t>
      </w:r>
      <w:r>
        <w:rPr/>
        <w:t>be</w:t>
      </w:r>
      <w:r>
        <w:rPr>
          <w:spacing w:val="-4"/>
        </w:rPr>
        <w:t> </w:t>
      </w:r>
      <w:r>
        <w:rPr/>
        <w:t>used</w:t>
      </w:r>
      <w:r>
        <w:rPr>
          <w:spacing w:val="-5"/>
        </w:rPr>
        <w:t> </w:t>
      </w:r>
      <w:r>
        <w:rPr/>
        <w:t>to</w:t>
      </w:r>
      <w:r>
        <w:rPr>
          <w:spacing w:val="-6"/>
        </w:rPr>
        <w:t> </w:t>
      </w:r>
      <w:r>
        <w:rPr/>
        <w:t>support</w:t>
      </w:r>
      <w:r>
        <w:rPr>
          <w:spacing w:val="-4"/>
        </w:rPr>
        <w:t> </w:t>
      </w:r>
      <w:r>
        <w:rPr/>
        <w:t>only</w:t>
      </w:r>
      <w:r>
        <w:rPr>
          <w:spacing w:val="-3"/>
        </w:rPr>
        <w:t> </w:t>
      </w:r>
      <w:r>
        <w:rPr/>
        <w:t>the</w:t>
      </w:r>
      <w:r>
        <w:rPr>
          <w:spacing w:val="-6"/>
        </w:rPr>
        <w:t> </w:t>
      </w:r>
      <w:r>
        <w:rPr/>
        <w:t>following</w:t>
      </w:r>
      <w:r>
        <w:rPr>
          <w:spacing w:val="-4"/>
        </w:rPr>
        <w:t> </w:t>
      </w:r>
      <w:r>
        <w:rPr/>
        <w:t>eligible</w:t>
      </w:r>
      <w:r>
        <w:rPr>
          <w:spacing w:val="-4"/>
        </w:rPr>
        <w:t> </w:t>
      </w:r>
      <w:r>
        <w:rPr>
          <w:spacing w:val="-2"/>
        </w:rPr>
        <w:t>costs:</w:t>
      </w:r>
    </w:p>
    <w:p>
      <w:pPr>
        <w:spacing w:after="0"/>
        <w:sectPr>
          <w:pgSz w:w="12240" w:h="15840"/>
          <w:pgMar w:header="0" w:footer="1738" w:top="1360" w:bottom="1920" w:left="1320" w:right="1280"/>
        </w:sectPr>
      </w:pPr>
    </w:p>
    <w:p>
      <w:pPr>
        <w:pStyle w:val="ListParagraph"/>
        <w:numPr>
          <w:ilvl w:val="1"/>
          <w:numId w:val="16"/>
        </w:numPr>
        <w:tabs>
          <w:tab w:pos="841" w:val="left" w:leader="none"/>
        </w:tabs>
        <w:spacing w:line="237" w:lineRule="auto" w:before="84" w:after="0"/>
        <w:ind w:left="840" w:right="158" w:hanging="361"/>
        <w:jc w:val="both"/>
        <w:rPr>
          <w:rFonts w:ascii="Symbol" w:hAnsi="Symbol"/>
          <w:sz w:val="22"/>
        </w:rPr>
      </w:pPr>
      <w:r>
        <w:rPr>
          <w:sz w:val="22"/>
        </w:rPr>
        <w:t>Actual</w:t>
      </w:r>
      <w:r>
        <w:rPr>
          <w:spacing w:val="-8"/>
          <w:sz w:val="22"/>
        </w:rPr>
        <w:t> </w:t>
      </w:r>
      <w:r>
        <w:rPr>
          <w:sz w:val="22"/>
        </w:rPr>
        <w:t>rehabilitation</w:t>
      </w:r>
      <w:r>
        <w:rPr>
          <w:spacing w:val="-7"/>
          <w:sz w:val="22"/>
        </w:rPr>
        <w:t> </w:t>
      </w:r>
      <w:r>
        <w:rPr>
          <w:sz w:val="22"/>
        </w:rPr>
        <w:t>costs</w:t>
      </w:r>
      <w:r>
        <w:rPr>
          <w:spacing w:val="-7"/>
          <w:sz w:val="22"/>
        </w:rPr>
        <w:t> </w:t>
      </w:r>
      <w:r>
        <w:rPr>
          <w:sz w:val="22"/>
        </w:rPr>
        <w:t>necessary</w:t>
      </w:r>
      <w:r>
        <w:rPr>
          <w:spacing w:val="-9"/>
          <w:sz w:val="22"/>
        </w:rPr>
        <w:t> </w:t>
      </w:r>
      <w:r>
        <w:rPr>
          <w:sz w:val="22"/>
        </w:rPr>
        <w:t>to</w:t>
      </w:r>
      <w:r>
        <w:rPr>
          <w:spacing w:val="-7"/>
          <w:sz w:val="22"/>
        </w:rPr>
        <w:t> </w:t>
      </w:r>
      <w:r>
        <w:rPr>
          <w:sz w:val="22"/>
        </w:rPr>
        <w:t>correct</w:t>
      </w:r>
      <w:r>
        <w:rPr>
          <w:spacing w:val="-6"/>
          <w:sz w:val="22"/>
        </w:rPr>
        <w:t> </w:t>
      </w:r>
      <w:r>
        <w:rPr>
          <w:sz w:val="22"/>
        </w:rPr>
        <w:t>substandard</w:t>
      </w:r>
      <w:r>
        <w:rPr>
          <w:spacing w:val="-10"/>
          <w:sz w:val="22"/>
        </w:rPr>
        <w:t> </w:t>
      </w:r>
      <w:r>
        <w:rPr>
          <w:sz w:val="22"/>
        </w:rPr>
        <w:t>conditions</w:t>
      </w:r>
      <w:r>
        <w:rPr>
          <w:spacing w:val="-7"/>
          <w:sz w:val="22"/>
        </w:rPr>
        <w:t> </w:t>
      </w:r>
      <w:r>
        <w:rPr>
          <w:sz w:val="22"/>
        </w:rPr>
        <w:t>to</w:t>
      </w:r>
      <w:r>
        <w:rPr>
          <w:spacing w:val="-10"/>
          <w:sz w:val="22"/>
        </w:rPr>
        <w:t> </w:t>
      </w:r>
      <w:r>
        <w:rPr>
          <w:sz w:val="22"/>
        </w:rPr>
        <w:t>comply</w:t>
      </w:r>
      <w:r>
        <w:rPr>
          <w:spacing w:val="-7"/>
          <w:sz w:val="22"/>
        </w:rPr>
        <w:t> </w:t>
      </w:r>
      <w:r>
        <w:rPr>
          <w:sz w:val="22"/>
        </w:rPr>
        <w:t>with</w:t>
      </w:r>
      <w:r>
        <w:rPr>
          <w:spacing w:val="-7"/>
          <w:sz w:val="22"/>
        </w:rPr>
        <w:t> </w:t>
      </w:r>
      <w:r>
        <w:rPr>
          <w:sz w:val="22"/>
        </w:rPr>
        <w:t>the City of Dallas building Codes, federal environmental conditions standards, and federal lead-based paint abatement requirements.</w:t>
      </w:r>
    </w:p>
    <w:p>
      <w:pPr>
        <w:pStyle w:val="ListParagraph"/>
        <w:numPr>
          <w:ilvl w:val="1"/>
          <w:numId w:val="16"/>
        </w:numPr>
        <w:tabs>
          <w:tab w:pos="841" w:val="left" w:leader="none"/>
        </w:tabs>
        <w:spacing w:line="237" w:lineRule="auto" w:before="5" w:after="0"/>
        <w:ind w:left="840" w:right="156" w:hanging="361"/>
        <w:jc w:val="both"/>
        <w:rPr>
          <w:rFonts w:ascii="Symbol" w:hAnsi="Symbol"/>
          <w:sz w:val="22"/>
        </w:rPr>
      </w:pPr>
      <w:r>
        <w:rPr>
          <w:sz w:val="22"/>
        </w:rPr>
        <w:t>Essential</w:t>
      </w:r>
      <w:r>
        <w:rPr>
          <w:spacing w:val="-16"/>
          <w:sz w:val="22"/>
        </w:rPr>
        <w:t> </w:t>
      </w:r>
      <w:r>
        <w:rPr>
          <w:sz w:val="22"/>
        </w:rPr>
        <w:t>improvements</w:t>
      </w:r>
      <w:r>
        <w:rPr>
          <w:spacing w:val="-15"/>
          <w:sz w:val="22"/>
        </w:rPr>
        <w:t> </w:t>
      </w:r>
      <w:r>
        <w:rPr>
          <w:sz w:val="22"/>
        </w:rPr>
        <w:t>including</w:t>
      </w:r>
      <w:r>
        <w:rPr>
          <w:spacing w:val="-15"/>
          <w:sz w:val="22"/>
        </w:rPr>
        <w:t> </w:t>
      </w:r>
      <w:r>
        <w:rPr>
          <w:sz w:val="22"/>
        </w:rPr>
        <w:t>energy</w:t>
      </w:r>
      <w:r>
        <w:rPr>
          <w:spacing w:val="-16"/>
          <w:sz w:val="22"/>
        </w:rPr>
        <w:t> </w:t>
      </w:r>
      <w:r>
        <w:rPr>
          <w:sz w:val="22"/>
        </w:rPr>
        <w:t>conservation-related</w:t>
      </w:r>
      <w:r>
        <w:rPr>
          <w:spacing w:val="-15"/>
          <w:sz w:val="22"/>
        </w:rPr>
        <w:t> </w:t>
      </w:r>
      <w:r>
        <w:rPr>
          <w:sz w:val="22"/>
        </w:rPr>
        <w:t>repairs,</w:t>
      </w:r>
      <w:r>
        <w:rPr>
          <w:spacing w:val="-15"/>
          <w:sz w:val="22"/>
        </w:rPr>
        <w:t> </w:t>
      </w:r>
      <w:r>
        <w:rPr>
          <w:sz w:val="22"/>
        </w:rPr>
        <w:t>and</w:t>
      </w:r>
      <w:r>
        <w:rPr>
          <w:spacing w:val="-15"/>
          <w:sz w:val="22"/>
        </w:rPr>
        <w:t> </w:t>
      </w:r>
      <w:r>
        <w:rPr>
          <w:sz w:val="22"/>
        </w:rPr>
        <w:t>improvements to permit use of the rehabilitated units by persons with disabilities.</w:t>
      </w:r>
    </w:p>
    <w:p>
      <w:pPr>
        <w:pStyle w:val="ListParagraph"/>
        <w:numPr>
          <w:ilvl w:val="1"/>
          <w:numId w:val="16"/>
        </w:numPr>
        <w:tabs>
          <w:tab w:pos="841" w:val="left" w:leader="none"/>
        </w:tabs>
        <w:spacing w:line="269" w:lineRule="exact" w:before="1" w:after="0"/>
        <w:ind w:left="840" w:right="0" w:hanging="361"/>
        <w:jc w:val="both"/>
        <w:rPr>
          <w:rFonts w:ascii="Symbol" w:hAnsi="Symbol"/>
          <w:sz w:val="22"/>
        </w:rPr>
      </w:pPr>
      <w:r>
        <w:rPr>
          <w:sz w:val="22"/>
        </w:rPr>
        <w:t>Repairs</w:t>
      </w:r>
      <w:r>
        <w:rPr>
          <w:spacing w:val="-4"/>
          <w:sz w:val="22"/>
        </w:rPr>
        <w:t> </w:t>
      </w:r>
      <w:r>
        <w:rPr>
          <w:sz w:val="22"/>
        </w:rPr>
        <w:t>to</w:t>
      </w:r>
      <w:r>
        <w:rPr>
          <w:spacing w:val="-6"/>
          <w:sz w:val="22"/>
        </w:rPr>
        <w:t> </w:t>
      </w:r>
      <w:r>
        <w:rPr>
          <w:sz w:val="22"/>
        </w:rPr>
        <w:t>major</w:t>
      </w:r>
      <w:r>
        <w:rPr>
          <w:spacing w:val="-4"/>
          <w:sz w:val="22"/>
        </w:rPr>
        <w:t> </w:t>
      </w:r>
      <w:r>
        <w:rPr>
          <w:sz w:val="22"/>
        </w:rPr>
        <w:t>building</w:t>
      </w:r>
      <w:r>
        <w:rPr>
          <w:spacing w:val="-5"/>
          <w:sz w:val="22"/>
        </w:rPr>
        <w:t> </w:t>
      </w:r>
      <w:r>
        <w:rPr>
          <w:sz w:val="22"/>
        </w:rPr>
        <w:t>system</w:t>
      </w:r>
      <w:r>
        <w:rPr>
          <w:spacing w:val="-4"/>
          <w:sz w:val="22"/>
        </w:rPr>
        <w:t> </w:t>
      </w:r>
      <w:r>
        <w:rPr>
          <w:sz w:val="22"/>
        </w:rPr>
        <w:t>in</w:t>
      </w:r>
      <w:r>
        <w:rPr>
          <w:spacing w:val="-5"/>
          <w:sz w:val="22"/>
        </w:rPr>
        <w:t> </w:t>
      </w:r>
      <w:r>
        <w:rPr>
          <w:sz w:val="22"/>
        </w:rPr>
        <w:t>danger</w:t>
      </w:r>
      <w:r>
        <w:rPr>
          <w:spacing w:val="-5"/>
          <w:sz w:val="22"/>
        </w:rPr>
        <w:t> </w:t>
      </w:r>
      <w:r>
        <w:rPr>
          <w:sz w:val="22"/>
        </w:rPr>
        <w:t>of</w:t>
      </w:r>
      <w:r>
        <w:rPr>
          <w:spacing w:val="-4"/>
          <w:sz w:val="22"/>
        </w:rPr>
        <w:t> </w:t>
      </w:r>
      <w:r>
        <w:rPr>
          <w:spacing w:val="-2"/>
          <w:sz w:val="22"/>
        </w:rPr>
        <w:t>failure.</w:t>
      </w:r>
    </w:p>
    <w:p>
      <w:pPr>
        <w:pStyle w:val="ListParagraph"/>
        <w:numPr>
          <w:ilvl w:val="1"/>
          <w:numId w:val="16"/>
        </w:numPr>
        <w:tabs>
          <w:tab w:pos="841" w:val="left" w:leader="none"/>
        </w:tabs>
        <w:spacing w:line="237" w:lineRule="auto" w:before="2" w:after="0"/>
        <w:ind w:left="840" w:right="157" w:hanging="361"/>
        <w:jc w:val="both"/>
        <w:rPr>
          <w:rFonts w:ascii="Symbol" w:hAnsi="Symbol"/>
          <w:sz w:val="22"/>
        </w:rPr>
      </w:pPr>
      <w:r>
        <w:rPr/>
        <w:pict>
          <v:shape style="position:absolute;margin-left:90.065002pt;margin-top:19.002504pt;width:395.3pt;height:419pt;mso-position-horizontal-relative:page;mso-position-vertical-relative:paragraph;z-index:-17705984" id="docshape77" coordorigin="1801,380" coordsize="7906,8380" path="m4498,7644l4492,7570,4477,7492,4455,7409,4432,7340,4403,7268,4367,7193,4325,7115,4276,7035,4237,6976,4200,6925,4200,7610,4197,7667,4186,7724,4167,7781,4138,7841,4097,7903,4044,7969,3979,8039,3674,8344,2216,6887,2517,6586,2598,6510,2672,6450,2740,6406,2801,6380,2868,6365,2941,6361,3020,6368,3105,6386,3195,6415,3255,6441,3317,6473,3380,6512,3446,6557,3514,6608,3584,6666,3656,6731,3729,6802,3789,6864,3845,6924,3896,6983,3943,7041,3986,7098,4025,7153,4059,7207,4101,7281,4136,7354,4163,7423,4183,7490,4196,7554,4200,7610,4200,6925,4194,6916,4148,6856,4098,6795,4045,6734,3989,6673,3929,6611,3865,6549,3801,6490,3737,6436,3673,6384,3643,6361,3609,6336,3546,6292,3482,6250,3419,6212,3346,6175,3274,6142,3203,6115,3132,6093,3062,6076,2992,6064,2923,6057,2850,6055,2779,6062,2709,6077,2642,6100,2577,6130,2528,6159,2476,6196,2420,6241,2359,6295,2294,6358,1801,6851,3710,8759,4124,8344,4226,8243,4287,8177,4341,8112,4386,8046,4424,7980,4454,7913,4476,7847,4491,7780,4498,7712,4498,7644xm6418,6051l6056,5923,5650,5780,5561,5751,5475,5727,5393,5708,5365,5703,5314,5694,5239,5684,5193,5682,5143,5685,5089,5692,5030,5703,5073,5633,5109,5564,5136,5494,5154,5425,5164,5357,5165,5289,5157,5221,5139,5143,5111,5067,5075,4992,5030,4920,4976,4849,4956,4826,4913,4780,4872,4742,4872,5299,4868,5355,4854,5410,4830,5466,4794,5525,4747,5586,4687,5649,4280,6056,3649,5425,4102,4972,4166,4915,4229,4872,4293,4843,4358,4827,4422,4826,4501,4841,4577,4871,4649,4916,4718,4975,4761,5023,4797,5074,4827,5127,4851,5184,4867,5242,4872,5299,4872,4742,4849,4720,4782,4668,4713,4623,4641,4584,4566,4552,4474,4524,4386,4511,4303,4513,4225,4529,4163,4554,4098,4590,4030,4638,3958,4698,3883,4769,3248,5404,5157,7312,5346,7123,4499,6275,4718,6056,4753,6022,4783,5995,4810,5974,4833,5959,4863,5946,4896,5935,4932,5927,4971,5923,5014,5923,5066,5928,5125,5939,5194,5955,5256,5972,5328,5993,5407,6018,5496,6047,6180,6289,6418,6051xm7780,4688l7415,4493,6555,4039,6555,4346,6070,4831,6030,4760,5989,4688,5748,4258,5708,4186,5668,4114,5629,4049,5590,3984,5550,3920,5509,3857,5467,3795,5424,3734,5380,3673,5436,3709,5498,3746,5564,3786,5635,3828,5792,3919,6555,4346,6555,4039,5862,3673,5286,3366,5082,3570,5277,3921,5316,3991,5701,4688,6207,5607,6441,6028,6642,5827,6565,5693,6298,5225,6221,5092,6481,4831,6820,4493,7173,4688,7565,4904,7780,4688xm8131,4338l7264,3471,7936,2799,7711,2574,7039,3246,6448,2655,7224,1879,6999,1653,6033,2619,7941,4527,8131,4338xm9707,2762l8024,1079,8497,605,8272,380,7138,1515,7363,1740,7834,1268,9517,2951,9707,2762xe" filled="true" fillcolor="#c0c0c0" stroked="false">
            <v:path arrowok="t"/>
            <v:fill opacity="32896f" type="solid"/>
            <w10:wrap type="none"/>
          </v:shape>
        </w:pict>
      </w:r>
      <w:r>
        <w:rPr>
          <w:sz w:val="22"/>
        </w:rPr>
        <w:t>Costs, generated by the public sector, for processing and closing the financing for the project, such as: credit reports, fees for title evidence, fees for recordation and filing of legal documents, attorney’s fees, permits, and appraisal fees.</w:t>
      </w:r>
    </w:p>
    <w:p>
      <w:pPr>
        <w:pStyle w:val="ListParagraph"/>
        <w:numPr>
          <w:ilvl w:val="1"/>
          <w:numId w:val="16"/>
        </w:numPr>
        <w:tabs>
          <w:tab w:pos="841" w:val="left" w:leader="none"/>
        </w:tabs>
        <w:spacing w:line="237" w:lineRule="auto" w:before="5" w:after="0"/>
        <w:ind w:left="840" w:right="159" w:hanging="361"/>
        <w:jc w:val="both"/>
        <w:rPr>
          <w:rFonts w:ascii="Symbol" w:hAnsi="Symbol"/>
          <w:sz w:val="22"/>
        </w:rPr>
      </w:pPr>
      <w:r>
        <w:rPr>
          <w:sz w:val="22"/>
        </w:rPr>
        <w:t>Cost for the relocation of tenants currently residing in the property at the date of initial application, who must be temporarily or permanently displaced as a direct result of the rehabilitation activity.</w:t>
      </w:r>
    </w:p>
    <w:p>
      <w:pPr>
        <w:pStyle w:val="BodyText"/>
        <w:spacing w:before="1"/>
      </w:pPr>
    </w:p>
    <w:p>
      <w:pPr>
        <w:pStyle w:val="Heading5"/>
        <w:spacing w:before="1"/>
      </w:pPr>
      <w:r>
        <w:rPr/>
        <w:t>Involuntary</w:t>
      </w:r>
      <w:r>
        <w:rPr>
          <w:spacing w:val="-6"/>
        </w:rPr>
        <w:t> </w:t>
      </w:r>
      <w:r>
        <w:rPr>
          <w:spacing w:val="-2"/>
        </w:rPr>
        <w:t>Displacement</w:t>
      </w:r>
    </w:p>
    <w:p>
      <w:pPr>
        <w:pStyle w:val="BodyText"/>
        <w:spacing w:before="51"/>
        <w:ind w:left="120" w:right="154"/>
        <w:jc w:val="both"/>
      </w:pPr>
      <w:r>
        <w:rPr/>
        <w:t>The City prohibits involuntary displacement of residents from developments receiving funding. If a</w:t>
      </w:r>
      <w:r>
        <w:rPr>
          <w:spacing w:val="-7"/>
        </w:rPr>
        <w:t> </w:t>
      </w:r>
      <w:r>
        <w:rPr/>
        <w:t>development</w:t>
      </w:r>
      <w:r>
        <w:rPr>
          <w:spacing w:val="-8"/>
        </w:rPr>
        <w:t> </w:t>
      </w:r>
      <w:r>
        <w:rPr/>
        <w:t>receives</w:t>
      </w:r>
      <w:r>
        <w:rPr>
          <w:spacing w:val="-9"/>
        </w:rPr>
        <w:t> </w:t>
      </w:r>
      <w:r>
        <w:rPr/>
        <w:t>federal</w:t>
      </w:r>
      <w:r>
        <w:rPr>
          <w:spacing w:val="-8"/>
        </w:rPr>
        <w:t> </w:t>
      </w:r>
      <w:r>
        <w:rPr/>
        <w:t>funds,</w:t>
      </w:r>
      <w:r>
        <w:rPr>
          <w:spacing w:val="-8"/>
        </w:rPr>
        <w:t> </w:t>
      </w:r>
      <w:r>
        <w:rPr/>
        <w:t>the</w:t>
      </w:r>
      <w:r>
        <w:rPr>
          <w:spacing w:val="-10"/>
        </w:rPr>
        <w:t> </w:t>
      </w:r>
      <w:r>
        <w:rPr/>
        <w:t>Uniform</w:t>
      </w:r>
      <w:r>
        <w:rPr>
          <w:spacing w:val="-9"/>
        </w:rPr>
        <w:t> </w:t>
      </w:r>
      <w:r>
        <w:rPr/>
        <w:t>Relocation</w:t>
      </w:r>
      <w:r>
        <w:rPr>
          <w:spacing w:val="-7"/>
        </w:rPr>
        <w:t> </w:t>
      </w:r>
      <w:r>
        <w:rPr/>
        <w:t>Act</w:t>
      </w:r>
      <w:r>
        <w:rPr>
          <w:spacing w:val="-8"/>
        </w:rPr>
        <w:t> </w:t>
      </w:r>
      <w:r>
        <w:rPr/>
        <w:t>provisions</w:t>
      </w:r>
      <w:r>
        <w:rPr>
          <w:spacing w:val="-7"/>
        </w:rPr>
        <w:t> </w:t>
      </w:r>
      <w:r>
        <w:rPr/>
        <w:t>will</w:t>
      </w:r>
      <w:r>
        <w:rPr>
          <w:spacing w:val="-8"/>
        </w:rPr>
        <w:t> </w:t>
      </w:r>
      <w:r>
        <w:rPr/>
        <w:t>apply</w:t>
      </w:r>
      <w:r>
        <w:rPr>
          <w:spacing w:val="-6"/>
        </w:rPr>
        <w:t> </w:t>
      </w:r>
      <w:r>
        <w:rPr/>
        <w:t>as</w:t>
      </w:r>
      <w:r>
        <w:rPr>
          <w:spacing w:val="-7"/>
        </w:rPr>
        <w:t> </w:t>
      </w:r>
      <w:r>
        <w:rPr/>
        <w:t>well</w:t>
      </w:r>
      <w:r>
        <w:rPr>
          <w:spacing w:val="-8"/>
        </w:rPr>
        <w:t> </w:t>
      </w:r>
      <w:r>
        <w:rPr/>
        <w:t>as other applicable laws.</w:t>
      </w:r>
    </w:p>
    <w:p>
      <w:pPr>
        <w:pStyle w:val="BodyText"/>
        <w:spacing w:before="10"/>
        <w:rPr>
          <w:sz w:val="21"/>
        </w:rPr>
      </w:pPr>
    </w:p>
    <w:p>
      <w:pPr>
        <w:pStyle w:val="Heading5"/>
      </w:pPr>
      <w:r>
        <w:rPr/>
        <w:t>Eligible</w:t>
      </w:r>
      <w:r>
        <w:rPr>
          <w:spacing w:val="-5"/>
        </w:rPr>
        <w:t> </w:t>
      </w:r>
      <w:r>
        <w:rPr>
          <w:spacing w:val="-2"/>
        </w:rPr>
        <w:t>Costs</w:t>
      </w:r>
    </w:p>
    <w:p>
      <w:pPr>
        <w:pStyle w:val="BodyText"/>
        <w:spacing w:before="52"/>
        <w:ind w:left="120"/>
        <w:jc w:val="both"/>
      </w:pPr>
      <w:r>
        <w:rPr/>
        <w:t>The</w:t>
      </w:r>
      <w:r>
        <w:rPr>
          <w:spacing w:val="-3"/>
        </w:rPr>
        <w:t> </w:t>
      </w:r>
      <w:r>
        <w:rPr/>
        <w:t>following</w:t>
      </w:r>
      <w:r>
        <w:rPr>
          <w:spacing w:val="-4"/>
        </w:rPr>
        <w:t> </w:t>
      </w:r>
      <w:r>
        <w:rPr/>
        <w:t>costs</w:t>
      </w:r>
      <w:r>
        <w:rPr>
          <w:spacing w:val="-8"/>
        </w:rPr>
        <w:t> </w:t>
      </w:r>
      <w:r>
        <w:rPr/>
        <w:t>may</w:t>
      </w:r>
      <w:r>
        <w:rPr>
          <w:spacing w:val="-6"/>
        </w:rPr>
        <w:t> </w:t>
      </w:r>
      <w:r>
        <w:rPr/>
        <w:t>be</w:t>
      </w:r>
      <w:r>
        <w:rPr>
          <w:spacing w:val="-4"/>
        </w:rPr>
        <w:t> </w:t>
      </w:r>
      <w:r>
        <w:rPr/>
        <w:t>reimbursed</w:t>
      </w:r>
      <w:r>
        <w:rPr>
          <w:spacing w:val="-6"/>
        </w:rPr>
        <w:t> </w:t>
      </w:r>
      <w:r>
        <w:rPr/>
        <w:t>with</w:t>
      </w:r>
      <w:r>
        <w:rPr>
          <w:spacing w:val="-4"/>
        </w:rPr>
        <w:t> </w:t>
      </w:r>
      <w:r>
        <w:rPr/>
        <w:t>HOME</w:t>
      </w:r>
      <w:r>
        <w:rPr>
          <w:spacing w:val="-3"/>
        </w:rPr>
        <w:t> </w:t>
      </w:r>
      <w:r>
        <w:rPr>
          <w:spacing w:val="-2"/>
        </w:rPr>
        <w:t>funds:</w:t>
      </w:r>
    </w:p>
    <w:p>
      <w:pPr>
        <w:pStyle w:val="BodyText"/>
        <w:rPr>
          <w:sz w:val="20"/>
        </w:rPr>
      </w:pPr>
    </w:p>
    <w:p>
      <w:pPr>
        <w:pStyle w:val="BodyText"/>
        <w:rPr>
          <w:sz w:val="20"/>
        </w:rPr>
      </w:pPr>
    </w:p>
    <w:p>
      <w:pPr>
        <w:pStyle w:val="BodyText"/>
        <w:rPr>
          <w:sz w:val="20"/>
        </w:rPr>
      </w:pPr>
    </w:p>
    <w:p>
      <w:pPr>
        <w:pStyle w:val="BodyText"/>
        <w:spacing w:before="1"/>
        <w:rPr>
          <w:sz w:val="28"/>
        </w:rPr>
      </w:pPr>
    </w:p>
    <w:tbl>
      <w:tblPr>
        <w:tblW w:w="0" w:type="auto"/>
        <w:jc w:val="left"/>
        <w:tblInd w:w="5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135"/>
        <w:gridCol w:w="4411"/>
      </w:tblGrid>
      <w:tr>
        <w:trPr>
          <w:trHeight w:val="251" w:hRule="atLeast"/>
        </w:trPr>
        <w:tc>
          <w:tcPr>
            <w:tcW w:w="4135" w:type="dxa"/>
          </w:tcPr>
          <w:p>
            <w:pPr>
              <w:pStyle w:val="TableParagraph"/>
              <w:spacing w:line="232" w:lineRule="exact"/>
              <w:jc w:val="left"/>
              <w:rPr>
                <w:b/>
                <w:sz w:val="22"/>
              </w:rPr>
            </w:pPr>
            <w:r>
              <w:rPr>
                <w:b/>
                <w:sz w:val="22"/>
              </w:rPr>
              <w:t>Hard</w:t>
            </w:r>
            <w:r>
              <w:rPr>
                <w:b/>
                <w:spacing w:val="-2"/>
                <w:sz w:val="22"/>
              </w:rPr>
              <w:t> Costs</w:t>
            </w:r>
          </w:p>
        </w:tc>
        <w:tc>
          <w:tcPr>
            <w:tcW w:w="4411" w:type="dxa"/>
          </w:tcPr>
          <w:p>
            <w:pPr>
              <w:pStyle w:val="TableParagraph"/>
              <w:spacing w:line="232" w:lineRule="exact"/>
              <w:ind w:left="108"/>
              <w:jc w:val="left"/>
              <w:rPr>
                <w:b/>
                <w:sz w:val="22"/>
              </w:rPr>
            </w:pPr>
            <w:r>
              <w:rPr>
                <w:b/>
                <w:sz w:val="22"/>
              </w:rPr>
              <w:t>Soft </w:t>
            </w:r>
            <w:r>
              <w:rPr>
                <w:b/>
                <w:spacing w:val="-2"/>
                <w:sz w:val="22"/>
              </w:rPr>
              <w:t>Costs</w:t>
            </w:r>
          </w:p>
        </w:tc>
      </w:tr>
      <w:tr>
        <w:trPr>
          <w:trHeight w:val="253" w:hRule="atLeast"/>
        </w:trPr>
        <w:tc>
          <w:tcPr>
            <w:tcW w:w="4135" w:type="dxa"/>
          </w:tcPr>
          <w:p>
            <w:pPr>
              <w:pStyle w:val="TableParagraph"/>
              <w:spacing w:line="232" w:lineRule="exact" w:before="2"/>
              <w:jc w:val="left"/>
              <w:rPr>
                <w:sz w:val="22"/>
              </w:rPr>
            </w:pPr>
            <w:r>
              <w:rPr>
                <w:sz w:val="22"/>
              </w:rPr>
              <w:t>Land</w:t>
            </w:r>
            <w:r>
              <w:rPr>
                <w:spacing w:val="-5"/>
                <w:sz w:val="22"/>
              </w:rPr>
              <w:t> </w:t>
            </w:r>
            <w:r>
              <w:rPr>
                <w:sz w:val="22"/>
              </w:rPr>
              <w:t>and</w:t>
            </w:r>
            <w:r>
              <w:rPr>
                <w:spacing w:val="-4"/>
                <w:sz w:val="22"/>
              </w:rPr>
              <w:t> </w:t>
            </w:r>
            <w:r>
              <w:rPr>
                <w:sz w:val="22"/>
              </w:rPr>
              <w:t>Structure</w:t>
            </w:r>
            <w:r>
              <w:rPr>
                <w:spacing w:val="-5"/>
                <w:sz w:val="22"/>
              </w:rPr>
              <w:t> </w:t>
            </w:r>
            <w:r>
              <w:rPr>
                <w:spacing w:val="-2"/>
                <w:sz w:val="22"/>
              </w:rPr>
              <w:t>Acquisition</w:t>
            </w:r>
          </w:p>
        </w:tc>
        <w:tc>
          <w:tcPr>
            <w:tcW w:w="4411" w:type="dxa"/>
          </w:tcPr>
          <w:p>
            <w:pPr>
              <w:pStyle w:val="TableParagraph"/>
              <w:spacing w:line="232" w:lineRule="exact" w:before="2"/>
              <w:ind w:left="108"/>
              <w:jc w:val="left"/>
              <w:rPr>
                <w:sz w:val="22"/>
              </w:rPr>
            </w:pPr>
            <w:r>
              <w:rPr>
                <w:sz w:val="22"/>
              </w:rPr>
              <w:t>Financing</w:t>
            </w:r>
            <w:r>
              <w:rPr>
                <w:spacing w:val="-5"/>
                <w:sz w:val="22"/>
              </w:rPr>
              <w:t> </w:t>
            </w:r>
            <w:r>
              <w:rPr>
                <w:sz w:val="22"/>
              </w:rPr>
              <w:t>Fees</w:t>
            </w:r>
            <w:r>
              <w:rPr>
                <w:spacing w:val="-4"/>
                <w:sz w:val="22"/>
              </w:rPr>
              <w:t> </w:t>
            </w:r>
            <w:r>
              <w:rPr>
                <w:sz w:val="22"/>
              </w:rPr>
              <w:t>&amp;</w:t>
            </w:r>
            <w:r>
              <w:rPr>
                <w:spacing w:val="-5"/>
                <w:sz w:val="22"/>
              </w:rPr>
              <w:t> </w:t>
            </w:r>
            <w:r>
              <w:rPr>
                <w:sz w:val="22"/>
              </w:rPr>
              <w:t>credit</w:t>
            </w:r>
            <w:r>
              <w:rPr>
                <w:spacing w:val="-4"/>
                <w:sz w:val="22"/>
              </w:rPr>
              <w:t> </w:t>
            </w:r>
            <w:r>
              <w:rPr>
                <w:spacing w:val="-2"/>
                <w:sz w:val="22"/>
              </w:rPr>
              <w:t>reports</w:t>
            </w:r>
          </w:p>
        </w:tc>
      </w:tr>
      <w:tr>
        <w:trPr>
          <w:trHeight w:val="505" w:hRule="atLeast"/>
        </w:trPr>
        <w:tc>
          <w:tcPr>
            <w:tcW w:w="4135" w:type="dxa"/>
          </w:tcPr>
          <w:p>
            <w:pPr>
              <w:pStyle w:val="TableParagraph"/>
              <w:spacing w:line="254" w:lineRule="exact"/>
              <w:ind w:right="505"/>
              <w:jc w:val="left"/>
              <w:rPr>
                <w:sz w:val="22"/>
              </w:rPr>
            </w:pPr>
            <w:r>
              <w:rPr>
                <w:sz w:val="22"/>
              </w:rPr>
              <w:t>Site</w:t>
            </w:r>
            <w:r>
              <w:rPr>
                <w:spacing w:val="-16"/>
                <w:sz w:val="22"/>
              </w:rPr>
              <w:t> </w:t>
            </w:r>
            <w:r>
              <w:rPr>
                <w:sz w:val="22"/>
              </w:rPr>
              <w:t>preparation,</w:t>
            </w:r>
            <w:r>
              <w:rPr>
                <w:spacing w:val="-15"/>
                <w:sz w:val="22"/>
              </w:rPr>
              <w:t> </w:t>
            </w:r>
            <w:r>
              <w:rPr>
                <w:sz w:val="22"/>
              </w:rPr>
              <w:t>including </w:t>
            </w:r>
            <w:r>
              <w:rPr>
                <w:spacing w:val="-2"/>
                <w:sz w:val="22"/>
              </w:rPr>
              <w:t>Demolition</w:t>
            </w:r>
          </w:p>
        </w:tc>
        <w:tc>
          <w:tcPr>
            <w:tcW w:w="4411" w:type="dxa"/>
          </w:tcPr>
          <w:p>
            <w:pPr>
              <w:pStyle w:val="TableParagraph"/>
              <w:spacing w:line="254" w:lineRule="exact"/>
              <w:ind w:left="108"/>
              <w:jc w:val="left"/>
              <w:rPr>
                <w:sz w:val="22"/>
              </w:rPr>
            </w:pPr>
            <w:r>
              <w:rPr>
                <w:sz w:val="22"/>
              </w:rPr>
              <w:t>Affirmative</w:t>
            </w:r>
            <w:r>
              <w:rPr>
                <w:spacing w:val="80"/>
                <w:sz w:val="22"/>
              </w:rPr>
              <w:t> </w:t>
            </w:r>
            <w:r>
              <w:rPr>
                <w:sz w:val="22"/>
              </w:rPr>
              <w:t>marketing,</w:t>
            </w:r>
            <w:r>
              <w:rPr>
                <w:spacing w:val="80"/>
                <w:sz w:val="22"/>
              </w:rPr>
              <w:t> </w:t>
            </w:r>
            <w:r>
              <w:rPr>
                <w:sz w:val="22"/>
              </w:rPr>
              <w:t>initial</w:t>
            </w:r>
            <w:r>
              <w:rPr>
                <w:spacing w:val="80"/>
                <w:sz w:val="22"/>
              </w:rPr>
              <w:t> </w:t>
            </w:r>
            <w:r>
              <w:rPr>
                <w:sz w:val="22"/>
              </w:rPr>
              <w:t>leasing</w:t>
            </w:r>
            <w:r>
              <w:rPr>
                <w:spacing w:val="80"/>
                <w:sz w:val="22"/>
              </w:rPr>
              <w:t> </w:t>
            </w:r>
            <w:r>
              <w:rPr>
                <w:sz w:val="22"/>
              </w:rPr>
              <w:t>&amp; marketing costs</w:t>
            </w:r>
          </w:p>
        </w:tc>
      </w:tr>
      <w:tr>
        <w:trPr>
          <w:trHeight w:val="252" w:hRule="atLeast"/>
        </w:trPr>
        <w:tc>
          <w:tcPr>
            <w:tcW w:w="4135" w:type="dxa"/>
          </w:tcPr>
          <w:p>
            <w:pPr>
              <w:pStyle w:val="TableParagraph"/>
              <w:spacing w:line="232" w:lineRule="exact"/>
              <w:jc w:val="left"/>
              <w:rPr>
                <w:sz w:val="22"/>
              </w:rPr>
            </w:pPr>
            <w:r>
              <w:rPr>
                <w:sz w:val="22"/>
              </w:rPr>
              <w:t>Construction</w:t>
            </w:r>
            <w:r>
              <w:rPr>
                <w:spacing w:val="-10"/>
                <w:sz w:val="22"/>
              </w:rPr>
              <w:t> </w:t>
            </w:r>
            <w:r>
              <w:rPr>
                <w:sz w:val="22"/>
              </w:rPr>
              <w:t>Materials</w:t>
            </w:r>
            <w:r>
              <w:rPr>
                <w:spacing w:val="-7"/>
                <w:sz w:val="22"/>
              </w:rPr>
              <w:t> </w:t>
            </w:r>
            <w:r>
              <w:rPr>
                <w:sz w:val="22"/>
              </w:rPr>
              <w:t>and</w:t>
            </w:r>
            <w:r>
              <w:rPr>
                <w:spacing w:val="-7"/>
                <w:sz w:val="22"/>
              </w:rPr>
              <w:t> </w:t>
            </w:r>
            <w:r>
              <w:rPr>
                <w:spacing w:val="-2"/>
                <w:sz w:val="22"/>
              </w:rPr>
              <w:t>Labor</w:t>
            </w:r>
          </w:p>
        </w:tc>
        <w:tc>
          <w:tcPr>
            <w:tcW w:w="4411" w:type="dxa"/>
          </w:tcPr>
          <w:p>
            <w:pPr>
              <w:pStyle w:val="TableParagraph"/>
              <w:spacing w:line="232" w:lineRule="exact"/>
              <w:ind w:left="108"/>
              <w:jc w:val="left"/>
              <w:rPr>
                <w:sz w:val="22"/>
              </w:rPr>
            </w:pPr>
            <w:r>
              <w:rPr>
                <w:sz w:val="22"/>
              </w:rPr>
              <w:t>Title</w:t>
            </w:r>
            <w:r>
              <w:rPr>
                <w:spacing w:val="-4"/>
                <w:sz w:val="22"/>
              </w:rPr>
              <w:t> </w:t>
            </w:r>
            <w:r>
              <w:rPr>
                <w:sz w:val="22"/>
              </w:rPr>
              <w:t>binders</w:t>
            </w:r>
            <w:r>
              <w:rPr>
                <w:spacing w:val="-3"/>
                <w:sz w:val="22"/>
              </w:rPr>
              <w:t> </w:t>
            </w:r>
            <w:r>
              <w:rPr>
                <w:sz w:val="22"/>
              </w:rPr>
              <w:t>and</w:t>
            </w:r>
            <w:r>
              <w:rPr>
                <w:spacing w:val="-5"/>
                <w:sz w:val="22"/>
              </w:rPr>
              <w:t> </w:t>
            </w:r>
            <w:r>
              <w:rPr>
                <w:spacing w:val="-2"/>
                <w:sz w:val="22"/>
              </w:rPr>
              <w:t>insurance</w:t>
            </w:r>
          </w:p>
        </w:tc>
      </w:tr>
      <w:tr>
        <w:trPr>
          <w:trHeight w:val="251" w:hRule="atLeast"/>
        </w:trPr>
        <w:tc>
          <w:tcPr>
            <w:tcW w:w="4135" w:type="dxa"/>
          </w:tcPr>
          <w:p>
            <w:pPr>
              <w:pStyle w:val="TableParagraph"/>
              <w:spacing w:line="232" w:lineRule="exact"/>
              <w:ind w:left="1980" w:right="1968"/>
              <w:rPr>
                <w:sz w:val="22"/>
              </w:rPr>
            </w:pPr>
            <w:r>
              <w:rPr>
                <w:sz w:val="22"/>
              </w:rPr>
              <w:t>-</w:t>
            </w:r>
            <w:r>
              <w:rPr>
                <w:spacing w:val="-10"/>
                <w:sz w:val="22"/>
              </w:rPr>
              <w:t>-</w:t>
            </w:r>
          </w:p>
        </w:tc>
        <w:tc>
          <w:tcPr>
            <w:tcW w:w="4411" w:type="dxa"/>
          </w:tcPr>
          <w:p>
            <w:pPr>
              <w:pStyle w:val="TableParagraph"/>
              <w:spacing w:line="232" w:lineRule="exact"/>
              <w:ind w:left="108"/>
              <w:jc w:val="left"/>
              <w:rPr>
                <w:sz w:val="22"/>
              </w:rPr>
            </w:pPr>
            <w:r>
              <w:rPr>
                <w:sz w:val="22"/>
              </w:rPr>
              <w:t>Performance</w:t>
            </w:r>
            <w:r>
              <w:rPr>
                <w:spacing w:val="-6"/>
                <w:sz w:val="22"/>
              </w:rPr>
              <w:t> </w:t>
            </w:r>
            <w:r>
              <w:rPr>
                <w:sz w:val="22"/>
              </w:rPr>
              <w:t>bonds</w:t>
            </w:r>
            <w:r>
              <w:rPr>
                <w:spacing w:val="-6"/>
                <w:sz w:val="22"/>
              </w:rPr>
              <w:t> </w:t>
            </w:r>
            <w:r>
              <w:rPr>
                <w:sz w:val="22"/>
              </w:rPr>
              <w:t>and</w:t>
            </w:r>
            <w:r>
              <w:rPr>
                <w:spacing w:val="-6"/>
                <w:sz w:val="22"/>
              </w:rPr>
              <w:t> </w:t>
            </w:r>
            <w:r>
              <w:rPr>
                <w:sz w:val="22"/>
              </w:rPr>
              <w:t>surety</w:t>
            </w:r>
            <w:r>
              <w:rPr>
                <w:spacing w:val="-5"/>
                <w:sz w:val="22"/>
              </w:rPr>
              <w:t> </w:t>
            </w:r>
            <w:r>
              <w:rPr>
                <w:spacing w:val="-4"/>
                <w:sz w:val="22"/>
              </w:rPr>
              <w:t>fees</w:t>
            </w:r>
          </w:p>
        </w:tc>
      </w:tr>
      <w:tr>
        <w:trPr>
          <w:trHeight w:val="254" w:hRule="atLeast"/>
        </w:trPr>
        <w:tc>
          <w:tcPr>
            <w:tcW w:w="4135" w:type="dxa"/>
          </w:tcPr>
          <w:p>
            <w:pPr>
              <w:pStyle w:val="TableParagraph"/>
              <w:spacing w:line="234" w:lineRule="exact"/>
              <w:ind w:left="1980" w:right="1968"/>
              <w:rPr>
                <w:sz w:val="22"/>
              </w:rPr>
            </w:pPr>
            <w:r>
              <w:rPr>
                <w:sz w:val="22"/>
              </w:rPr>
              <w:t>-</w:t>
            </w:r>
            <w:r>
              <w:rPr>
                <w:spacing w:val="-10"/>
                <w:sz w:val="22"/>
              </w:rPr>
              <w:t>-</w:t>
            </w:r>
          </w:p>
        </w:tc>
        <w:tc>
          <w:tcPr>
            <w:tcW w:w="4411" w:type="dxa"/>
          </w:tcPr>
          <w:p>
            <w:pPr>
              <w:pStyle w:val="TableParagraph"/>
              <w:spacing w:line="234" w:lineRule="exact"/>
              <w:ind w:left="108"/>
              <w:jc w:val="left"/>
              <w:rPr>
                <w:sz w:val="22"/>
              </w:rPr>
            </w:pPr>
            <w:r>
              <w:rPr>
                <w:sz w:val="22"/>
              </w:rPr>
              <w:t>Recording</w:t>
            </w:r>
            <w:r>
              <w:rPr>
                <w:spacing w:val="-9"/>
                <w:sz w:val="22"/>
              </w:rPr>
              <w:t> </w:t>
            </w:r>
            <w:r>
              <w:rPr>
                <w:spacing w:val="-4"/>
                <w:sz w:val="22"/>
              </w:rPr>
              <w:t>fees</w:t>
            </w:r>
          </w:p>
        </w:tc>
      </w:tr>
      <w:tr>
        <w:trPr>
          <w:trHeight w:val="251" w:hRule="atLeast"/>
        </w:trPr>
        <w:tc>
          <w:tcPr>
            <w:tcW w:w="4135" w:type="dxa"/>
          </w:tcPr>
          <w:p>
            <w:pPr>
              <w:pStyle w:val="TableParagraph"/>
              <w:spacing w:line="232" w:lineRule="exact"/>
              <w:ind w:left="1980" w:right="1968"/>
              <w:rPr>
                <w:sz w:val="22"/>
              </w:rPr>
            </w:pPr>
            <w:r>
              <w:rPr>
                <w:sz w:val="22"/>
              </w:rPr>
              <w:t>-</w:t>
            </w:r>
            <w:r>
              <w:rPr>
                <w:spacing w:val="-10"/>
                <w:sz w:val="22"/>
              </w:rPr>
              <w:t>-</w:t>
            </w:r>
          </w:p>
        </w:tc>
        <w:tc>
          <w:tcPr>
            <w:tcW w:w="4411" w:type="dxa"/>
          </w:tcPr>
          <w:p>
            <w:pPr>
              <w:pStyle w:val="TableParagraph"/>
              <w:spacing w:line="232" w:lineRule="exact"/>
              <w:ind w:left="108"/>
              <w:jc w:val="left"/>
              <w:rPr>
                <w:sz w:val="22"/>
              </w:rPr>
            </w:pPr>
            <w:r>
              <w:rPr>
                <w:sz w:val="22"/>
              </w:rPr>
              <w:t>Legal</w:t>
            </w:r>
            <w:r>
              <w:rPr>
                <w:spacing w:val="-7"/>
                <w:sz w:val="22"/>
              </w:rPr>
              <w:t> </w:t>
            </w:r>
            <w:r>
              <w:rPr>
                <w:sz w:val="22"/>
              </w:rPr>
              <w:t>&amp;</w:t>
            </w:r>
            <w:r>
              <w:rPr>
                <w:spacing w:val="-4"/>
                <w:sz w:val="22"/>
              </w:rPr>
              <w:t> </w:t>
            </w:r>
            <w:r>
              <w:rPr>
                <w:sz w:val="22"/>
              </w:rPr>
              <w:t>accounting</w:t>
            </w:r>
            <w:r>
              <w:rPr>
                <w:spacing w:val="-4"/>
                <w:sz w:val="22"/>
              </w:rPr>
              <w:t> fees</w:t>
            </w:r>
          </w:p>
        </w:tc>
      </w:tr>
      <w:tr>
        <w:trPr>
          <w:trHeight w:val="254" w:hRule="atLeast"/>
        </w:trPr>
        <w:tc>
          <w:tcPr>
            <w:tcW w:w="4135" w:type="dxa"/>
          </w:tcPr>
          <w:p>
            <w:pPr>
              <w:pStyle w:val="TableParagraph"/>
              <w:spacing w:line="234" w:lineRule="exact"/>
              <w:ind w:left="1980" w:right="1968"/>
              <w:rPr>
                <w:sz w:val="22"/>
              </w:rPr>
            </w:pPr>
            <w:r>
              <w:rPr>
                <w:sz w:val="22"/>
              </w:rPr>
              <w:t>-</w:t>
            </w:r>
            <w:r>
              <w:rPr>
                <w:spacing w:val="-10"/>
                <w:sz w:val="22"/>
              </w:rPr>
              <w:t>-</w:t>
            </w:r>
          </w:p>
        </w:tc>
        <w:tc>
          <w:tcPr>
            <w:tcW w:w="4411" w:type="dxa"/>
          </w:tcPr>
          <w:p>
            <w:pPr>
              <w:pStyle w:val="TableParagraph"/>
              <w:spacing w:line="234" w:lineRule="exact"/>
              <w:ind w:left="108"/>
              <w:jc w:val="left"/>
              <w:rPr>
                <w:sz w:val="22"/>
              </w:rPr>
            </w:pPr>
            <w:r>
              <w:rPr>
                <w:spacing w:val="-2"/>
                <w:sz w:val="22"/>
              </w:rPr>
              <w:t>Appraisals</w:t>
            </w:r>
          </w:p>
        </w:tc>
      </w:tr>
      <w:tr>
        <w:trPr>
          <w:trHeight w:val="251" w:hRule="atLeast"/>
        </w:trPr>
        <w:tc>
          <w:tcPr>
            <w:tcW w:w="4135" w:type="dxa"/>
          </w:tcPr>
          <w:p>
            <w:pPr>
              <w:pStyle w:val="TableParagraph"/>
              <w:spacing w:line="232" w:lineRule="exact"/>
              <w:ind w:left="1980" w:right="1968"/>
              <w:rPr>
                <w:sz w:val="22"/>
              </w:rPr>
            </w:pPr>
            <w:r>
              <w:rPr>
                <w:sz w:val="22"/>
              </w:rPr>
              <w:t>-</w:t>
            </w:r>
            <w:r>
              <w:rPr>
                <w:spacing w:val="-10"/>
                <w:sz w:val="22"/>
              </w:rPr>
              <w:t>-</w:t>
            </w:r>
          </w:p>
        </w:tc>
        <w:tc>
          <w:tcPr>
            <w:tcW w:w="4411" w:type="dxa"/>
          </w:tcPr>
          <w:p>
            <w:pPr>
              <w:pStyle w:val="TableParagraph"/>
              <w:spacing w:line="232" w:lineRule="exact"/>
              <w:ind w:left="108"/>
              <w:jc w:val="left"/>
              <w:rPr>
                <w:sz w:val="22"/>
              </w:rPr>
            </w:pPr>
            <w:r>
              <w:rPr>
                <w:sz w:val="22"/>
              </w:rPr>
              <w:t>Eligible</w:t>
            </w:r>
            <w:r>
              <w:rPr>
                <w:spacing w:val="-7"/>
                <w:sz w:val="22"/>
              </w:rPr>
              <w:t> </w:t>
            </w:r>
            <w:r>
              <w:rPr>
                <w:sz w:val="22"/>
              </w:rPr>
              <w:t>Soft</w:t>
            </w:r>
            <w:r>
              <w:rPr>
                <w:spacing w:val="-2"/>
                <w:sz w:val="22"/>
              </w:rPr>
              <w:t> </w:t>
            </w:r>
            <w:r>
              <w:rPr>
                <w:spacing w:val="-4"/>
                <w:sz w:val="22"/>
              </w:rPr>
              <w:t>Costs</w:t>
            </w:r>
          </w:p>
        </w:tc>
      </w:tr>
      <w:tr>
        <w:trPr>
          <w:trHeight w:val="254" w:hRule="atLeast"/>
        </w:trPr>
        <w:tc>
          <w:tcPr>
            <w:tcW w:w="4135" w:type="dxa"/>
          </w:tcPr>
          <w:p>
            <w:pPr>
              <w:pStyle w:val="TableParagraph"/>
              <w:spacing w:line="232" w:lineRule="exact" w:before="2"/>
              <w:ind w:left="1980" w:right="1968"/>
              <w:rPr>
                <w:sz w:val="22"/>
              </w:rPr>
            </w:pPr>
            <w:r>
              <w:rPr>
                <w:sz w:val="22"/>
              </w:rPr>
              <w:t>-</w:t>
            </w:r>
            <w:r>
              <w:rPr>
                <w:spacing w:val="-10"/>
                <w:sz w:val="22"/>
              </w:rPr>
              <w:t>-</w:t>
            </w:r>
          </w:p>
        </w:tc>
        <w:tc>
          <w:tcPr>
            <w:tcW w:w="4411" w:type="dxa"/>
          </w:tcPr>
          <w:p>
            <w:pPr>
              <w:pStyle w:val="TableParagraph"/>
              <w:spacing w:line="232" w:lineRule="exact" w:before="2"/>
              <w:ind w:left="108"/>
              <w:jc w:val="left"/>
              <w:rPr>
                <w:sz w:val="22"/>
              </w:rPr>
            </w:pPr>
            <w:r>
              <w:rPr>
                <w:sz w:val="22"/>
              </w:rPr>
              <w:t>Environmental</w:t>
            </w:r>
            <w:r>
              <w:rPr>
                <w:spacing w:val="-13"/>
                <w:sz w:val="22"/>
              </w:rPr>
              <w:t> </w:t>
            </w:r>
            <w:r>
              <w:rPr>
                <w:spacing w:val="-2"/>
                <w:sz w:val="22"/>
              </w:rPr>
              <w:t>reviews</w:t>
            </w:r>
          </w:p>
        </w:tc>
      </w:tr>
    </w:tbl>
    <w:p>
      <w:pPr>
        <w:pStyle w:val="BodyText"/>
        <w:spacing w:before="3"/>
        <w:rPr>
          <w:sz w:val="14"/>
        </w:rPr>
      </w:pPr>
    </w:p>
    <w:p>
      <w:pPr>
        <w:pStyle w:val="BodyText"/>
        <w:spacing w:before="94"/>
        <w:ind w:left="120"/>
      </w:pPr>
      <w:r>
        <w:rPr/>
        <w:t>CDBG</w:t>
      </w:r>
      <w:r>
        <w:rPr>
          <w:spacing w:val="-8"/>
        </w:rPr>
        <w:t> </w:t>
      </w:r>
      <w:r>
        <w:rPr/>
        <w:t>funds</w:t>
      </w:r>
      <w:r>
        <w:rPr>
          <w:spacing w:val="-11"/>
        </w:rPr>
        <w:t> </w:t>
      </w:r>
      <w:r>
        <w:rPr/>
        <w:t>may</w:t>
      </w:r>
      <w:r>
        <w:rPr>
          <w:spacing w:val="-11"/>
        </w:rPr>
        <w:t> </w:t>
      </w:r>
      <w:r>
        <w:rPr/>
        <w:t>not</w:t>
      </w:r>
      <w:r>
        <w:rPr>
          <w:spacing w:val="-8"/>
        </w:rPr>
        <w:t> </w:t>
      </w:r>
      <w:r>
        <w:rPr/>
        <w:t>be</w:t>
      </w:r>
      <w:r>
        <w:rPr>
          <w:spacing w:val="-14"/>
        </w:rPr>
        <w:t> </w:t>
      </w:r>
      <w:r>
        <w:rPr/>
        <w:t>used</w:t>
      </w:r>
      <w:r>
        <w:rPr>
          <w:spacing w:val="-9"/>
        </w:rPr>
        <w:t> </w:t>
      </w:r>
      <w:r>
        <w:rPr/>
        <w:t>for</w:t>
      </w:r>
      <w:r>
        <w:rPr>
          <w:spacing w:val="-9"/>
        </w:rPr>
        <w:t> </w:t>
      </w:r>
      <w:r>
        <w:rPr/>
        <w:t>new</w:t>
      </w:r>
      <w:r>
        <w:rPr>
          <w:spacing w:val="-9"/>
        </w:rPr>
        <w:t> </w:t>
      </w:r>
      <w:r>
        <w:rPr/>
        <w:t>building</w:t>
      </w:r>
      <w:r>
        <w:rPr>
          <w:spacing w:val="-9"/>
        </w:rPr>
        <w:t> </w:t>
      </w:r>
      <w:r>
        <w:rPr/>
        <w:t>construction,</w:t>
      </w:r>
      <w:r>
        <w:rPr>
          <w:spacing w:val="-8"/>
        </w:rPr>
        <w:t> </w:t>
      </w:r>
      <w:r>
        <w:rPr/>
        <w:t>in</w:t>
      </w:r>
      <w:r>
        <w:rPr>
          <w:spacing w:val="-9"/>
        </w:rPr>
        <w:t> </w:t>
      </w:r>
      <w:r>
        <w:rPr/>
        <w:t>accordance</w:t>
      </w:r>
      <w:r>
        <w:rPr>
          <w:spacing w:val="-11"/>
        </w:rPr>
        <w:t> </w:t>
      </w:r>
      <w:r>
        <w:rPr/>
        <w:t>with</w:t>
      </w:r>
      <w:r>
        <w:rPr>
          <w:spacing w:val="-9"/>
        </w:rPr>
        <w:t> </w:t>
      </w:r>
      <w:r>
        <w:rPr/>
        <w:t>HUD</w:t>
      </w:r>
      <w:r>
        <w:rPr>
          <w:spacing w:val="-9"/>
        </w:rPr>
        <w:t> </w:t>
      </w:r>
      <w:r>
        <w:rPr/>
        <w:t>regulations. However,</w:t>
      </w:r>
      <w:r>
        <w:rPr>
          <w:spacing w:val="-11"/>
        </w:rPr>
        <w:t> </w:t>
      </w:r>
      <w:r>
        <w:rPr/>
        <w:t>CDBG</w:t>
      </w:r>
      <w:r>
        <w:rPr>
          <w:spacing w:val="-12"/>
        </w:rPr>
        <w:t> </w:t>
      </w:r>
      <w:r>
        <w:rPr/>
        <w:t>funds</w:t>
      </w:r>
      <w:r>
        <w:rPr>
          <w:spacing w:val="-13"/>
        </w:rPr>
        <w:t> </w:t>
      </w:r>
      <w:r>
        <w:rPr/>
        <w:t>may</w:t>
      </w:r>
      <w:r>
        <w:rPr>
          <w:spacing w:val="-9"/>
        </w:rPr>
        <w:t> </w:t>
      </w:r>
      <w:r>
        <w:rPr/>
        <w:t>be</w:t>
      </w:r>
      <w:r>
        <w:rPr>
          <w:spacing w:val="-11"/>
        </w:rPr>
        <w:t> </w:t>
      </w:r>
      <w:r>
        <w:rPr/>
        <w:t>used</w:t>
      </w:r>
      <w:r>
        <w:rPr>
          <w:spacing w:val="-13"/>
        </w:rPr>
        <w:t> </w:t>
      </w:r>
      <w:r>
        <w:rPr/>
        <w:t>for</w:t>
      </w:r>
      <w:r>
        <w:rPr>
          <w:spacing w:val="-11"/>
        </w:rPr>
        <w:t> </w:t>
      </w:r>
      <w:r>
        <w:rPr/>
        <w:t>all</w:t>
      </w:r>
      <w:r>
        <w:rPr>
          <w:spacing w:val="-11"/>
        </w:rPr>
        <w:t> </w:t>
      </w:r>
      <w:r>
        <w:rPr/>
        <w:t>other</w:t>
      </w:r>
      <w:r>
        <w:rPr>
          <w:spacing w:val="-12"/>
        </w:rPr>
        <w:t> </w:t>
      </w:r>
      <w:r>
        <w:rPr/>
        <w:t>reasonable</w:t>
      </w:r>
      <w:r>
        <w:rPr>
          <w:spacing w:val="-10"/>
        </w:rPr>
        <w:t> </w:t>
      </w:r>
      <w:r>
        <w:rPr/>
        <w:t>and</w:t>
      </w:r>
      <w:r>
        <w:rPr>
          <w:spacing w:val="-11"/>
        </w:rPr>
        <w:t> </w:t>
      </w:r>
      <w:r>
        <w:rPr/>
        <w:t>eligible</w:t>
      </w:r>
      <w:r>
        <w:rPr>
          <w:spacing w:val="-11"/>
        </w:rPr>
        <w:t> </w:t>
      </w:r>
      <w:r>
        <w:rPr/>
        <w:t>costs</w:t>
      </w:r>
      <w:r>
        <w:rPr>
          <w:spacing w:val="-10"/>
        </w:rPr>
        <w:t> </w:t>
      </w:r>
      <w:r>
        <w:rPr/>
        <w:t>in</w:t>
      </w:r>
      <w:r>
        <w:rPr>
          <w:spacing w:val="-10"/>
        </w:rPr>
        <w:t> </w:t>
      </w:r>
      <w:r>
        <w:rPr/>
        <w:t>the</w:t>
      </w:r>
      <w:r>
        <w:rPr>
          <w:spacing w:val="-13"/>
        </w:rPr>
        <w:t> </w:t>
      </w:r>
      <w:r>
        <w:rPr/>
        <w:t>above</w:t>
      </w:r>
      <w:r>
        <w:rPr>
          <w:spacing w:val="-12"/>
        </w:rPr>
        <w:t> </w:t>
      </w:r>
      <w:r>
        <w:rPr>
          <w:spacing w:val="-2"/>
        </w:rPr>
        <w:t>table.</w:t>
      </w:r>
    </w:p>
    <w:p>
      <w:pPr>
        <w:pStyle w:val="BodyText"/>
        <w:spacing w:before="11"/>
        <w:rPr>
          <w:sz w:val="21"/>
        </w:rPr>
      </w:pPr>
    </w:p>
    <w:p>
      <w:pPr>
        <w:pStyle w:val="Heading5"/>
        <w:jc w:val="left"/>
      </w:pPr>
      <w:r>
        <w:rPr>
          <w:spacing w:val="-2"/>
        </w:rPr>
        <w:t>Monitoring</w:t>
      </w:r>
    </w:p>
    <w:p>
      <w:pPr>
        <w:pStyle w:val="BodyText"/>
        <w:spacing w:before="49"/>
        <w:ind w:left="120"/>
      </w:pPr>
      <w:r>
        <w:rPr/>
        <w:t>The City is required by HUD to obtain information on rents and occupancy of HOME – assisted units to demonstrate compliance with the affordability rent requirements on an annual basis.</w:t>
      </w:r>
    </w:p>
    <w:p>
      <w:pPr>
        <w:pStyle w:val="BodyText"/>
      </w:pPr>
    </w:p>
    <w:p>
      <w:pPr>
        <w:pStyle w:val="Heading5"/>
        <w:spacing w:line="528" w:lineRule="auto"/>
        <w:ind w:right="2806"/>
        <w:jc w:val="left"/>
      </w:pPr>
      <w:r>
        <w:rPr/>
        <w:t>Additional</w:t>
      </w:r>
      <w:r>
        <w:rPr>
          <w:spacing w:val="-5"/>
        </w:rPr>
        <w:t> </w:t>
      </w:r>
      <w:r>
        <w:rPr/>
        <w:t>Requirements</w:t>
      </w:r>
      <w:r>
        <w:rPr>
          <w:spacing w:val="-7"/>
        </w:rPr>
        <w:t> </w:t>
      </w:r>
      <w:r>
        <w:rPr/>
        <w:t>for</w:t>
      </w:r>
      <w:r>
        <w:rPr>
          <w:spacing w:val="-7"/>
        </w:rPr>
        <w:t> </w:t>
      </w:r>
      <w:r>
        <w:rPr/>
        <w:t>ALL</w:t>
      </w:r>
      <w:r>
        <w:rPr>
          <w:spacing w:val="-8"/>
        </w:rPr>
        <w:t> </w:t>
      </w:r>
      <w:r>
        <w:rPr/>
        <w:t>Rental</w:t>
      </w:r>
      <w:r>
        <w:rPr>
          <w:spacing w:val="-5"/>
        </w:rPr>
        <w:t> </w:t>
      </w:r>
      <w:r>
        <w:rPr/>
        <w:t>Housing</w:t>
      </w:r>
      <w:r>
        <w:rPr>
          <w:spacing w:val="-6"/>
        </w:rPr>
        <w:t> </w:t>
      </w:r>
      <w:r>
        <w:rPr/>
        <w:t>Projects Tenant Selection/Eligibility:</w:t>
      </w:r>
    </w:p>
    <w:p>
      <w:pPr>
        <w:spacing w:after="0" w:line="528" w:lineRule="auto"/>
        <w:jc w:val="left"/>
        <w:sectPr>
          <w:pgSz w:w="12240" w:h="15840"/>
          <w:pgMar w:header="0" w:footer="1738" w:top="1360" w:bottom="1920" w:left="1320" w:right="1280"/>
        </w:sectPr>
      </w:pPr>
    </w:p>
    <w:p>
      <w:pPr>
        <w:pStyle w:val="BodyText"/>
        <w:spacing w:before="80"/>
        <w:ind w:left="120"/>
      </w:pPr>
      <w:r>
        <w:rPr/>
        <w:t>An</w:t>
      </w:r>
      <w:r>
        <w:rPr>
          <w:spacing w:val="40"/>
        </w:rPr>
        <w:t> </w:t>
      </w:r>
      <w:r>
        <w:rPr/>
        <w:t>owner</w:t>
      </w:r>
      <w:r>
        <w:rPr>
          <w:spacing w:val="40"/>
        </w:rPr>
        <w:t> </w:t>
      </w:r>
      <w:r>
        <w:rPr/>
        <w:t>of</w:t>
      </w:r>
      <w:r>
        <w:rPr>
          <w:spacing w:val="40"/>
        </w:rPr>
        <w:t> </w:t>
      </w:r>
      <w:r>
        <w:rPr/>
        <w:t>rental</w:t>
      </w:r>
      <w:r>
        <w:rPr>
          <w:spacing w:val="40"/>
        </w:rPr>
        <w:t> </w:t>
      </w:r>
      <w:r>
        <w:rPr/>
        <w:t>housing</w:t>
      </w:r>
      <w:r>
        <w:rPr>
          <w:spacing w:val="40"/>
        </w:rPr>
        <w:t> </w:t>
      </w:r>
      <w:r>
        <w:rPr/>
        <w:t>assisted</w:t>
      </w:r>
      <w:r>
        <w:rPr>
          <w:spacing w:val="40"/>
        </w:rPr>
        <w:t> </w:t>
      </w:r>
      <w:r>
        <w:rPr/>
        <w:t>with</w:t>
      </w:r>
      <w:r>
        <w:rPr>
          <w:spacing w:val="40"/>
        </w:rPr>
        <w:t> </w:t>
      </w:r>
      <w:r>
        <w:rPr/>
        <w:t>HOME</w:t>
      </w:r>
      <w:r>
        <w:rPr>
          <w:spacing w:val="40"/>
        </w:rPr>
        <w:t> </w:t>
      </w:r>
      <w:r>
        <w:rPr/>
        <w:t>or</w:t>
      </w:r>
      <w:r>
        <w:rPr>
          <w:spacing w:val="40"/>
        </w:rPr>
        <w:t> </w:t>
      </w:r>
      <w:r>
        <w:rPr/>
        <w:t>CDBG</w:t>
      </w:r>
      <w:r>
        <w:rPr>
          <w:spacing w:val="40"/>
        </w:rPr>
        <w:t> </w:t>
      </w:r>
      <w:r>
        <w:rPr/>
        <w:t>funds</w:t>
      </w:r>
      <w:r>
        <w:rPr>
          <w:spacing w:val="39"/>
        </w:rPr>
        <w:t> </w:t>
      </w:r>
      <w:r>
        <w:rPr/>
        <w:t>must</w:t>
      </w:r>
      <w:r>
        <w:rPr>
          <w:spacing w:val="40"/>
        </w:rPr>
        <w:t> </w:t>
      </w:r>
      <w:r>
        <w:rPr/>
        <w:t>adopt</w:t>
      </w:r>
      <w:r>
        <w:rPr>
          <w:spacing w:val="40"/>
        </w:rPr>
        <w:t> </w:t>
      </w:r>
      <w:r>
        <w:rPr/>
        <w:t>written</w:t>
      </w:r>
      <w:r>
        <w:rPr>
          <w:spacing w:val="39"/>
        </w:rPr>
        <w:t> </w:t>
      </w:r>
      <w:r>
        <w:rPr/>
        <w:t>tenant selection policies and criteria that:</w:t>
      </w:r>
    </w:p>
    <w:p>
      <w:pPr>
        <w:pStyle w:val="ListParagraph"/>
        <w:numPr>
          <w:ilvl w:val="1"/>
          <w:numId w:val="16"/>
        </w:numPr>
        <w:tabs>
          <w:tab w:pos="840" w:val="left" w:leader="none"/>
          <w:tab w:pos="841" w:val="left" w:leader="none"/>
        </w:tabs>
        <w:spacing w:line="237" w:lineRule="auto" w:before="2" w:after="0"/>
        <w:ind w:left="840" w:right="153" w:hanging="361"/>
        <w:jc w:val="left"/>
        <w:rPr>
          <w:rFonts w:ascii="Symbol" w:hAnsi="Symbol"/>
          <w:sz w:val="22"/>
        </w:rPr>
      </w:pPr>
      <w:r>
        <w:rPr>
          <w:sz w:val="22"/>
        </w:rPr>
        <w:t>are</w:t>
      </w:r>
      <w:r>
        <w:rPr>
          <w:spacing w:val="33"/>
          <w:sz w:val="22"/>
        </w:rPr>
        <w:t> </w:t>
      </w:r>
      <w:r>
        <w:rPr>
          <w:sz w:val="22"/>
        </w:rPr>
        <w:t>consistent</w:t>
      </w:r>
      <w:r>
        <w:rPr>
          <w:spacing w:val="35"/>
          <w:sz w:val="22"/>
        </w:rPr>
        <w:t> </w:t>
      </w:r>
      <w:r>
        <w:rPr>
          <w:sz w:val="22"/>
        </w:rPr>
        <w:t>with</w:t>
      </w:r>
      <w:r>
        <w:rPr>
          <w:spacing w:val="33"/>
          <w:sz w:val="22"/>
        </w:rPr>
        <w:t> </w:t>
      </w:r>
      <w:r>
        <w:rPr>
          <w:sz w:val="22"/>
        </w:rPr>
        <w:t>the</w:t>
      </w:r>
      <w:r>
        <w:rPr>
          <w:spacing w:val="31"/>
          <w:sz w:val="22"/>
        </w:rPr>
        <w:t> </w:t>
      </w:r>
      <w:r>
        <w:rPr>
          <w:sz w:val="22"/>
        </w:rPr>
        <w:t>City’s</w:t>
      </w:r>
      <w:r>
        <w:rPr>
          <w:spacing w:val="36"/>
          <w:sz w:val="22"/>
        </w:rPr>
        <w:t> </w:t>
      </w:r>
      <w:r>
        <w:rPr>
          <w:sz w:val="22"/>
        </w:rPr>
        <w:t>goal</w:t>
      </w:r>
      <w:r>
        <w:rPr>
          <w:spacing w:val="33"/>
          <w:sz w:val="22"/>
        </w:rPr>
        <w:t> </w:t>
      </w:r>
      <w:r>
        <w:rPr>
          <w:sz w:val="22"/>
        </w:rPr>
        <w:t>of</w:t>
      </w:r>
      <w:r>
        <w:rPr>
          <w:spacing w:val="35"/>
          <w:sz w:val="22"/>
        </w:rPr>
        <w:t> </w:t>
      </w:r>
      <w:r>
        <w:rPr>
          <w:sz w:val="22"/>
        </w:rPr>
        <w:t>providing</w:t>
      </w:r>
      <w:r>
        <w:rPr>
          <w:spacing w:val="33"/>
          <w:sz w:val="22"/>
        </w:rPr>
        <w:t> </w:t>
      </w:r>
      <w:r>
        <w:rPr>
          <w:sz w:val="22"/>
        </w:rPr>
        <w:t>housing</w:t>
      </w:r>
      <w:r>
        <w:rPr>
          <w:spacing w:val="36"/>
          <w:sz w:val="22"/>
        </w:rPr>
        <w:t> </w:t>
      </w:r>
      <w:r>
        <w:rPr>
          <w:sz w:val="22"/>
        </w:rPr>
        <w:t>for</w:t>
      </w:r>
      <w:r>
        <w:rPr>
          <w:spacing w:val="35"/>
          <w:sz w:val="22"/>
        </w:rPr>
        <w:t> </w:t>
      </w:r>
      <w:r>
        <w:rPr>
          <w:sz w:val="22"/>
        </w:rPr>
        <w:t>very</w:t>
      </w:r>
      <w:r>
        <w:rPr>
          <w:spacing w:val="34"/>
          <w:sz w:val="22"/>
        </w:rPr>
        <w:t> </w:t>
      </w:r>
      <w:r>
        <w:rPr>
          <w:sz w:val="22"/>
        </w:rPr>
        <w:t>low-income</w:t>
      </w:r>
      <w:r>
        <w:rPr>
          <w:spacing w:val="33"/>
          <w:sz w:val="22"/>
        </w:rPr>
        <w:t> </w:t>
      </w:r>
      <w:r>
        <w:rPr>
          <w:sz w:val="22"/>
        </w:rPr>
        <w:t>and</w:t>
      </w:r>
      <w:r>
        <w:rPr>
          <w:spacing w:val="33"/>
          <w:sz w:val="22"/>
        </w:rPr>
        <w:t> </w:t>
      </w:r>
      <w:r>
        <w:rPr>
          <w:sz w:val="22"/>
        </w:rPr>
        <w:t>low- income families;</w:t>
      </w:r>
    </w:p>
    <w:p>
      <w:pPr>
        <w:pStyle w:val="ListParagraph"/>
        <w:numPr>
          <w:ilvl w:val="1"/>
          <w:numId w:val="16"/>
        </w:numPr>
        <w:tabs>
          <w:tab w:pos="840" w:val="left" w:leader="none"/>
          <w:tab w:pos="841" w:val="left" w:leader="none"/>
        </w:tabs>
        <w:spacing w:line="237" w:lineRule="auto" w:before="3" w:after="0"/>
        <w:ind w:left="840" w:right="156" w:hanging="361"/>
        <w:jc w:val="left"/>
        <w:rPr>
          <w:rFonts w:ascii="Symbol" w:hAnsi="Symbol"/>
          <w:sz w:val="22"/>
        </w:rPr>
      </w:pPr>
      <w:r>
        <w:rPr>
          <w:sz w:val="22"/>
        </w:rPr>
        <w:t>are</w:t>
      </w:r>
      <w:r>
        <w:rPr>
          <w:spacing w:val="36"/>
          <w:sz w:val="22"/>
        </w:rPr>
        <w:t> </w:t>
      </w:r>
      <w:r>
        <w:rPr>
          <w:sz w:val="22"/>
        </w:rPr>
        <w:t>reasonably</w:t>
      </w:r>
      <w:r>
        <w:rPr>
          <w:spacing w:val="36"/>
          <w:sz w:val="22"/>
        </w:rPr>
        <w:t> </w:t>
      </w:r>
      <w:r>
        <w:rPr>
          <w:sz w:val="22"/>
        </w:rPr>
        <w:t>related</w:t>
      </w:r>
      <w:r>
        <w:rPr>
          <w:spacing w:val="36"/>
          <w:sz w:val="22"/>
        </w:rPr>
        <w:t> </w:t>
      </w:r>
      <w:r>
        <w:rPr>
          <w:sz w:val="22"/>
        </w:rPr>
        <w:t>to</w:t>
      </w:r>
      <w:r>
        <w:rPr>
          <w:spacing w:val="38"/>
          <w:sz w:val="22"/>
        </w:rPr>
        <w:t> </w:t>
      </w:r>
      <w:r>
        <w:rPr>
          <w:sz w:val="22"/>
        </w:rPr>
        <w:t>program</w:t>
      </w:r>
      <w:r>
        <w:rPr>
          <w:spacing w:val="37"/>
          <w:sz w:val="22"/>
        </w:rPr>
        <w:t> </w:t>
      </w:r>
      <w:r>
        <w:rPr>
          <w:sz w:val="22"/>
        </w:rPr>
        <w:t>eligibility</w:t>
      </w:r>
      <w:r>
        <w:rPr>
          <w:spacing w:val="38"/>
          <w:sz w:val="22"/>
        </w:rPr>
        <w:t> </w:t>
      </w:r>
      <w:r>
        <w:rPr>
          <w:sz w:val="22"/>
        </w:rPr>
        <w:t>and</w:t>
      </w:r>
      <w:r>
        <w:rPr>
          <w:spacing w:val="38"/>
          <w:sz w:val="22"/>
        </w:rPr>
        <w:t> </w:t>
      </w:r>
      <w:r>
        <w:rPr>
          <w:sz w:val="22"/>
        </w:rPr>
        <w:t>the</w:t>
      </w:r>
      <w:r>
        <w:rPr>
          <w:spacing w:val="36"/>
          <w:sz w:val="22"/>
        </w:rPr>
        <w:t> </w:t>
      </w:r>
      <w:r>
        <w:rPr>
          <w:sz w:val="22"/>
        </w:rPr>
        <w:t>applicant’s</w:t>
      </w:r>
      <w:r>
        <w:rPr>
          <w:spacing w:val="36"/>
          <w:sz w:val="22"/>
        </w:rPr>
        <w:t> </w:t>
      </w:r>
      <w:r>
        <w:rPr>
          <w:sz w:val="22"/>
        </w:rPr>
        <w:t>ability</w:t>
      </w:r>
      <w:r>
        <w:rPr>
          <w:spacing w:val="36"/>
          <w:sz w:val="22"/>
        </w:rPr>
        <w:t> </w:t>
      </w:r>
      <w:r>
        <w:rPr>
          <w:sz w:val="22"/>
        </w:rPr>
        <w:t>to</w:t>
      </w:r>
      <w:r>
        <w:rPr>
          <w:spacing w:val="38"/>
          <w:sz w:val="22"/>
        </w:rPr>
        <w:t> </w:t>
      </w:r>
      <w:r>
        <w:rPr>
          <w:sz w:val="22"/>
        </w:rPr>
        <w:t>perform</w:t>
      </w:r>
      <w:r>
        <w:rPr>
          <w:spacing w:val="37"/>
          <w:sz w:val="22"/>
        </w:rPr>
        <w:t> </w:t>
      </w:r>
      <w:r>
        <w:rPr>
          <w:sz w:val="22"/>
        </w:rPr>
        <w:t>the obligations of the lease;</w:t>
      </w:r>
    </w:p>
    <w:p>
      <w:pPr>
        <w:pStyle w:val="ListParagraph"/>
        <w:numPr>
          <w:ilvl w:val="1"/>
          <w:numId w:val="16"/>
        </w:numPr>
        <w:tabs>
          <w:tab w:pos="840" w:val="left" w:leader="none"/>
          <w:tab w:pos="841" w:val="left" w:leader="none"/>
        </w:tabs>
        <w:spacing w:line="237" w:lineRule="auto" w:before="4" w:after="0"/>
        <w:ind w:left="840" w:right="159" w:hanging="361"/>
        <w:jc w:val="left"/>
        <w:rPr>
          <w:rFonts w:ascii="Symbol" w:hAnsi="Symbol"/>
          <w:sz w:val="22"/>
        </w:rPr>
      </w:pPr>
      <w:r>
        <w:rPr/>
        <w:pict>
          <v:shape style="position:absolute;margin-left:90.065002pt;margin-top:19.942530pt;width:395.3pt;height:419pt;mso-position-horizontal-relative:page;mso-position-vertical-relative:paragraph;z-index:-17705472" id="docshape78" coordorigin="1801,399" coordsize="7906,8380" path="m4498,7662l4492,7589,4477,7511,4455,7428,4432,7359,4403,7287,4367,7212,4325,7134,4276,7053,4237,6994,4200,6944,4200,7629,4197,7686,4186,7742,4167,7800,4138,7859,4097,7922,4044,7988,3979,8058,3674,8363,2216,6905,2517,6605,2598,6529,2672,6469,2740,6425,2801,6399,2868,6384,2941,6380,3020,6387,3105,6405,3195,6434,3255,6460,3317,6492,3380,6530,3446,6575,3514,6627,3584,6685,3656,6750,3729,6821,3789,6883,3845,6943,3896,7002,3943,7060,3986,7116,4025,7172,4059,7226,4101,7300,4136,7372,4163,7442,4183,7509,4196,7573,4200,7629,4200,6944,4194,6935,4148,6875,4098,6814,4045,6753,3989,6692,3929,6630,3865,6568,3801,6509,3737,6454,3673,6403,3643,6380,3609,6355,3546,6310,3482,6269,3419,6231,3346,6194,3274,6161,3203,6134,3132,6112,3062,6095,2992,6083,2923,6076,2850,6074,2779,6081,2709,6096,2642,6119,2577,6149,2528,6177,2476,6214,2420,6260,2359,6314,2294,6377,1801,6870,3710,8778,4124,8363,4226,8261,4287,8196,4341,8131,4386,8065,4424,7998,4454,7932,4476,7866,4491,7799,4498,7731,4498,7662xm6418,6069l6056,5942,5650,5799,5561,5770,5475,5746,5393,5727,5365,5722,5314,5712,5239,5702,5193,5701,5143,5704,5089,5711,5030,5722,5073,5652,5109,5582,5136,5513,5154,5444,5164,5376,5165,5308,5157,5240,5139,5162,5111,5086,5075,5011,5030,4938,4976,4868,4956,4845,4913,4799,4872,4761,4872,5318,4868,5374,4854,5429,4830,5485,4794,5543,4747,5604,4687,5668,4280,6075,3649,5444,4102,4991,4166,4934,4229,4891,4293,4861,4358,4846,4422,4845,4501,4860,4577,4890,4649,4934,4718,4994,4761,5042,4797,5092,4827,5146,4851,5203,4867,5261,4872,5318,4872,4761,4849,4739,4782,4687,4713,4641,4641,4603,4566,4571,4474,4543,4386,4530,4303,4532,4225,4548,4163,4573,4098,4609,4030,4657,3958,4717,3883,4788,3248,5423,5157,7331,5346,7141,4499,6294,4718,6075,4753,6041,4783,6013,4810,5992,4833,5978,4863,5964,4896,5954,4932,5946,4971,5942,5014,5942,5066,5947,5125,5957,5194,5974,5256,5991,5328,6012,5407,6037,5496,6066,6180,6308,6418,6069xm7780,4707l7415,4512,6555,4058,6555,4365,6070,4850,6030,4779,5989,4707,5748,4276,5708,4205,5668,4133,5629,4068,5590,4003,5550,3939,5509,3876,5467,3814,5424,3752,5380,3692,5436,3727,5498,3765,5564,3805,5635,3847,5792,3937,6555,4365,6555,4058,5862,3692,5286,3385,5082,3589,5277,3939,5316,4010,5701,4707,6207,5626,6441,6047,6642,5846,6565,5712,6298,5244,6221,5111,6481,4850,6820,4512,7173,4707,7565,4923,7780,4707xm8131,4357l7264,3490,7936,2818,7711,2593,7039,3265,6448,2674,7224,1897,6999,1672,6033,2638,7941,4546,8131,4357xm9707,2781l8024,1098,8497,624,8272,399,7138,1533,7363,1759,7834,1287,9517,2970,9707,2781xe" filled="true" fillcolor="#c0c0c0" stroked="false">
            <v:path arrowok="t"/>
            <v:fill opacity="32896f" type="solid"/>
            <w10:wrap type="none"/>
          </v:shape>
        </w:pict>
      </w:r>
      <w:r>
        <w:rPr>
          <w:sz w:val="22"/>
        </w:rPr>
        <w:t>provide</w:t>
      </w:r>
      <w:r>
        <w:rPr>
          <w:spacing w:val="-2"/>
          <w:sz w:val="22"/>
        </w:rPr>
        <w:t> </w:t>
      </w:r>
      <w:r>
        <w:rPr>
          <w:sz w:val="22"/>
        </w:rPr>
        <w:t>for the</w:t>
      </w:r>
      <w:r>
        <w:rPr>
          <w:spacing w:val="-2"/>
          <w:sz w:val="22"/>
        </w:rPr>
        <w:t> </w:t>
      </w:r>
      <w:r>
        <w:rPr>
          <w:sz w:val="22"/>
        </w:rPr>
        <w:t>selection</w:t>
      </w:r>
      <w:r>
        <w:rPr>
          <w:spacing w:val="-4"/>
          <w:sz w:val="22"/>
        </w:rPr>
        <w:t> </w:t>
      </w:r>
      <w:r>
        <w:rPr>
          <w:sz w:val="22"/>
        </w:rPr>
        <w:t>of tenants</w:t>
      </w:r>
      <w:r>
        <w:rPr>
          <w:spacing w:val="-4"/>
          <w:sz w:val="22"/>
        </w:rPr>
        <w:t> </w:t>
      </w:r>
      <w:r>
        <w:rPr>
          <w:sz w:val="22"/>
        </w:rPr>
        <w:t>from a</w:t>
      </w:r>
      <w:r>
        <w:rPr>
          <w:spacing w:val="-2"/>
          <w:sz w:val="22"/>
        </w:rPr>
        <w:t> </w:t>
      </w:r>
      <w:r>
        <w:rPr>
          <w:sz w:val="22"/>
        </w:rPr>
        <w:t>written</w:t>
      </w:r>
      <w:r>
        <w:rPr>
          <w:spacing w:val="-4"/>
          <w:sz w:val="22"/>
        </w:rPr>
        <w:t> </w:t>
      </w:r>
      <w:r>
        <w:rPr>
          <w:sz w:val="22"/>
        </w:rPr>
        <w:t>waiting list in</w:t>
      </w:r>
      <w:r>
        <w:rPr>
          <w:spacing w:val="-2"/>
          <w:sz w:val="22"/>
        </w:rPr>
        <w:t> </w:t>
      </w:r>
      <w:r>
        <w:rPr>
          <w:sz w:val="22"/>
        </w:rPr>
        <w:t>the</w:t>
      </w:r>
      <w:r>
        <w:rPr>
          <w:spacing w:val="-2"/>
          <w:sz w:val="22"/>
        </w:rPr>
        <w:t> </w:t>
      </w:r>
      <w:r>
        <w:rPr>
          <w:sz w:val="22"/>
        </w:rPr>
        <w:t>chronological order of their application, insofar as is practicable; and</w:t>
      </w:r>
    </w:p>
    <w:p>
      <w:pPr>
        <w:pStyle w:val="ListParagraph"/>
        <w:numPr>
          <w:ilvl w:val="1"/>
          <w:numId w:val="16"/>
        </w:numPr>
        <w:tabs>
          <w:tab w:pos="840" w:val="left" w:leader="none"/>
          <w:tab w:pos="841" w:val="left" w:leader="none"/>
        </w:tabs>
        <w:spacing w:line="237" w:lineRule="auto" w:before="3" w:after="0"/>
        <w:ind w:left="840" w:right="157" w:hanging="361"/>
        <w:jc w:val="left"/>
        <w:rPr>
          <w:rFonts w:ascii="Symbol" w:hAnsi="Symbol"/>
          <w:sz w:val="22"/>
        </w:rPr>
      </w:pPr>
      <w:r>
        <w:rPr>
          <w:sz w:val="22"/>
        </w:rPr>
        <w:t>give</w:t>
      </w:r>
      <w:r>
        <w:rPr>
          <w:spacing w:val="40"/>
          <w:sz w:val="22"/>
        </w:rPr>
        <w:t> </w:t>
      </w:r>
      <w:r>
        <w:rPr>
          <w:sz w:val="22"/>
        </w:rPr>
        <w:t>prompt</w:t>
      </w:r>
      <w:r>
        <w:rPr>
          <w:spacing w:val="40"/>
          <w:sz w:val="22"/>
        </w:rPr>
        <w:t> </w:t>
      </w:r>
      <w:r>
        <w:rPr>
          <w:sz w:val="22"/>
        </w:rPr>
        <w:t>written</w:t>
      </w:r>
      <w:r>
        <w:rPr>
          <w:spacing w:val="40"/>
          <w:sz w:val="22"/>
        </w:rPr>
        <w:t> </w:t>
      </w:r>
      <w:r>
        <w:rPr>
          <w:sz w:val="22"/>
        </w:rPr>
        <w:t>notification</w:t>
      </w:r>
      <w:r>
        <w:rPr>
          <w:spacing w:val="40"/>
          <w:sz w:val="22"/>
        </w:rPr>
        <w:t> </w:t>
      </w:r>
      <w:r>
        <w:rPr>
          <w:sz w:val="22"/>
        </w:rPr>
        <w:t>to</w:t>
      </w:r>
      <w:r>
        <w:rPr>
          <w:spacing w:val="40"/>
          <w:sz w:val="22"/>
        </w:rPr>
        <w:t> </w:t>
      </w:r>
      <w:r>
        <w:rPr>
          <w:sz w:val="22"/>
        </w:rPr>
        <w:t>any</w:t>
      </w:r>
      <w:r>
        <w:rPr>
          <w:spacing w:val="40"/>
          <w:sz w:val="22"/>
        </w:rPr>
        <w:t> </w:t>
      </w:r>
      <w:r>
        <w:rPr>
          <w:sz w:val="22"/>
        </w:rPr>
        <w:t>rejected</w:t>
      </w:r>
      <w:r>
        <w:rPr>
          <w:spacing w:val="40"/>
          <w:sz w:val="22"/>
        </w:rPr>
        <w:t> </w:t>
      </w:r>
      <w:r>
        <w:rPr>
          <w:sz w:val="22"/>
        </w:rPr>
        <w:t>applicant</w:t>
      </w:r>
      <w:r>
        <w:rPr>
          <w:spacing w:val="40"/>
          <w:sz w:val="22"/>
        </w:rPr>
        <w:t> </w:t>
      </w:r>
      <w:r>
        <w:rPr>
          <w:sz w:val="22"/>
        </w:rPr>
        <w:t>stating</w:t>
      </w:r>
      <w:r>
        <w:rPr>
          <w:spacing w:val="40"/>
          <w:sz w:val="22"/>
        </w:rPr>
        <w:t> </w:t>
      </w:r>
      <w:r>
        <w:rPr>
          <w:sz w:val="22"/>
        </w:rPr>
        <w:t>the</w:t>
      </w:r>
      <w:r>
        <w:rPr>
          <w:spacing w:val="40"/>
          <w:sz w:val="22"/>
        </w:rPr>
        <w:t> </w:t>
      </w:r>
      <w:r>
        <w:rPr>
          <w:sz w:val="22"/>
        </w:rPr>
        <w:t>grounds</w:t>
      </w:r>
      <w:r>
        <w:rPr>
          <w:spacing w:val="40"/>
          <w:sz w:val="22"/>
        </w:rPr>
        <w:t> </w:t>
      </w:r>
      <w:r>
        <w:rPr>
          <w:sz w:val="22"/>
        </w:rPr>
        <w:t>for</w:t>
      </w:r>
      <w:r>
        <w:rPr>
          <w:spacing w:val="40"/>
          <w:sz w:val="22"/>
        </w:rPr>
        <w:t> </w:t>
      </w:r>
      <w:r>
        <w:rPr>
          <w:sz w:val="22"/>
        </w:rPr>
        <w:t>the </w:t>
      </w:r>
      <w:r>
        <w:rPr>
          <w:spacing w:val="-2"/>
          <w:sz w:val="22"/>
        </w:rPr>
        <w:t>rejection</w:t>
      </w:r>
    </w:p>
    <w:p>
      <w:pPr>
        <w:pStyle w:val="BodyText"/>
      </w:pPr>
    </w:p>
    <w:p>
      <w:pPr>
        <w:pStyle w:val="Heading5"/>
        <w:spacing w:before="1"/>
      </w:pPr>
      <w:r>
        <w:rPr/>
        <w:t>Income</w:t>
      </w:r>
      <w:r>
        <w:rPr>
          <w:spacing w:val="-6"/>
        </w:rPr>
        <w:t> </w:t>
      </w:r>
      <w:r>
        <w:rPr/>
        <w:t>Eligibility</w:t>
      </w:r>
      <w:r>
        <w:rPr>
          <w:spacing w:val="-6"/>
        </w:rPr>
        <w:t> </w:t>
      </w:r>
      <w:r>
        <w:rPr/>
        <w:t>and</w:t>
      </w:r>
      <w:r>
        <w:rPr>
          <w:spacing w:val="-5"/>
        </w:rPr>
        <w:t> </w:t>
      </w:r>
      <w:r>
        <w:rPr/>
        <w:t>Re-</w:t>
      </w:r>
      <w:r>
        <w:rPr>
          <w:spacing w:val="-2"/>
        </w:rPr>
        <w:t>certification:</w:t>
      </w:r>
    </w:p>
    <w:p>
      <w:pPr>
        <w:pStyle w:val="BodyText"/>
        <w:spacing w:before="51"/>
        <w:ind w:left="120" w:right="156"/>
        <w:jc w:val="both"/>
      </w:pPr>
      <w:r>
        <w:rPr/>
        <w:t>Tenant</w:t>
      </w:r>
      <w:r>
        <w:rPr>
          <w:spacing w:val="-11"/>
        </w:rPr>
        <w:t> </w:t>
      </w:r>
      <w:r>
        <w:rPr/>
        <w:t>incomes</w:t>
      </w:r>
      <w:r>
        <w:rPr>
          <w:spacing w:val="-14"/>
        </w:rPr>
        <w:t> </w:t>
      </w:r>
      <w:r>
        <w:rPr/>
        <w:t>must</w:t>
      </w:r>
      <w:r>
        <w:rPr>
          <w:spacing w:val="-13"/>
        </w:rPr>
        <w:t> </w:t>
      </w:r>
      <w:r>
        <w:rPr/>
        <w:t>be</w:t>
      </w:r>
      <w:r>
        <w:rPr>
          <w:spacing w:val="-15"/>
        </w:rPr>
        <w:t> </w:t>
      </w:r>
      <w:r>
        <w:rPr/>
        <w:t>re-certified</w:t>
      </w:r>
      <w:r>
        <w:rPr>
          <w:spacing w:val="-15"/>
        </w:rPr>
        <w:t> </w:t>
      </w:r>
      <w:r>
        <w:rPr/>
        <w:t>annually</w:t>
      </w:r>
      <w:r>
        <w:rPr>
          <w:spacing w:val="-12"/>
        </w:rPr>
        <w:t> </w:t>
      </w:r>
      <w:r>
        <w:rPr/>
        <w:t>and</w:t>
      </w:r>
      <w:r>
        <w:rPr>
          <w:spacing w:val="-15"/>
        </w:rPr>
        <w:t> </w:t>
      </w:r>
      <w:r>
        <w:rPr/>
        <w:t>verified</w:t>
      </w:r>
      <w:r>
        <w:rPr>
          <w:spacing w:val="-12"/>
        </w:rPr>
        <w:t> </w:t>
      </w:r>
      <w:r>
        <w:rPr/>
        <w:t>with</w:t>
      </w:r>
      <w:r>
        <w:rPr>
          <w:spacing w:val="-15"/>
        </w:rPr>
        <w:t> </w:t>
      </w:r>
      <w:r>
        <w:rPr/>
        <w:t>source</w:t>
      </w:r>
      <w:r>
        <w:rPr>
          <w:spacing w:val="-12"/>
        </w:rPr>
        <w:t> </w:t>
      </w:r>
      <w:r>
        <w:rPr/>
        <w:t>documents</w:t>
      </w:r>
      <w:r>
        <w:rPr>
          <w:spacing w:val="-14"/>
        </w:rPr>
        <w:t> </w:t>
      </w:r>
      <w:r>
        <w:rPr/>
        <w:t>every</w:t>
      </w:r>
      <w:r>
        <w:rPr>
          <w:spacing w:val="-14"/>
        </w:rPr>
        <w:t> </w:t>
      </w:r>
      <w:r>
        <w:rPr/>
        <w:t>six</w:t>
      </w:r>
      <w:r>
        <w:rPr>
          <w:spacing w:val="-12"/>
        </w:rPr>
        <w:t> </w:t>
      </w:r>
      <w:r>
        <w:rPr/>
        <w:t>years. If the income of a household in an assisted unit rises above 80% of Area Median Income, the household may continue to rent the unit and the household must pay monthly rent equal to the lesser of:</w:t>
      </w:r>
    </w:p>
    <w:p>
      <w:pPr>
        <w:pStyle w:val="ListParagraph"/>
        <w:numPr>
          <w:ilvl w:val="1"/>
          <w:numId w:val="16"/>
        </w:numPr>
        <w:tabs>
          <w:tab w:pos="841" w:val="left" w:leader="none"/>
        </w:tabs>
        <w:spacing w:line="268" w:lineRule="exact" w:before="0" w:after="0"/>
        <w:ind w:left="840" w:right="0" w:hanging="361"/>
        <w:jc w:val="both"/>
        <w:rPr>
          <w:rFonts w:ascii="Symbol" w:hAnsi="Symbol"/>
          <w:sz w:val="22"/>
        </w:rPr>
      </w:pPr>
      <w:r>
        <w:rPr>
          <w:sz w:val="22"/>
        </w:rPr>
        <w:t>The</w:t>
      </w:r>
      <w:r>
        <w:rPr>
          <w:spacing w:val="-4"/>
          <w:sz w:val="22"/>
        </w:rPr>
        <w:t> </w:t>
      </w:r>
      <w:r>
        <w:rPr>
          <w:sz w:val="22"/>
        </w:rPr>
        <w:t>rent</w:t>
      </w:r>
      <w:r>
        <w:rPr>
          <w:spacing w:val="-2"/>
          <w:sz w:val="22"/>
        </w:rPr>
        <w:t> </w:t>
      </w:r>
      <w:r>
        <w:rPr>
          <w:sz w:val="22"/>
        </w:rPr>
        <w:t>permitted</w:t>
      </w:r>
      <w:r>
        <w:rPr>
          <w:spacing w:val="-5"/>
          <w:sz w:val="22"/>
        </w:rPr>
        <w:t> </w:t>
      </w:r>
      <w:r>
        <w:rPr>
          <w:sz w:val="22"/>
        </w:rPr>
        <w:t>by</w:t>
      </w:r>
      <w:r>
        <w:rPr>
          <w:spacing w:val="-4"/>
          <w:sz w:val="22"/>
        </w:rPr>
        <w:t> </w:t>
      </w:r>
      <w:r>
        <w:rPr>
          <w:sz w:val="22"/>
        </w:rPr>
        <w:t>state</w:t>
      </w:r>
      <w:r>
        <w:rPr>
          <w:spacing w:val="-4"/>
          <w:sz w:val="22"/>
        </w:rPr>
        <w:t> </w:t>
      </w:r>
      <w:r>
        <w:rPr>
          <w:sz w:val="22"/>
        </w:rPr>
        <w:t>law;</w:t>
      </w:r>
      <w:r>
        <w:rPr>
          <w:spacing w:val="-3"/>
          <w:sz w:val="22"/>
        </w:rPr>
        <w:t> </w:t>
      </w:r>
      <w:r>
        <w:rPr>
          <w:spacing w:val="-5"/>
          <w:sz w:val="22"/>
        </w:rPr>
        <w:t>or</w:t>
      </w:r>
    </w:p>
    <w:p>
      <w:pPr>
        <w:pStyle w:val="ListParagraph"/>
        <w:numPr>
          <w:ilvl w:val="1"/>
          <w:numId w:val="16"/>
        </w:numPr>
        <w:tabs>
          <w:tab w:pos="841" w:val="left" w:leader="none"/>
        </w:tabs>
        <w:spacing w:line="268" w:lineRule="exact" w:before="0" w:after="0"/>
        <w:ind w:left="840" w:right="0" w:hanging="361"/>
        <w:jc w:val="both"/>
        <w:rPr>
          <w:rFonts w:ascii="Symbol" w:hAnsi="Symbol"/>
          <w:sz w:val="22"/>
        </w:rPr>
      </w:pPr>
      <w:r>
        <w:rPr>
          <w:sz w:val="22"/>
        </w:rPr>
        <w:t>30%</w:t>
      </w:r>
      <w:r>
        <w:rPr>
          <w:spacing w:val="-6"/>
          <w:sz w:val="22"/>
        </w:rPr>
        <w:t> </w:t>
      </w:r>
      <w:r>
        <w:rPr>
          <w:sz w:val="22"/>
        </w:rPr>
        <w:t>of</w:t>
      </w:r>
      <w:r>
        <w:rPr>
          <w:spacing w:val="-4"/>
          <w:sz w:val="22"/>
        </w:rPr>
        <w:t> </w:t>
      </w:r>
      <w:r>
        <w:rPr>
          <w:sz w:val="22"/>
        </w:rPr>
        <w:t>the</w:t>
      </w:r>
      <w:r>
        <w:rPr>
          <w:spacing w:val="-6"/>
          <w:sz w:val="22"/>
        </w:rPr>
        <w:t> </w:t>
      </w:r>
      <w:r>
        <w:rPr>
          <w:sz w:val="22"/>
        </w:rPr>
        <w:t>family’s</w:t>
      </w:r>
      <w:r>
        <w:rPr>
          <w:spacing w:val="-3"/>
          <w:sz w:val="22"/>
        </w:rPr>
        <w:t> </w:t>
      </w:r>
      <w:r>
        <w:rPr>
          <w:sz w:val="22"/>
        </w:rPr>
        <w:t>adjusted</w:t>
      </w:r>
      <w:r>
        <w:rPr>
          <w:spacing w:val="-6"/>
          <w:sz w:val="22"/>
        </w:rPr>
        <w:t> </w:t>
      </w:r>
      <w:r>
        <w:rPr>
          <w:sz w:val="22"/>
        </w:rPr>
        <w:t>monthly</w:t>
      </w:r>
      <w:r>
        <w:rPr>
          <w:spacing w:val="-6"/>
          <w:sz w:val="22"/>
        </w:rPr>
        <w:t> </w:t>
      </w:r>
      <w:r>
        <w:rPr>
          <w:sz w:val="22"/>
        </w:rPr>
        <w:t>income</w:t>
      </w:r>
      <w:r>
        <w:rPr>
          <w:spacing w:val="-6"/>
          <w:sz w:val="22"/>
        </w:rPr>
        <w:t> </w:t>
      </w:r>
      <w:r>
        <w:rPr>
          <w:sz w:val="22"/>
        </w:rPr>
        <w:t>at</w:t>
      </w:r>
      <w:r>
        <w:rPr>
          <w:spacing w:val="-5"/>
          <w:sz w:val="22"/>
        </w:rPr>
        <w:t> </w:t>
      </w:r>
      <w:r>
        <w:rPr>
          <w:sz w:val="22"/>
        </w:rPr>
        <w:t>annual</w:t>
      </w:r>
      <w:r>
        <w:rPr>
          <w:spacing w:val="-3"/>
          <w:sz w:val="22"/>
        </w:rPr>
        <w:t> </w:t>
      </w:r>
      <w:r>
        <w:rPr>
          <w:sz w:val="22"/>
        </w:rPr>
        <w:t>re-</w:t>
      </w:r>
      <w:r>
        <w:rPr>
          <w:spacing w:val="-2"/>
          <w:sz w:val="22"/>
        </w:rPr>
        <w:t>certification.</w:t>
      </w:r>
    </w:p>
    <w:p>
      <w:pPr>
        <w:pStyle w:val="ListParagraph"/>
        <w:numPr>
          <w:ilvl w:val="1"/>
          <w:numId w:val="16"/>
        </w:numPr>
        <w:tabs>
          <w:tab w:pos="841" w:val="left" w:leader="none"/>
        </w:tabs>
        <w:spacing w:line="237" w:lineRule="auto" w:before="2" w:after="0"/>
        <w:ind w:left="840" w:right="157" w:hanging="361"/>
        <w:jc w:val="both"/>
        <w:rPr>
          <w:rFonts w:ascii="Symbol" w:hAnsi="Symbol"/>
          <w:sz w:val="22"/>
        </w:rPr>
      </w:pPr>
      <w:r>
        <w:rPr>
          <w:sz w:val="22"/>
        </w:rPr>
        <w:t>If the project was financed with Low Income Housing Tax Credits, the tax credit rent </w:t>
      </w:r>
      <w:r>
        <w:rPr>
          <w:spacing w:val="-2"/>
          <w:sz w:val="22"/>
        </w:rPr>
        <w:t>prevails.</w:t>
      </w:r>
    </w:p>
    <w:p>
      <w:pPr>
        <w:pStyle w:val="BodyText"/>
        <w:spacing w:before="1"/>
      </w:pPr>
    </w:p>
    <w:p>
      <w:pPr>
        <w:pStyle w:val="Heading5"/>
      </w:pPr>
      <w:r>
        <w:rPr/>
        <w:t>Acceptable</w:t>
      </w:r>
      <w:r>
        <w:rPr>
          <w:spacing w:val="-4"/>
        </w:rPr>
        <w:t> </w:t>
      </w:r>
      <w:r>
        <w:rPr/>
        <w:t>Rents</w:t>
      </w:r>
      <w:r>
        <w:rPr>
          <w:spacing w:val="-6"/>
        </w:rPr>
        <w:t> </w:t>
      </w:r>
      <w:r>
        <w:rPr/>
        <w:t>for</w:t>
      </w:r>
      <w:r>
        <w:rPr>
          <w:spacing w:val="-5"/>
        </w:rPr>
        <w:t> </w:t>
      </w:r>
      <w:r>
        <w:rPr/>
        <w:t>HOME</w:t>
      </w:r>
      <w:r>
        <w:rPr>
          <w:spacing w:val="-6"/>
        </w:rPr>
        <w:t> </w:t>
      </w:r>
      <w:r>
        <w:rPr/>
        <w:t>Projects</w:t>
      </w:r>
      <w:r>
        <w:rPr>
          <w:spacing w:val="-5"/>
        </w:rPr>
        <w:t> </w:t>
      </w:r>
      <w:r>
        <w:rPr>
          <w:spacing w:val="-4"/>
        </w:rPr>
        <w:t>Only</w:t>
      </w:r>
    </w:p>
    <w:p>
      <w:pPr>
        <w:pStyle w:val="BodyText"/>
        <w:spacing w:before="49"/>
        <w:ind w:left="120" w:right="153"/>
        <w:jc w:val="both"/>
      </w:pPr>
      <w:r>
        <w:rPr/>
        <w:t>The HOME program has established rules in relation to acceptable rents. There are two rent standards: High HOME Rent and Low HOME rent. For properties with five or more HOME assisted united, at least 20% of the units must have rents that meet the “Low HOME” criteria.</w:t>
      </w:r>
    </w:p>
    <w:p>
      <w:pPr>
        <w:pStyle w:val="BodyText"/>
        <w:spacing w:before="1"/>
      </w:pPr>
    </w:p>
    <w:p>
      <w:pPr>
        <w:pStyle w:val="BodyText"/>
        <w:ind w:left="120" w:right="151"/>
        <w:jc w:val="both"/>
      </w:pPr>
      <w:r>
        <w:rPr>
          <w:b/>
        </w:rPr>
        <w:t>High</w:t>
      </w:r>
      <w:r>
        <w:rPr>
          <w:b/>
          <w:spacing w:val="-1"/>
        </w:rPr>
        <w:t> </w:t>
      </w:r>
      <w:r>
        <w:rPr>
          <w:b/>
        </w:rPr>
        <w:t>HOME</w:t>
      </w:r>
      <w:r>
        <w:rPr>
          <w:b/>
          <w:spacing w:val="-2"/>
        </w:rPr>
        <w:t> </w:t>
      </w:r>
      <w:r>
        <w:rPr>
          <w:b/>
        </w:rPr>
        <w:t>Rent: </w:t>
      </w:r>
      <w:r>
        <w:rPr/>
        <w:t>lesser of</w:t>
      </w:r>
      <w:r>
        <w:rPr>
          <w:spacing w:val="-3"/>
        </w:rPr>
        <w:t> </w:t>
      </w:r>
      <w:r>
        <w:rPr/>
        <w:t>the</w:t>
      </w:r>
      <w:r>
        <w:rPr>
          <w:spacing w:val="-2"/>
        </w:rPr>
        <w:t> </w:t>
      </w:r>
      <w:r>
        <w:rPr/>
        <w:t>Section</w:t>
      </w:r>
      <w:r>
        <w:rPr>
          <w:spacing w:val="-2"/>
        </w:rPr>
        <w:t> </w:t>
      </w:r>
      <w:r>
        <w:rPr/>
        <w:t>8</w:t>
      </w:r>
      <w:r>
        <w:rPr>
          <w:spacing w:val="-2"/>
        </w:rPr>
        <w:t> </w:t>
      </w:r>
      <w:r>
        <w:rPr/>
        <w:t>Fair</w:t>
      </w:r>
      <w:r>
        <w:rPr>
          <w:spacing w:val="-3"/>
        </w:rPr>
        <w:t> </w:t>
      </w:r>
      <w:r>
        <w:rPr/>
        <w:t>Market Rents</w:t>
      </w:r>
      <w:r>
        <w:rPr>
          <w:spacing w:val="-1"/>
        </w:rPr>
        <w:t> </w:t>
      </w:r>
      <w:r>
        <w:rPr/>
        <w:t>for existing</w:t>
      </w:r>
      <w:r>
        <w:rPr>
          <w:spacing w:val="-2"/>
        </w:rPr>
        <w:t> </w:t>
      </w:r>
      <w:r>
        <w:rPr/>
        <w:t>housing</w:t>
      </w:r>
      <w:r>
        <w:rPr>
          <w:spacing w:val="-2"/>
        </w:rPr>
        <w:t> </w:t>
      </w:r>
      <w:r>
        <w:rPr/>
        <w:t>OR</w:t>
      </w:r>
      <w:r>
        <w:rPr>
          <w:spacing w:val="-2"/>
        </w:rPr>
        <w:t> </w:t>
      </w:r>
      <w:r>
        <w:rPr/>
        <w:t>30% of the adjusted income of a family whose annual income equals 65% of the area median income.</w:t>
      </w:r>
    </w:p>
    <w:p>
      <w:pPr>
        <w:pStyle w:val="BodyText"/>
        <w:spacing w:before="11"/>
        <w:rPr>
          <w:sz w:val="21"/>
        </w:rPr>
      </w:pPr>
    </w:p>
    <w:p>
      <w:pPr>
        <w:pStyle w:val="BodyText"/>
        <w:ind w:left="120" w:right="155"/>
        <w:jc w:val="both"/>
      </w:pPr>
      <w:r>
        <w:rPr>
          <w:b/>
        </w:rPr>
        <w:t>Low HOME Rent: </w:t>
      </w:r>
      <w:r>
        <w:rPr/>
        <w:t>30% of the tenant’s monthly adjusted income OR 30% of the annual income of a family whose income equals 50% of the area median income.</w:t>
      </w:r>
    </w:p>
    <w:p>
      <w:pPr>
        <w:spacing w:after="0"/>
        <w:jc w:val="both"/>
        <w:sectPr>
          <w:pgSz w:w="12240" w:h="15840"/>
          <w:pgMar w:header="0" w:footer="1738" w:top="1360" w:bottom="1920" w:left="1320" w:right="1280"/>
        </w:sectPr>
      </w:pPr>
    </w:p>
    <w:p>
      <w:pPr>
        <w:pStyle w:val="Heading3"/>
        <w:jc w:val="both"/>
      </w:pPr>
      <w:bookmarkStart w:name="Mixed Income Housing Development Bonus P" w:id="50"/>
      <w:bookmarkEnd w:id="50"/>
      <w:r>
        <w:rPr/>
      </w:r>
      <w:bookmarkStart w:name="_bookmark17" w:id="51"/>
      <w:bookmarkEnd w:id="51"/>
      <w:r>
        <w:rPr/>
      </w:r>
      <w:r>
        <w:rPr>
          <w:color w:val="001F5F"/>
        </w:rPr>
        <w:t>Mixed</w:t>
      </w:r>
      <w:r>
        <w:rPr>
          <w:color w:val="001F5F"/>
          <w:spacing w:val="-11"/>
        </w:rPr>
        <w:t> </w:t>
      </w:r>
      <w:r>
        <w:rPr>
          <w:color w:val="001F5F"/>
        </w:rPr>
        <w:t>Income</w:t>
      </w:r>
      <w:r>
        <w:rPr>
          <w:color w:val="001F5F"/>
          <w:spacing w:val="-11"/>
        </w:rPr>
        <w:t> </w:t>
      </w:r>
      <w:r>
        <w:rPr>
          <w:color w:val="001F5F"/>
        </w:rPr>
        <w:t>Housing</w:t>
      </w:r>
      <w:r>
        <w:rPr>
          <w:color w:val="001F5F"/>
          <w:spacing w:val="-10"/>
        </w:rPr>
        <w:t> </w:t>
      </w:r>
      <w:r>
        <w:rPr>
          <w:color w:val="001F5F"/>
        </w:rPr>
        <w:t>Development</w:t>
      </w:r>
      <w:r>
        <w:rPr>
          <w:color w:val="001F5F"/>
          <w:spacing w:val="-11"/>
        </w:rPr>
        <w:t> </w:t>
      </w:r>
      <w:r>
        <w:rPr>
          <w:color w:val="001F5F"/>
        </w:rPr>
        <w:t>Bonus</w:t>
      </w:r>
      <w:r>
        <w:rPr>
          <w:color w:val="001F5F"/>
          <w:spacing w:val="-6"/>
        </w:rPr>
        <w:t> </w:t>
      </w:r>
      <w:r>
        <w:rPr>
          <w:color w:val="FF0000"/>
        </w:rPr>
        <w:t>Pillars</w:t>
      </w:r>
      <w:r>
        <w:rPr>
          <w:color w:val="FF0000"/>
          <w:spacing w:val="-8"/>
        </w:rPr>
        <w:t> </w:t>
      </w:r>
      <w:r>
        <w:rPr>
          <w:color w:val="FF0000"/>
        </w:rPr>
        <w:t>1,</w:t>
      </w:r>
      <w:r>
        <w:rPr>
          <w:color w:val="FF0000"/>
          <w:spacing w:val="-11"/>
        </w:rPr>
        <w:t> </w:t>
      </w:r>
      <w:r>
        <w:rPr>
          <w:color w:val="FF0000"/>
        </w:rPr>
        <w:t>2,</w:t>
      </w:r>
      <w:r>
        <w:rPr>
          <w:color w:val="FF0000"/>
          <w:spacing w:val="-10"/>
        </w:rPr>
        <w:t> </w:t>
      </w:r>
      <w:r>
        <w:rPr>
          <w:color w:val="FF0000"/>
        </w:rPr>
        <w:t>6,</w:t>
      </w:r>
      <w:r>
        <w:rPr>
          <w:color w:val="FF0000"/>
          <w:spacing w:val="-11"/>
        </w:rPr>
        <w:t> </w:t>
      </w:r>
      <w:r>
        <w:rPr>
          <w:color w:val="FF0000"/>
          <w:spacing w:val="-10"/>
        </w:rPr>
        <w:t>7</w:t>
      </w:r>
    </w:p>
    <w:p>
      <w:pPr>
        <w:pStyle w:val="BodyText"/>
        <w:spacing w:before="28"/>
        <w:ind w:left="120" w:right="156"/>
        <w:jc w:val="both"/>
      </w:pPr>
      <w:r>
        <w:rPr/>
        <w:t>The mixed income housing development bonus (MIHDB) and the mixed income housing administrative requirements were approved by Ordinance Nos. 31142 and 31152, on March 27, 2019.</w:t>
      </w:r>
      <w:r>
        <w:rPr>
          <w:spacing w:val="-16"/>
        </w:rPr>
        <w:t> </w:t>
      </w:r>
      <w:r>
        <w:rPr/>
        <w:t>The</w:t>
      </w:r>
      <w:r>
        <w:rPr>
          <w:spacing w:val="-15"/>
        </w:rPr>
        <w:t> </w:t>
      </w:r>
      <w:r>
        <w:rPr/>
        <w:t>MIHDB</w:t>
      </w:r>
      <w:r>
        <w:rPr>
          <w:spacing w:val="-15"/>
        </w:rPr>
        <w:t> </w:t>
      </w:r>
      <w:r>
        <w:rPr/>
        <w:t>program</w:t>
      </w:r>
      <w:r>
        <w:rPr>
          <w:spacing w:val="-16"/>
        </w:rPr>
        <w:t> </w:t>
      </w:r>
      <w:r>
        <w:rPr/>
        <w:t>was</w:t>
      </w:r>
      <w:r>
        <w:rPr>
          <w:spacing w:val="-15"/>
        </w:rPr>
        <w:t> </w:t>
      </w:r>
      <w:r>
        <w:rPr/>
        <w:t>amended</w:t>
      </w:r>
      <w:r>
        <w:rPr>
          <w:spacing w:val="-15"/>
        </w:rPr>
        <w:t> </w:t>
      </w:r>
      <w:r>
        <w:rPr/>
        <w:t>by</w:t>
      </w:r>
      <w:r>
        <w:rPr>
          <w:spacing w:val="-15"/>
        </w:rPr>
        <w:t> </w:t>
      </w:r>
      <w:r>
        <w:rPr/>
        <w:t>Ordinance</w:t>
      </w:r>
      <w:r>
        <w:rPr>
          <w:spacing w:val="-16"/>
        </w:rPr>
        <w:t> </w:t>
      </w:r>
      <w:r>
        <w:rPr/>
        <w:t>Nos.</w:t>
      </w:r>
      <w:r>
        <w:rPr>
          <w:spacing w:val="-15"/>
        </w:rPr>
        <w:t> </w:t>
      </w:r>
      <w:r>
        <w:rPr/>
        <w:t>32195</w:t>
      </w:r>
      <w:r>
        <w:rPr>
          <w:spacing w:val="-15"/>
        </w:rPr>
        <w:t> </w:t>
      </w:r>
      <w:r>
        <w:rPr/>
        <w:t>and</w:t>
      </w:r>
      <w:r>
        <w:rPr>
          <w:spacing w:val="-16"/>
        </w:rPr>
        <w:t> </w:t>
      </w:r>
      <w:r>
        <w:rPr/>
        <w:t>32210</w:t>
      </w:r>
      <w:r>
        <w:rPr>
          <w:spacing w:val="-15"/>
        </w:rPr>
        <w:t> </w:t>
      </w:r>
      <w:r>
        <w:rPr/>
        <w:t>and</w:t>
      </w:r>
      <w:r>
        <w:rPr>
          <w:spacing w:val="-15"/>
        </w:rPr>
        <w:t> </w:t>
      </w:r>
      <w:r>
        <w:rPr/>
        <w:t>by</w:t>
      </w:r>
      <w:r>
        <w:rPr>
          <w:spacing w:val="-15"/>
        </w:rPr>
        <w:t> </w:t>
      </w:r>
      <w:r>
        <w:rPr/>
        <w:t>Resolution 22-0744 on May 11, 2022.</w:t>
      </w:r>
    </w:p>
    <w:p>
      <w:pPr>
        <w:pStyle w:val="BodyText"/>
        <w:spacing w:before="11"/>
        <w:rPr>
          <w:sz w:val="21"/>
        </w:rPr>
      </w:pPr>
    </w:p>
    <w:p>
      <w:pPr>
        <w:pStyle w:val="Heading5"/>
        <w:jc w:val="left"/>
      </w:pPr>
      <w:r>
        <w:rPr>
          <w:spacing w:val="-2"/>
        </w:rPr>
        <w:t>Background</w:t>
      </w:r>
    </w:p>
    <w:p>
      <w:pPr>
        <w:pStyle w:val="BodyText"/>
        <w:spacing w:before="52"/>
        <w:ind w:left="119" w:right="156"/>
        <w:jc w:val="both"/>
      </w:pPr>
      <w:r>
        <w:rPr/>
        <w:pict>
          <v:shape style="position:absolute;margin-left:90.065002pt;margin-top:1.547543pt;width:395.3pt;height:419pt;mso-position-horizontal-relative:page;mso-position-vertical-relative:paragraph;z-index:-17704448" id="docshape79" coordorigin="1801,31" coordsize="7906,8380" path="m4498,7295l4492,7221,4477,7143,4455,7060,4432,6991,4403,6919,4367,6844,4325,6766,4276,6685,4237,6626,4200,6576,4200,7261,4197,7318,4186,7374,4167,7432,4138,7492,4097,7554,4044,7620,3979,7690,3674,7995,2216,6538,2517,6237,2598,6161,2672,6101,2740,6057,2801,6031,2868,6016,2941,6012,3020,6019,3105,6037,3195,6066,3255,6092,3317,6124,3380,6162,3446,6208,3514,6259,3584,6317,3656,6382,3729,6453,3789,6515,3845,6575,3896,6634,3943,6692,3986,6748,4025,6804,4059,6858,4101,6932,4136,7004,4163,7074,4183,7141,4196,7205,4200,7261,4200,6576,4194,6567,4148,6507,4098,6446,4045,6385,3989,6324,3929,6262,3865,6200,3801,6141,3737,6086,3673,6035,3643,6012,3609,5987,3546,5942,3482,5901,3419,5863,3346,5826,3274,5793,3203,5766,3132,5744,3062,5727,2992,5715,2923,5708,2850,5706,2779,5713,2709,5728,2642,5751,2577,5781,2528,5809,2476,5846,2420,5892,2359,5946,2294,6009,1801,6502,3710,8410,4124,7995,4226,7894,4287,7828,4341,7763,4386,7697,4424,7631,4454,7564,4476,7498,4491,7431,4498,7363,4498,7295xm6418,5701l6056,5574,5650,5431,5561,5402,5475,5378,5393,5359,5365,5354,5314,5344,5239,5334,5193,5333,5143,5336,5089,5343,5030,5354,5073,5284,5109,5214,5136,5145,5154,5076,5164,5008,5165,4940,5157,4872,5139,4794,5111,4718,5075,4643,5030,4570,4976,4500,4956,4477,4913,4431,4872,4393,4872,4950,4868,5006,4854,5061,4830,5117,4794,5176,4747,5237,4687,5300,4280,5707,3649,5076,4102,4623,4166,4566,4229,4523,4293,4493,4358,4478,4422,4477,4501,4492,4577,4522,4649,4567,4718,4626,4761,4674,4797,4725,4827,4778,4851,4835,4867,4893,4872,4950,4872,4393,4849,4371,4782,4319,4713,4274,4641,4235,4566,4203,4474,4175,4386,4162,4303,4164,4225,4180,4163,4205,4098,4241,4030,4289,3958,4349,3883,4420,3248,5055,5157,6963,5346,6773,4499,5926,4718,5707,4753,5673,4783,5646,4810,5624,4833,5610,4863,5596,4896,5586,4932,5578,4971,5574,5014,5574,5066,5579,5125,5589,5194,5606,5256,5623,5328,5644,5407,5669,5496,5698,6180,5940,6418,5701xm7780,4339l7415,4144,6555,3690,6555,3997,6070,4482,6030,4411,5989,4339,5748,3909,5708,3837,5668,3765,5629,3700,5590,3635,5550,3571,5509,3508,5467,3446,5424,3384,5380,3324,5436,3360,5498,3397,5564,3437,5635,3479,5792,3570,6555,3997,6555,3690,5862,3324,5286,3017,5082,3221,5277,3571,5316,3642,5701,4339,6207,5258,6441,5679,6642,5478,6565,5344,6298,4876,6221,4743,6481,4482,6820,4144,7173,4339,7565,4555,7780,4339xm8131,3989l7264,3122,7936,2450,7711,2225,7039,2897,6448,2306,7224,1529,6999,1304,6033,2270,7941,4178,8131,3989xm9707,2413l8024,730,8497,256,8272,31,7138,1166,7363,1391,7834,919,9517,2602,9707,2413xe" filled="true" fillcolor="#c0c0c0" stroked="false">
            <v:path arrowok="t"/>
            <v:fill opacity="32896f" type="solid"/>
            <w10:wrap type="none"/>
          </v:shape>
        </w:pict>
      </w:r>
      <w:r>
        <w:rPr/>
        <w:t>The goal of the MIHDB is to address systemic inequities by providing housing that is affordable to a broad range of income levels in all areas of the city. The program will create affordable housing in strong neighborhoods (Market Value Analysis (MVA) Categories A, B, and C); create mixed income communities and reduce neighborhood displacement in gentrifying and transitioning</w:t>
      </w:r>
      <w:r>
        <w:rPr>
          <w:spacing w:val="-4"/>
        </w:rPr>
        <w:t> </w:t>
      </w:r>
      <w:r>
        <w:rPr/>
        <w:t>areas</w:t>
      </w:r>
      <w:r>
        <w:rPr>
          <w:spacing w:val="-6"/>
        </w:rPr>
        <w:t> </w:t>
      </w:r>
      <w:r>
        <w:rPr/>
        <w:t>(MVA</w:t>
      </w:r>
      <w:r>
        <w:rPr>
          <w:spacing w:val="-4"/>
        </w:rPr>
        <w:t> </w:t>
      </w:r>
      <w:r>
        <w:rPr/>
        <w:t>Categories</w:t>
      </w:r>
      <w:r>
        <w:rPr>
          <w:spacing w:val="-6"/>
        </w:rPr>
        <w:t> </w:t>
      </w:r>
      <w:r>
        <w:rPr/>
        <w:t>D,</w:t>
      </w:r>
      <w:r>
        <w:rPr>
          <w:spacing w:val="-5"/>
        </w:rPr>
        <w:t> </w:t>
      </w:r>
      <w:r>
        <w:rPr/>
        <w:t>E,</w:t>
      </w:r>
      <w:r>
        <w:rPr>
          <w:spacing w:val="-5"/>
        </w:rPr>
        <w:t> </w:t>
      </w:r>
      <w:r>
        <w:rPr/>
        <w:t>and</w:t>
      </w:r>
      <w:r>
        <w:rPr>
          <w:spacing w:val="-6"/>
        </w:rPr>
        <w:t> </w:t>
      </w:r>
      <w:r>
        <w:rPr/>
        <w:t>F);</w:t>
      </w:r>
      <w:r>
        <w:rPr>
          <w:spacing w:val="-5"/>
        </w:rPr>
        <w:t> </w:t>
      </w:r>
      <w:r>
        <w:rPr/>
        <w:t>and</w:t>
      </w:r>
      <w:r>
        <w:rPr>
          <w:spacing w:val="-4"/>
        </w:rPr>
        <w:t> </w:t>
      </w:r>
      <w:r>
        <w:rPr/>
        <w:t>support</w:t>
      </w:r>
      <w:r>
        <w:rPr>
          <w:spacing w:val="-2"/>
        </w:rPr>
        <w:t> </w:t>
      </w:r>
      <w:r>
        <w:rPr/>
        <w:t>equitable</w:t>
      </w:r>
      <w:r>
        <w:rPr>
          <w:spacing w:val="-6"/>
        </w:rPr>
        <w:t> </w:t>
      </w:r>
      <w:r>
        <w:rPr/>
        <w:t>revitalization</w:t>
      </w:r>
      <w:hyperlink w:history="true" w:anchor="_bookmark18">
        <w:r>
          <w:rPr>
            <w:vertAlign w:val="superscript"/>
          </w:rPr>
          <w:t>1</w:t>
        </w:r>
      </w:hyperlink>
      <w:r>
        <w:rPr>
          <w:spacing w:val="-4"/>
          <w:vertAlign w:val="baseline"/>
        </w:rPr>
        <w:t> </w:t>
      </w:r>
      <w:r>
        <w:rPr>
          <w:vertAlign w:val="baseline"/>
        </w:rPr>
        <w:t>in</w:t>
      </w:r>
      <w:r>
        <w:rPr>
          <w:spacing w:val="-4"/>
          <w:vertAlign w:val="baseline"/>
        </w:rPr>
        <w:t> </w:t>
      </w:r>
      <w:r>
        <w:rPr>
          <w:vertAlign w:val="baseline"/>
        </w:rPr>
        <w:t>weaker market areas (MVA Categories G, H, and</w:t>
      </w:r>
      <w:r>
        <w:rPr>
          <w:spacing w:val="-2"/>
          <w:vertAlign w:val="baseline"/>
        </w:rPr>
        <w:t> </w:t>
      </w:r>
      <w:r>
        <w:rPr>
          <w:vertAlign w:val="baseline"/>
        </w:rPr>
        <w:t>I).</w:t>
      </w:r>
      <w:hyperlink w:history="true" w:anchor="_bookmark19">
        <w:r>
          <w:rPr>
            <w:vertAlign w:val="superscript"/>
          </w:rPr>
          <w:t>2</w:t>
        </w:r>
      </w:hyperlink>
      <w:r>
        <w:rPr>
          <w:vertAlign w:val="baseline"/>
        </w:rPr>
        <w:t> Likewise, the MIHDB Fund will be used to support the creation of housing least likely to be provided by the market.</w:t>
      </w:r>
    </w:p>
    <w:p>
      <w:pPr>
        <w:pStyle w:val="BodyText"/>
        <w:spacing w:before="11"/>
        <w:rPr>
          <w:sz w:val="21"/>
        </w:rPr>
      </w:pPr>
    </w:p>
    <w:p>
      <w:pPr>
        <w:pStyle w:val="BodyText"/>
        <w:ind w:left="119" w:right="155"/>
        <w:jc w:val="both"/>
      </w:pPr>
      <w:r>
        <w:rPr/>
        <w:t>On March 27, 2019, City Council approved amendments to Chapter 51A of the Dallas Development Code to allow by-right development bonuses to incentivize new mixed-income rental</w:t>
      </w:r>
      <w:r>
        <w:rPr>
          <w:spacing w:val="-3"/>
        </w:rPr>
        <w:t> </w:t>
      </w:r>
      <w:r>
        <w:rPr/>
        <w:t>development.</w:t>
      </w:r>
      <w:r>
        <w:rPr>
          <w:spacing w:val="-1"/>
        </w:rPr>
        <w:t> </w:t>
      </w:r>
      <w:r>
        <w:rPr/>
        <w:t>These</w:t>
      </w:r>
      <w:r>
        <w:rPr>
          <w:spacing w:val="-3"/>
        </w:rPr>
        <w:t> </w:t>
      </w:r>
      <w:r>
        <w:rPr/>
        <w:t>by-right</w:t>
      </w:r>
      <w:r>
        <w:rPr>
          <w:spacing w:val="-1"/>
        </w:rPr>
        <w:t> </w:t>
      </w:r>
      <w:r>
        <w:rPr/>
        <w:t>bonuses</w:t>
      </w:r>
      <w:r>
        <w:rPr>
          <w:spacing w:val="-2"/>
        </w:rPr>
        <w:t> </w:t>
      </w:r>
      <w:r>
        <w:rPr/>
        <w:t>are</w:t>
      </w:r>
      <w:r>
        <w:rPr>
          <w:spacing w:val="-6"/>
        </w:rPr>
        <w:t> </w:t>
      </w:r>
      <w:r>
        <w:rPr/>
        <w:t>available</w:t>
      </w:r>
      <w:r>
        <w:rPr>
          <w:spacing w:val="-3"/>
        </w:rPr>
        <w:t> </w:t>
      </w:r>
      <w:r>
        <w:rPr/>
        <w:t>in</w:t>
      </w:r>
      <w:r>
        <w:rPr>
          <w:spacing w:val="-3"/>
        </w:rPr>
        <w:t> </w:t>
      </w:r>
      <w:r>
        <w:rPr/>
        <w:t>MF</w:t>
      </w:r>
      <w:r>
        <w:rPr>
          <w:spacing w:val="-2"/>
        </w:rPr>
        <w:t> </w:t>
      </w:r>
      <w:r>
        <w:rPr/>
        <w:t>–</w:t>
      </w:r>
      <w:r>
        <w:rPr>
          <w:spacing w:val="-2"/>
        </w:rPr>
        <w:t> </w:t>
      </w:r>
      <w:r>
        <w:rPr/>
        <w:t>Multifamily</w:t>
      </w:r>
      <w:r>
        <w:rPr>
          <w:spacing w:val="-2"/>
        </w:rPr>
        <w:t> </w:t>
      </w:r>
      <w:r>
        <w:rPr/>
        <w:t>Districts</w:t>
      </w:r>
      <w:r>
        <w:rPr>
          <w:spacing w:val="-4"/>
        </w:rPr>
        <w:t> </w:t>
      </w:r>
      <w:r>
        <w:rPr/>
        <w:t>and</w:t>
      </w:r>
      <w:r>
        <w:rPr>
          <w:spacing w:val="-4"/>
        </w:rPr>
        <w:t> </w:t>
      </w:r>
      <w:r>
        <w:rPr/>
        <w:t>MU</w:t>
      </w:r>
      <w:r>
        <w:rPr>
          <w:spacing w:val="-3"/>
        </w:rPr>
        <w:t> </w:t>
      </w:r>
      <w:r>
        <w:rPr/>
        <w:t>– Mixed Use Districts</w:t>
      </w:r>
      <w:hyperlink w:history="true" w:anchor="_bookmark20">
        <w:r>
          <w:rPr>
            <w:vertAlign w:val="superscript"/>
          </w:rPr>
          <w:t>3</w:t>
        </w:r>
      </w:hyperlink>
      <w:r>
        <w:rPr>
          <w:vertAlign w:val="baseline"/>
        </w:rPr>
        <w:t> As of 2019, these districts represented approximately 15,000 acres across the city.</w:t>
      </w:r>
    </w:p>
    <w:p>
      <w:pPr>
        <w:pStyle w:val="BodyText"/>
        <w:spacing w:before="1"/>
      </w:pPr>
    </w:p>
    <w:p>
      <w:pPr>
        <w:pStyle w:val="BodyText"/>
        <w:ind w:left="119" w:right="155"/>
        <w:jc w:val="both"/>
      </w:pPr>
      <w:r>
        <w:rPr/>
        <w:t>The by-right bonuses in Chapter 51A provide a framework for new and amended planned development</w:t>
      </w:r>
      <w:r>
        <w:rPr>
          <w:spacing w:val="-11"/>
        </w:rPr>
        <w:t> </w:t>
      </w:r>
      <w:r>
        <w:rPr/>
        <w:t>districts</w:t>
      </w:r>
      <w:r>
        <w:rPr>
          <w:spacing w:val="-12"/>
        </w:rPr>
        <w:t> </w:t>
      </w:r>
      <w:r>
        <w:rPr/>
        <w:t>(PDs)</w:t>
      </w:r>
      <w:r>
        <w:rPr>
          <w:spacing w:val="-11"/>
        </w:rPr>
        <w:t> </w:t>
      </w:r>
      <w:r>
        <w:rPr/>
        <w:t>offering</w:t>
      </w:r>
      <w:r>
        <w:rPr>
          <w:spacing w:val="-12"/>
        </w:rPr>
        <w:t> </w:t>
      </w:r>
      <w:r>
        <w:rPr/>
        <w:t>a</w:t>
      </w:r>
      <w:r>
        <w:rPr>
          <w:spacing w:val="-15"/>
        </w:rPr>
        <w:t> </w:t>
      </w:r>
      <w:r>
        <w:rPr/>
        <w:t>base</w:t>
      </w:r>
      <w:r>
        <w:rPr>
          <w:spacing w:val="-12"/>
        </w:rPr>
        <w:t> </w:t>
      </w:r>
      <w:r>
        <w:rPr/>
        <w:t>plus</w:t>
      </w:r>
      <w:r>
        <w:rPr>
          <w:spacing w:val="-14"/>
        </w:rPr>
        <w:t> </w:t>
      </w:r>
      <w:r>
        <w:rPr/>
        <w:t>a</w:t>
      </w:r>
      <w:r>
        <w:rPr>
          <w:spacing w:val="-12"/>
        </w:rPr>
        <w:t> </w:t>
      </w:r>
      <w:r>
        <w:rPr/>
        <w:t>negotiated</w:t>
      </w:r>
      <w:r>
        <w:rPr>
          <w:spacing w:val="-12"/>
        </w:rPr>
        <w:t> </w:t>
      </w:r>
      <w:r>
        <w:rPr/>
        <w:t>bonus.</w:t>
      </w:r>
      <w:r>
        <w:rPr>
          <w:spacing w:val="-13"/>
        </w:rPr>
        <w:t> </w:t>
      </w:r>
      <w:r>
        <w:rPr/>
        <w:t>Regulatory</w:t>
      </w:r>
      <w:r>
        <w:rPr>
          <w:spacing w:val="-12"/>
        </w:rPr>
        <w:t> </w:t>
      </w:r>
      <w:r>
        <w:rPr/>
        <w:t>bonuses</w:t>
      </w:r>
      <w:r>
        <w:rPr>
          <w:spacing w:val="-12"/>
        </w:rPr>
        <w:t> </w:t>
      </w:r>
      <w:r>
        <w:rPr/>
        <w:t>and</w:t>
      </w:r>
      <w:r>
        <w:rPr>
          <w:spacing w:val="-15"/>
        </w:rPr>
        <w:t> </w:t>
      </w:r>
      <w:r>
        <w:rPr/>
        <w:t>the reserved unit requirements are specified in the PD, along with references to the administrative procedures in Division 51A-4.1100 and by reference the procedures in Article 20A-II - Mixed Income Housing,” which outlines requirements for managing mixed income developments approved using the MIHDB.</w:t>
      </w:r>
    </w:p>
    <w:p>
      <w:pPr>
        <w:pStyle w:val="BodyText"/>
      </w:pPr>
    </w:p>
    <w:p>
      <w:pPr>
        <w:pStyle w:val="BodyText"/>
        <w:ind w:left="119" w:right="157"/>
        <w:jc w:val="both"/>
      </w:pPr>
      <w:r>
        <w:rPr/>
        <w:t>On May 11, 2022, City Council approved amendments to Dallas City Code Chapters 51A and 20A. Together, these chapters, along with the Comprehensive Housing Policy (CHP), regulate the MIHDB.</w:t>
      </w:r>
    </w:p>
    <w:p>
      <w:pPr>
        <w:pStyle w:val="BodyText"/>
        <w:spacing w:before="10"/>
        <w:rPr>
          <w:sz w:val="21"/>
        </w:rPr>
      </w:pPr>
    </w:p>
    <w:p>
      <w:pPr>
        <w:pStyle w:val="Heading5"/>
        <w:ind w:left="119"/>
        <w:jc w:val="left"/>
      </w:pPr>
      <w:r>
        <w:rPr>
          <w:spacing w:val="-2"/>
        </w:rPr>
        <w:t>Administration</w:t>
      </w:r>
    </w:p>
    <w:p>
      <w:pPr>
        <w:pStyle w:val="BodyText"/>
        <w:spacing w:before="51"/>
        <w:ind w:left="119" w:right="50"/>
      </w:pPr>
      <w:r>
        <w:rPr/>
        <w:t>Multiple departments administer portions of this program. Among other responsibilities and in</w:t>
      </w:r>
      <w:r>
        <w:rPr>
          <w:spacing w:val="80"/>
        </w:rPr>
        <w:t> </w:t>
      </w:r>
      <w:r>
        <w:rPr>
          <w:spacing w:val="-2"/>
        </w:rPr>
        <w:t>general:</w:t>
      </w:r>
    </w:p>
    <w:p>
      <w:pPr>
        <w:pStyle w:val="BodyText"/>
        <w:spacing w:before="11"/>
        <w:rPr>
          <w:sz w:val="21"/>
        </w:rPr>
      </w:pPr>
    </w:p>
    <w:p>
      <w:pPr>
        <w:pStyle w:val="ListParagraph"/>
        <w:numPr>
          <w:ilvl w:val="1"/>
          <w:numId w:val="16"/>
        </w:numPr>
        <w:tabs>
          <w:tab w:pos="840" w:val="left" w:leader="none"/>
        </w:tabs>
        <w:spacing w:line="240" w:lineRule="auto" w:before="0" w:after="0"/>
        <w:ind w:left="839" w:right="157" w:hanging="361"/>
        <w:jc w:val="both"/>
        <w:rPr>
          <w:rFonts w:ascii="Symbol" w:hAnsi="Symbol"/>
          <w:sz w:val="22"/>
        </w:rPr>
      </w:pPr>
      <w:r>
        <w:rPr>
          <w:sz w:val="22"/>
        </w:rPr>
        <w:t>The Department of Housing and Neighborhood Revitalization administers Dallas City Code</w:t>
      </w:r>
      <w:r>
        <w:rPr>
          <w:spacing w:val="-11"/>
          <w:sz w:val="22"/>
        </w:rPr>
        <w:t> </w:t>
      </w:r>
      <w:r>
        <w:rPr>
          <w:sz w:val="22"/>
        </w:rPr>
        <w:t>Chapter</w:t>
      </w:r>
      <w:r>
        <w:rPr>
          <w:spacing w:val="-10"/>
          <w:sz w:val="22"/>
        </w:rPr>
        <w:t> </w:t>
      </w:r>
      <w:r>
        <w:rPr>
          <w:sz w:val="22"/>
        </w:rPr>
        <w:t>20A-II,</w:t>
      </w:r>
      <w:r>
        <w:rPr>
          <w:spacing w:val="-12"/>
          <w:sz w:val="22"/>
        </w:rPr>
        <w:t> </w:t>
      </w:r>
      <w:r>
        <w:rPr>
          <w:sz w:val="22"/>
        </w:rPr>
        <w:t>administers</w:t>
      </w:r>
      <w:r>
        <w:rPr>
          <w:spacing w:val="-15"/>
          <w:sz w:val="22"/>
        </w:rPr>
        <w:t> </w:t>
      </w:r>
      <w:r>
        <w:rPr>
          <w:sz w:val="22"/>
        </w:rPr>
        <w:t>the</w:t>
      </w:r>
      <w:r>
        <w:rPr>
          <w:spacing w:val="-13"/>
          <w:sz w:val="22"/>
        </w:rPr>
        <w:t> </w:t>
      </w:r>
      <w:r>
        <w:rPr>
          <w:sz w:val="22"/>
        </w:rPr>
        <w:t>MIHDB</w:t>
      </w:r>
      <w:r>
        <w:rPr>
          <w:spacing w:val="-11"/>
          <w:sz w:val="22"/>
        </w:rPr>
        <w:t> </w:t>
      </w:r>
      <w:r>
        <w:rPr>
          <w:sz w:val="22"/>
        </w:rPr>
        <w:t>fund,</w:t>
      </w:r>
      <w:r>
        <w:rPr>
          <w:spacing w:val="-12"/>
          <w:sz w:val="22"/>
        </w:rPr>
        <w:t> </w:t>
      </w:r>
      <w:r>
        <w:rPr>
          <w:sz w:val="22"/>
        </w:rPr>
        <w:t>recommends</w:t>
      </w:r>
      <w:r>
        <w:rPr>
          <w:spacing w:val="-13"/>
          <w:sz w:val="22"/>
        </w:rPr>
        <w:t> </w:t>
      </w:r>
      <w:r>
        <w:rPr>
          <w:sz w:val="22"/>
        </w:rPr>
        <w:t>percentages</w:t>
      </w:r>
      <w:r>
        <w:rPr>
          <w:spacing w:val="-10"/>
          <w:sz w:val="22"/>
        </w:rPr>
        <w:t> </w:t>
      </w:r>
      <w:r>
        <w:rPr>
          <w:sz w:val="22"/>
        </w:rPr>
        <w:t>of</w:t>
      </w:r>
      <w:r>
        <w:rPr>
          <w:spacing w:val="-12"/>
          <w:sz w:val="22"/>
        </w:rPr>
        <w:t> </w:t>
      </w:r>
      <w:r>
        <w:rPr>
          <w:sz w:val="22"/>
        </w:rPr>
        <w:t>reserved units and income bands in zoning cases, and monitors developments for compliance</w:t>
      </w:r>
    </w:p>
    <w:p>
      <w:pPr>
        <w:pStyle w:val="ListParagraph"/>
        <w:numPr>
          <w:ilvl w:val="1"/>
          <w:numId w:val="16"/>
        </w:numPr>
        <w:tabs>
          <w:tab w:pos="840" w:val="left" w:leader="none"/>
        </w:tabs>
        <w:spacing w:line="237" w:lineRule="auto" w:before="2" w:after="0"/>
        <w:ind w:left="839" w:right="159" w:hanging="361"/>
        <w:jc w:val="both"/>
        <w:rPr>
          <w:rFonts w:ascii="Symbol" w:hAnsi="Symbol"/>
          <w:sz w:val="22"/>
        </w:rPr>
      </w:pPr>
      <w:r>
        <w:rPr>
          <w:sz w:val="22"/>
        </w:rPr>
        <w:t>The Department of Planning and Urban Design administers zoning changes and participation in the bonus from a land use perspective</w:t>
      </w:r>
    </w:p>
    <w:p>
      <w:pPr>
        <w:pStyle w:val="ListParagraph"/>
        <w:numPr>
          <w:ilvl w:val="1"/>
          <w:numId w:val="16"/>
        </w:numPr>
        <w:tabs>
          <w:tab w:pos="840" w:val="left" w:leader="none"/>
        </w:tabs>
        <w:spacing w:line="237" w:lineRule="auto" w:before="3" w:after="0"/>
        <w:ind w:left="839" w:right="159" w:hanging="361"/>
        <w:jc w:val="both"/>
        <w:rPr>
          <w:rFonts w:ascii="Symbol" w:hAnsi="Symbol"/>
          <w:sz w:val="22"/>
        </w:rPr>
      </w:pPr>
      <w:r>
        <w:rPr>
          <w:sz w:val="22"/>
        </w:rPr>
        <w:t>The Department of Development Services</w:t>
      </w:r>
      <w:r>
        <w:rPr>
          <w:spacing w:val="-2"/>
          <w:sz w:val="22"/>
        </w:rPr>
        <w:t> </w:t>
      </w:r>
      <w:r>
        <w:rPr>
          <w:sz w:val="22"/>
        </w:rPr>
        <w:t>reviews development applications for building permits and ensures compliance with the Dallas Development Code</w:t>
      </w:r>
    </w:p>
    <w:p>
      <w:pPr>
        <w:pStyle w:val="BodyText"/>
        <w:spacing w:before="8"/>
        <w:rPr>
          <w:sz w:val="16"/>
        </w:rPr>
      </w:pPr>
      <w:r>
        <w:rPr/>
        <w:pict>
          <v:rect style="position:absolute;margin-left:72pt;margin-top:10.847539pt;width:144pt;height:.6pt;mso-position-horizontal-relative:page;mso-position-vertical-relative:paragraph;z-index:-15685632;mso-wrap-distance-left:0;mso-wrap-distance-right:0" id="docshape80" filled="true" fillcolor="#000000" stroked="false">
            <v:fill type="solid"/>
            <w10:wrap type="topAndBottom"/>
          </v:rect>
        </w:pict>
      </w:r>
    </w:p>
    <w:p>
      <w:pPr>
        <w:spacing w:before="92"/>
        <w:ind w:left="119" w:right="0" w:firstLine="0"/>
        <w:jc w:val="left"/>
        <w:rPr>
          <w:sz w:val="16"/>
        </w:rPr>
      </w:pPr>
      <w:bookmarkStart w:name="_bookmark18" w:id="52"/>
      <w:bookmarkEnd w:id="52"/>
      <w:r>
        <w:rPr/>
      </w:r>
      <w:r>
        <w:rPr>
          <w:sz w:val="16"/>
          <w:vertAlign w:val="superscript"/>
        </w:rPr>
        <w:t>1</w:t>
      </w:r>
      <w:r>
        <w:rPr>
          <w:spacing w:val="21"/>
          <w:sz w:val="16"/>
          <w:vertAlign w:val="baseline"/>
        </w:rPr>
        <w:t> </w:t>
      </w:r>
      <w:r>
        <w:rPr>
          <w:i/>
          <w:sz w:val="16"/>
          <w:vertAlign w:val="baseline"/>
        </w:rPr>
        <w:t>Equitable</w:t>
      </w:r>
      <w:r>
        <w:rPr>
          <w:i/>
          <w:spacing w:val="22"/>
          <w:sz w:val="16"/>
          <w:vertAlign w:val="baseline"/>
        </w:rPr>
        <w:t> </w:t>
      </w:r>
      <w:r>
        <w:rPr>
          <w:i/>
          <w:sz w:val="16"/>
          <w:vertAlign w:val="baseline"/>
        </w:rPr>
        <w:t>revitalization </w:t>
      </w:r>
      <w:r>
        <w:rPr>
          <w:sz w:val="16"/>
          <w:vertAlign w:val="baseline"/>
        </w:rPr>
        <w:t>means</w:t>
      </w:r>
      <w:r>
        <w:rPr>
          <w:spacing w:val="21"/>
          <w:sz w:val="16"/>
          <w:vertAlign w:val="baseline"/>
        </w:rPr>
        <w:t> </w:t>
      </w:r>
      <w:r>
        <w:rPr>
          <w:sz w:val="16"/>
          <w:vertAlign w:val="baseline"/>
        </w:rPr>
        <w:t>embedding</w:t>
      </w:r>
      <w:r>
        <w:rPr>
          <w:spacing w:val="22"/>
          <w:sz w:val="16"/>
          <w:vertAlign w:val="baseline"/>
        </w:rPr>
        <w:t> </w:t>
      </w:r>
      <w:r>
        <w:rPr>
          <w:sz w:val="16"/>
          <w:vertAlign w:val="baseline"/>
        </w:rPr>
        <w:t>equitable</w:t>
      </w:r>
      <w:r>
        <w:rPr>
          <w:spacing w:val="20"/>
          <w:sz w:val="16"/>
          <w:vertAlign w:val="baseline"/>
        </w:rPr>
        <w:t> </w:t>
      </w:r>
      <w:r>
        <w:rPr>
          <w:sz w:val="16"/>
          <w:vertAlign w:val="baseline"/>
        </w:rPr>
        <w:t>principles,</w:t>
      </w:r>
      <w:r>
        <w:rPr>
          <w:spacing w:val="22"/>
          <w:sz w:val="16"/>
          <w:vertAlign w:val="baseline"/>
        </w:rPr>
        <w:t> </w:t>
      </w:r>
      <w:r>
        <w:rPr>
          <w:sz w:val="16"/>
          <w:vertAlign w:val="baseline"/>
        </w:rPr>
        <w:t>practices,</w:t>
      </w:r>
      <w:r>
        <w:rPr>
          <w:spacing w:val="21"/>
          <w:sz w:val="16"/>
          <w:vertAlign w:val="baseline"/>
        </w:rPr>
        <w:t> </w:t>
      </w:r>
      <w:r>
        <w:rPr>
          <w:sz w:val="16"/>
          <w:vertAlign w:val="baseline"/>
        </w:rPr>
        <w:t>and</w:t>
      </w:r>
      <w:r>
        <w:rPr>
          <w:spacing w:val="22"/>
          <w:sz w:val="16"/>
          <w:vertAlign w:val="baseline"/>
        </w:rPr>
        <w:t> </w:t>
      </w:r>
      <w:r>
        <w:rPr>
          <w:sz w:val="16"/>
          <w:vertAlign w:val="baseline"/>
        </w:rPr>
        <w:t>measurements</w:t>
      </w:r>
      <w:r>
        <w:rPr>
          <w:spacing w:val="21"/>
          <w:sz w:val="16"/>
          <w:vertAlign w:val="baseline"/>
        </w:rPr>
        <w:t> </w:t>
      </w:r>
      <w:r>
        <w:rPr>
          <w:sz w:val="16"/>
          <w:vertAlign w:val="baseline"/>
        </w:rPr>
        <w:t>into program</w:t>
      </w:r>
      <w:r>
        <w:rPr>
          <w:spacing w:val="22"/>
          <w:sz w:val="16"/>
          <w:vertAlign w:val="baseline"/>
        </w:rPr>
        <w:t> </w:t>
      </w:r>
      <w:r>
        <w:rPr>
          <w:sz w:val="16"/>
          <w:vertAlign w:val="baseline"/>
        </w:rPr>
        <w:t>decisions to</w:t>
      </w:r>
      <w:r>
        <w:rPr>
          <w:spacing w:val="22"/>
          <w:sz w:val="16"/>
          <w:vertAlign w:val="baseline"/>
        </w:rPr>
        <w:t> </w:t>
      </w:r>
      <w:r>
        <w:rPr>
          <w:sz w:val="16"/>
          <w:vertAlign w:val="baseline"/>
        </w:rPr>
        <w:t>protect against displacement, to prevent further decline, and to create communities where all residents thrive.</w:t>
      </w:r>
    </w:p>
    <w:p>
      <w:pPr>
        <w:spacing w:line="183" w:lineRule="exact" w:before="0"/>
        <w:ind w:left="120" w:right="0" w:firstLine="0"/>
        <w:jc w:val="left"/>
        <w:rPr>
          <w:sz w:val="16"/>
        </w:rPr>
      </w:pPr>
      <w:bookmarkStart w:name="_bookmark19" w:id="53"/>
      <w:bookmarkEnd w:id="53"/>
      <w:r>
        <w:rPr/>
      </w:r>
      <w:r>
        <w:rPr>
          <w:sz w:val="16"/>
          <w:vertAlign w:val="superscript"/>
        </w:rPr>
        <w:t>2</w:t>
      </w:r>
      <w:r>
        <w:rPr>
          <w:spacing w:val="-3"/>
          <w:sz w:val="16"/>
          <w:vertAlign w:val="baseline"/>
        </w:rPr>
        <w:t> </w:t>
      </w:r>
      <w:r>
        <w:rPr>
          <w:sz w:val="16"/>
          <w:vertAlign w:val="baseline"/>
        </w:rPr>
        <w:t>See</w:t>
      </w:r>
      <w:r>
        <w:rPr>
          <w:spacing w:val="-5"/>
          <w:sz w:val="16"/>
          <w:vertAlign w:val="baseline"/>
        </w:rPr>
        <w:t> </w:t>
      </w:r>
      <w:r>
        <w:rPr>
          <w:sz w:val="16"/>
          <w:vertAlign w:val="baseline"/>
        </w:rPr>
        <w:t>the</w:t>
      </w:r>
      <w:r>
        <w:rPr>
          <w:spacing w:val="-4"/>
          <w:sz w:val="16"/>
          <w:vertAlign w:val="baseline"/>
        </w:rPr>
        <w:t> </w:t>
      </w:r>
      <w:r>
        <w:rPr>
          <w:sz w:val="16"/>
          <w:vertAlign w:val="baseline"/>
        </w:rPr>
        <w:t>Background</w:t>
      </w:r>
      <w:r>
        <w:rPr>
          <w:spacing w:val="-3"/>
          <w:sz w:val="16"/>
          <w:vertAlign w:val="baseline"/>
        </w:rPr>
        <w:t> </w:t>
      </w:r>
      <w:r>
        <w:rPr>
          <w:sz w:val="16"/>
          <w:vertAlign w:val="baseline"/>
        </w:rPr>
        <w:t>Section</w:t>
      </w:r>
      <w:r>
        <w:rPr>
          <w:spacing w:val="-3"/>
          <w:sz w:val="16"/>
          <w:vertAlign w:val="baseline"/>
        </w:rPr>
        <w:t> </w:t>
      </w:r>
      <w:r>
        <w:rPr>
          <w:sz w:val="16"/>
          <w:vertAlign w:val="baseline"/>
        </w:rPr>
        <w:t>of</w:t>
      </w:r>
      <w:r>
        <w:rPr>
          <w:spacing w:val="-3"/>
          <w:sz w:val="16"/>
          <w:vertAlign w:val="baseline"/>
        </w:rPr>
        <w:t> </w:t>
      </w:r>
      <w:r>
        <w:rPr>
          <w:sz w:val="16"/>
          <w:vertAlign w:val="baseline"/>
        </w:rPr>
        <w:t>the</w:t>
      </w:r>
      <w:r>
        <w:rPr>
          <w:spacing w:val="-3"/>
          <w:sz w:val="16"/>
          <w:vertAlign w:val="baseline"/>
        </w:rPr>
        <w:t> </w:t>
      </w:r>
      <w:r>
        <w:rPr>
          <w:sz w:val="16"/>
          <w:vertAlign w:val="baseline"/>
        </w:rPr>
        <w:t>CHP</w:t>
      </w:r>
      <w:r>
        <w:rPr>
          <w:spacing w:val="-4"/>
          <w:sz w:val="16"/>
          <w:vertAlign w:val="baseline"/>
        </w:rPr>
        <w:t> </w:t>
      </w:r>
      <w:r>
        <w:rPr>
          <w:sz w:val="16"/>
          <w:vertAlign w:val="baseline"/>
        </w:rPr>
        <w:t>for</w:t>
      </w:r>
      <w:r>
        <w:rPr>
          <w:spacing w:val="-2"/>
          <w:sz w:val="16"/>
          <w:vertAlign w:val="baseline"/>
        </w:rPr>
        <w:t> </w:t>
      </w:r>
      <w:r>
        <w:rPr>
          <w:sz w:val="16"/>
          <w:vertAlign w:val="baseline"/>
        </w:rPr>
        <w:t>more</w:t>
      </w:r>
      <w:r>
        <w:rPr>
          <w:spacing w:val="-5"/>
          <w:sz w:val="16"/>
          <w:vertAlign w:val="baseline"/>
        </w:rPr>
        <w:t> </w:t>
      </w:r>
      <w:r>
        <w:rPr>
          <w:sz w:val="16"/>
          <w:vertAlign w:val="baseline"/>
        </w:rPr>
        <w:t>information</w:t>
      </w:r>
      <w:r>
        <w:rPr>
          <w:spacing w:val="-3"/>
          <w:sz w:val="16"/>
          <w:vertAlign w:val="baseline"/>
        </w:rPr>
        <w:t> </w:t>
      </w:r>
      <w:r>
        <w:rPr>
          <w:sz w:val="16"/>
          <w:vertAlign w:val="baseline"/>
        </w:rPr>
        <w:t>on</w:t>
      </w:r>
      <w:r>
        <w:rPr>
          <w:spacing w:val="-4"/>
          <w:sz w:val="16"/>
          <w:vertAlign w:val="baseline"/>
        </w:rPr>
        <w:t> </w:t>
      </w:r>
      <w:r>
        <w:rPr>
          <w:sz w:val="16"/>
          <w:vertAlign w:val="baseline"/>
        </w:rPr>
        <w:t>the</w:t>
      </w:r>
      <w:r>
        <w:rPr>
          <w:spacing w:val="-5"/>
          <w:sz w:val="16"/>
          <w:vertAlign w:val="baseline"/>
        </w:rPr>
        <w:t> </w:t>
      </w:r>
      <w:r>
        <w:rPr>
          <w:spacing w:val="-4"/>
          <w:sz w:val="16"/>
          <w:vertAlign w:val="baseline"/>
        </w:rPr>
        <w:t>MVA.</w:t>
      </w:r>
    </w:p>
    <w:p>
      <w:pPr>
        <w:spacing w:before="5"/>
        <w:ind w:left="120" w:right="0" w:firstLine="0"/>
        <w:jc w:val="left"/>
        <w:rPr>
          <w:sz w:val="16"/>
        </w:rPr>
      </w:pPr>
      <w:bookmarkStart w:name="_bookmark20" w:id="54"/>
      <w:bookmarkEnd w:id="54"/>
      <w:r>
        <w:rPr/>
      </w:r>
      <w:r>
        <w:rPr>
          <w:position w:val="6"/>
          <w:sz w:val="13"/>
        </w:rPr>
        <w:t>3</w:t>
      </w:r>
      <w:r>
        <w:rPr>
          <w:spacing w:val="13"/>
          <w:position w:val="6"/>
          <w:sz w:val="13"/>
        </w:rPr>
        <w:t> </w:t>
      </w:r>
      <w:r>
        <w:rPr>
          <w:sz w:val="16"/>
        </w:rPr>
        <w:t>These</w:t>
      </w:r>
      <w:r>
        <w:rPr>
          <w:spacing w:val="-4"/>
          <w:sz w:val="16"/>
        </w:rPr>
        <w:t> </w:t>
      </w:r>
      <w:r>
        <w:rPr>
          <w:sz w:val="16"/>
        </w:rPr>
        <w:t>districts</w:t>
      </w:r>
      <w:r>
        <w:rPr>
          <w:spacing w:val="-4"/>
          <w:sz w:val="16"/>
        </w:rPr>
        <w:t> </w:t>
      </w:r>
      <w:r>
        <w:rPr>
          <w:sz w:val="16"/>
        </w:rPr>
        <w:t>include:</w:t>
      </w:r>
      <w:r>
        <w:rPr>
          <w:spacing w:val="-5"/>
          <w:sz w:val="16"/>
        </w:rPr>
        <w:t> </w:t>
      </w:r>
      <w:r>
        <w:rPr>
          <w:sz w:val="16"/>
        </w:rPr>
        <w:t>MF-1(A),</w:t>
      </w:r>
      <w:r>
        <w:rPr>
          <w:spacing w:val="-6"/>
          <w:sz w:val="16"/>
        </w:rPr>
        <w:t> </w:t>
      </w:r>
      <w:r>
        <w:rPr>
          <w:sz w:val="16"/>
        </w:rPr>
        <w:t>MF-2(A),</w:t>
      </w:r>
      <w:r>
        <w:rPr>
          <w:spacing w:val="-5"/>
          <w:sz w:val="16"/>
        </w:rPr>
        <w:t> </w:t>
      </w:r>
      <w:r>
        <w:rPr>
          <w:sz w:val="16"/>
        </w:rPr>
        <w:t>and</w:t>
      </w:r>
      <w:r>
        <w:rPr>
          <w:spacing w:val="-4"/>
          <w:sz w:val="16"/>
        </w:rPr>
        <w:t> </w:t>
      </w:r>
      <w:r>
        <w:rPr>
          <w:sz w:val="16"/>
        </w:rPr>
        <w:t>MF-3(A)</w:t>
      </w:r>
      <w:r>
        <w:rPr>
          <w:spacing w:val="-4"/>
          <w:sz w:val="16"/>
        </w:rPr>
        <w:t> </w:t>
      </w:r>
      <w:r>
        <w:rPr>
          <w:sz w:val="16"/>
        </w:rPr>
        <w:t>Multifamily</w:t>
      </w:r>
      <w:r>
        <w:rPr>
          <w:spacing w:val="-5"/>
          <w:sz w:val="16"/>
        </w:rPr>
        <w:t> </w:t>
      </w:r>
      <w:r>
        <w:rPr>
          <w:sz w:val="16"/>
        </w:rPr>
        <w:t>Districts</w:t>
      </w:r>
      <w:r>
        <w:rPr>
          <w:spacing w:val="-2"/>
          <w:sz w:val="16"/>
        </w:rPr>
        <w:t> </w:t>
      </w:r>
      <w:r>
        <w:rPr>
          <w:sz w:val="16"/>
        </w:rPr>
        <w:t>and</w:t>
      </w:r>
      <w:r>
        <w:rPr>
          <w:spacing w:val="-5"/>
          <w:sz w:val="16"/>
        </w:rPr>
        <w:t> </w:t>
      </w:r>
      <w:r>
        <w:rPr>
          <w:sz w:val="16"/>
        </w:rPr>
        <w:t>MU-1,</w:t>
      </w:r>
      <w:r>
        <w:rPr>
          <w:spacing w:val="-5"/>
          <w:sz w:val="16"/>
        </w:rPr>
        <w:t> </w:t>
      </w:r>
      <w:r>
        <w:rPr>
          <w:sz w:val="16"/>
        </w:rPr>
        <w:t>MU-2,</w:t>
      </w:r>
      <w:r>
        <w:rPr>
          <w:spacing w:val="-5"/>
          <w:sz w:val="16"/>
        </w:rPr>
        <w:t> </w:t>
      </w:r>
      <w:r>
        <w:rPr>
          <w:sz w:val="16"/>
        </w:rPr>
        <w:t>and</w:t>
      </w:r>
      <w:r>
        <w:rPr>
          <w:spacing w:val="-4"/>
          <w:sz w:val="16"/>
        </w:rPr>
        <w:t> </w:t>
      </w:r>
      <w:r>
        <w:rPr>
          <w:sz w:val="16"/>
        </w:rPr>
        <w:t>MU-3</w:t>
      </w:r>
      <w:r>
        <w:rPr>
          <w:spacing w:val="-4"/>
          <w:sz w:val="16"/>
        </w:rPr>
        <w:t> </w:t>
      </w:r>
      <w:r>
        <w:rPr>
          <w:sz w:val="16"/>
        </w:rPr>
        <w:t>Mixed</w:t>
      </w:r>
      <w:r>
        <w:rPr>
          <w:spacing w:val="-4"/>
          <w:sz w:val="16"/>
        </w:rPr>
        <w:t> </w:t>
      </w:r>
      <w:r>
        <w:rPr>
          <w:sz w:val="16"/>
        </w:rPr>
        <w:t>Use</w:t>
      </w:r>
      <w:r>
        <w:rPr>
          <w:spacing w:val="-5"/>
          <w:sz w:val="16"/>
        </w:rPr>
        <w:t> </w:t>
      </w:r>
      <w:r>
        <w:rPr>
          <w:spacing w:val="-2"/>
          <w:sz w:val="16"/>
        </w:rPr>
        <w:t>Districts.</w:t>
      </w:r>
    </w:p>
    <w:p>
      <w:pPr>
        <w:spacing w:after="0"/>
        <w:jc w:val="left"/>
        <w:rPr>
          <w:sz w:val="16"/>
        </w:rPr>
        <w:sectPr>
          <w:pgSz w:w="12240" w:h="15840"/>
          <w:pgMar w:header="0" w:footer="1738" w:top="1380" w:bottom="1920" w:left="1320" w:right="1280"/>
        </w:sectPr>
      </w:pPr>
    </w:p>
    <w:p>
      <w:pPr>
        <w:pStyle w:val="ListParagraph"/>
        <w:numPr>
          <w:ilvl w:val="1"/>
          <w:numId w:val="16"/>
        </w:numPr>
        <w:tabs>
          <w:tab w:pos="840" w:val="left" w:leader="none"/>
          <w:tab w:pos="841" w:val="left" w:leader="none"/>
        </w:tabs>
        <w:spacing w:line="240" w:lineRule="auto" w:before="82" w:after="0"/>
        <w:ind w:left="840" w:right="0" w:hanging="361"/>
        <w:jc w:val="left"/>
        <w:rPr>
          <w:rFonts w:ascii="Symbol" w:hAnsi="Symbol"/>
          <w:sz w:val="22"/>
        </w:rPr>
      </w:pPr>
      <w:r>
        <w:rPr>
          <w:sz w:val="22"/>
        </w:rPr>
        <w:t>The</w:t>
      </w:r>
      <w:r>
        <w:rPr>
          <w:spacing w:val="-11"/>
          <w:sz w:val="22"/>
        </w:rPr>
        <w:t> </w:t>
      </w:r>
      <w:r>
        <w:rPr>
          <w:sz w:val="22"/>
        </w:rPr>
        <w:t>Office</w:t>
      </w:r>
      <w:r>
        <w:rPr>
          <w:spacing w:val="-8"/>
          <w:sz w:val="22"/>
        </w:rPr>
        <w:t> </w:t>
      </w:r>
      <w:r>
        <w:rPr>
          <w:sz w:val="22"/>
        </w:rPr>
        <w:t>of</w:t>
      </w:r>
      <w:r>
        <w:rPr>
          <w:spacing w:val="-8"/>
          <w:sz w:val="22"/>
        </w:rPr>
        <w:t> </w:t>
      </w:r>
      <w:r>
        <w:rPr>
          <w:sz w:val="22"/>
        </w:rPr>
        <w:t>Equity</w:t>
      </w:r>
      <w:r>
        <w:rPr>
          <w:spacing w:val="-8"/>
          <w:sz w:val="22"/>
        </w:rPr>
        <w:t> </w:t>
      </w:r>
      <w:r>
        <w:rPr>
          <w:sz w:val="22"/>
        </w:rPr>
        <w:t>and</w:t>
      </w:r>
      <w:r>
        <w:rPr>
          <w:spacing w:val="-11"/>
          <w:sz w:val="22"/>
        </w:rPr>
        <w:t> </w:t>
      </w:r>
      <w:r>
        <w:rPr>
          <w:sz w:val="22"/>
        </w:rPr>
        <w:t>Inclusion</w:t>
      </w:r>
      <w:r>
        <w:rPr>
          <w:spacing w:val="-6"/>
          <w:sz w:val="22"/>
        </w:rPr>
        <w:t> </w:t>
      </w:r>
      <w:r>
        <w:rPr>
          <w:sz w:val="22"/>
        </w:rPr>
        <w:t>administers</w:t>
      </w:r>
      <w:r>
        <w:rPr>
          <w:spacing w:val="-11"/>
          <w:sz w:val="22"/>
        </w:rPr>
        <w:t> </w:t>
      </w:r>
      <w:r>
        <w:rPr>
          <w:sz w:val="22"/>
        </w:rPr>
        <w:t>the</w:t>
      </w:r>
      <w:r>
        <w:rPr>
          <w:spacing w:val="-8"/>
          <w:sz w:val="22"/>
        </w:rPr>
        <w:t> </w:t>
      </w:r>
      <w:r>
        <w:rPr>
          <w:sz w:val="22"/>
        </w:rPr>
        <w:t>affirmative</w:t>
      </w:r>
      <w:r>
        <w:rPr>
          <w:spacing w:val="-11"/>
          <w:sz w:val="22"/>
        </w:rPr>
        <w:t> </w:t>
      </w:r>
      <w:r>
        <w:rPr>
          <w:sz w:val="22"/>
        </w:rPr>
        <w:t>fair</w:t>
      </w:r>
      <w:r>
        <w:rPr>
          <w:spacing w:val="-8"/>
          <w:sz w:val="22"/>
        </w:rPr>
        <w:t> </w:t>
      </w:r>
      <w:r>
        <w:rPr>
          <w:sz w:val="22"/>
        </w:rPr>
        <w:t>housing</w:t>
      </w:r>
      <w:r>
        <w:rPr>
          <w:spacing w:val="-11"/>
          <w:sz w:val="22"/>
        </w:rPr>
        <w:t> </w:t>
      </w:r>
      <w:r>
        <w:rPr>
          <w:sz w:val="22"/>
        </w:rPr>
        <w:t>marketing</w:t>
      </w:r>
      <w:r>
        <w:rPr>
          <w:spacing w:val="-8"/>
          <w:sz w:val="22"/>
        </w:rPr>
        <w:t> </w:t>
      </w:r>
      <w:r>
        <w:rPr>
          <w:spacing w:val="-2"/>
          <w:sz w:val="22"/>
        </w:rPr>
        <w:t>plan.</w:t>
      </w:r>
    </w:p>
    <w:p>
      <w:pPr>
        <w:pStyle w:val="BodyText"/>
        <w:spacing w:before="7"/>
        <w:rPr>
          <w:sz w:val="21"/>
        </w:rPr>
      </w:pPr>
    </w:p>
    <w:p>
      <w:pPr>
        <w:pStyle w:val="Heading5"/>
      </w:pPr>
      <w:r>
        <w:rPr/>
        <w:t>Program</w:t>
      </w:r>
      <w:r>
        <w:rPr>
          <w:spacing w:val="-5"/>
        </w:rPr>
        <w:t> </w:t>
      </w:r>
      <w:r>
        <w:rPr>
          <w:spacing w:val="-2"/>
        </w:rPr>
        <w:t>Benefits</w:t>
      </w:r>
    </w:p>
    <w:p>
      <w:pPr>
        <w:pStyle w:val="BodyText"/>
        <w:spacing w:before="50"/>
        <w:ind w:left="120" w:right="155"/>
        <w:jc w:val="both"/>
      </w:pPr>
      <w:r>
        <w:rPr/>
        <w:t>The MIHDB provides program participants with a menu of incentive options, including additional development</w:t>
      </w:r>
      <w:r>
        <w:rPr>
          <w:spacing w:val="-8"/>
        </w:rPr>
        <w:t> </w:t>
      </w:r>
      <w:r>
        <w:rPr/>
        <w:t>rights,</w:t>
      </w:r>
      <w:r>
        <w:rPr>
          <w:spacing w:val="-7"/>
        </w:rPr>
        <w:t> </w:t>
      </w:r>
      <w:r>
        <w:rPr/>
        <w:t>parking</w:t>
      </w:r>
      <w:r>
        <w:rPr>
          <w:spacing w:val="-8"/>
        </w:rPr>
        <w:t> </w:t>
      </w:r>
      <w:r>
        <w:rPr/>
        <w:t>reductions,</w:t>
      </w:r>
      <w:r>
        <w:rPr>
          <w:spacing w:val="-7"/>
        </w:rPr>
        <w:t> </w:t>
      </w:r>
      <w:r>
        <w:rPr/>
        <w:t>and</w:t>
      </w:r>
      <w:r>
        <w:rPr>
          <w:spacing w:val="-8"/>
        </w:rPr>
        <w:t> </w:t>
      </w:r>
      <w:r>
        <w:rPr/>
        <w:t>financial</w:t>
      </w:r>
      <w:r>
        <w:rPr>
          <w:spacing w:val="-8"/>
        </w:rPr>
        <w:t> </w:t>
      </w:r>
      <w:r>
        <w:rPr/>
        <w:t>incentives</w:t>
      </w:r>
      <w:r>
        <w:rPr>
          <w:spacing w:val="-7"/>
        </w:rPr>
        <w:t> </w:t>
      </w:r>
      <w:r>
        <w:rPr/>
        <w:t>in</w:t>
      </w:r>
      <w:r>
        <w:rPr>
          <w:spacing w:val="-8"/>
        </w:rPr>
        <w:t> </w:t>
      </w:r>
      <w:r>
        <w:rPr/>
        <w:t>exchange</w:t>
      </w:r>
      <w:r>
        <w:rPr>
          <w:spacing w:val="-8"/>
        </w:rPr>
        <w:t> </w:t>
      </w:r>
      <w:r>
        <w:rPr/>
        <w:t>for</w:t>
      </w:r>
      <w:r>
        <w:rPr>
          <w:spacing w:val="-7"/>
        </w:rPr>
        <w:t> </w:t>
      </w:r>
      <w:r>
        <w:rPr/>
        <w:t>on-site</w:t>
      </w:r>
      <w:r>
        <w:rPr>
          <w:spacing w:val="-10"/>
        </w:rPr>
        <w:t> </w:t>
      </w:r>
      <w:r>
        <w:rPr/>
        <w:t>provision of reserved dwelling units or a fee in lieu of provision of reserved dwelling units.</w:t>
      </w:r>
    </w:p>
    <w:p>
      <w:pPr>
        <w:pStyle w:val="BodyText"/>
        <w:spacing w:before="5"/>
        <w:rPr>
          <w:sz w:val="26"/>
        </w:rPr>
      </w:pPr>
    </w:p>
    <w:p>
      <w:pPr>
        <w:pStyle w:val="Heading5"/>
      </w:pPr>
      <w:r>
        <w:rPr/>
        <w:pict>
          <v:shape style="position:absolute;margin-left:90.065002pt;margin-top:2.89316pt;width:395.3pt;height:419pt;mso-position-horizontal-relative:page;mso-position-vertical-relative:paragraph;z-index:-17703936" id="docshape81" coordorigin="1801,58" coordsize="7906,8380" path="m4498,7322l4492,7248,4477,7170,4455,7087,4432,7018,4403,6946,4367,6871,4325,6793,4276,6712,4237,6653,4200,6603,4200,7288,4197,7345,4186,7401,4167,7459,4138,7519,4097,7581,4044,7647,3979,7717,3674,8022,2216,6564,2517,6264,2598,6188,2672,6128,2740,6084,2801,6058,2868,6043,2941,6039,3020,6046,3105,6064,3195,6093,3255,6119,3317,6151,3380,6189,3446,6234,3514,6286,3584,6344,3656,6409,3729,6480,3789,6542,3845,6602,3896,6661,3943,6719,3986,6775,4025,6831,4059,6885,4101,6959,4136,7031,4163,7101,4183,7168,4196,7232,4200,7288,4200,6603,4194,6594,4148,6534,4098,6473,4045,6412,3989,6351,3929,6289,3865,6227,3801,6168,3737,6113,3673,6062,3643,6039,3609,6014,3546,5969,3482,5928,3419,5890,3346,5853,3274,5820,3203,5793,3132,5771,3062,5754,2992,5742,2923,5735,2850,5733,2779,5740,2709,5755,2642,5778,2577,5808,2528,5836,2476,5873,2420,5919,2359,5973,2294,6036,1801,6529,3710,8437,4124,8022,4226,7920,4287,7855,4341,7790,4386,7724,4424,7657,4454,7591,4476,7525,4491,7458,4498,7390,4498,7322xm6418,5728l6056,5601,5650,5458,5561,5429,5475,5405,5393,5386,5365,5381,5314,5371,5239,5361,5193,5360,5143,5363,5089,5370,5030,5381,5073,5311,5109,5241,5136,5172,5154,5103,5164,5035,5165,4967,5157,4899,5139,4821,5111,4745,5075,4670,5030,4597,4976,4527,4956,4504,4913,4458,4872,4420,4872,4977,4868,5033,4854,5088,4830,5144,4794,5202,4747,5263,4687,5327,4280,5734,3649,5103,4102,4650,4166,4593,4229,4550,4293,4520,4358,4505,4422,4504,4501,4519,4577,4549,4649,4593,4718,4653,4761,4701,4797,4751,4827,4805,4851,4862,4867,4920,4872,4977,4872,4420,4849,4398,4782,4346,4713,4301,4641,4262,4566,4230,4474,4202,4386,4189,4303,4191,4225,4207,4163,4232,4098,4268,4030,4316,3958,4376,3883,4447,3248,5082,5157,6990,5346,6800,4499,5953,4718,5734,4753,5700,4783,5672,4810,5651,4833,5637,4863,5623,4896,5613,4932,5605,4971,5601,5014,5601,5066,5606,5125,5616,5194,5633,5256,5650,5328,5671,5407,5696,5496,5725,6180,5967,6418,5728xm7780,4366l7415,4171,6555,3717,6555,4024,6070,4509,6030,4438,5989,4366,5748,3935,5708,3864,5668,3792,5629,3727,5590,3662,5550,3598,5509,3535,5467,3473,5424,3411,5380,3351,5436,3386,5498,3424,5564,3464,5635,3506,5792,3596,6555,4024,6555,3717,5862,3351,5286,3044,5082,3248,5277,3598,5316,3669,5701,4366,6207,5285,6441,5706,6642,5505,6565,5371,6298,4903,6221,4770,6481,4509,6820,4171,7173,4366,7565,4582,7780,4366xm8131,4016l7264,3149,7936,2477,7711,2252,7039,2924,6448,2333,7224,1556,6999,1331,6033,2297,7941,4205,8131,4016xm9707,2440l8024,757,8497,283,8272,58,7138,1192,7363,1418,7834,946,9517,2629,9707,2440xe" filled="true" fillcolor="#c0c0c0" stroked="false">
            <v:path arrowok="t"/>
            <v:fill opacity="32896f" type="solid"/>
            <w10:wrap type="none"/>
          </v:shape>
        </w:pict>
      </w:r>
      <w:r>
        <w:rPr/>
        <w:t>Regulatory</w:t>
      </w:r>
      <w:r>
        <w:rPr>
          <w:spacing w:val="-9"/>
        </w:rPr>
        <w:t> </w:t>
      </w:r>
      <w:r>
        <w:rPr>
          <w:spacing w:val="-2"/>
        </w:rPr>
        <w:t>Incentives</w:t>
      </w:r>
    </w:p>
    <w:p>
      <w:pPr>
        <w:pStyle w:val="BodyText"/>
        <w:spacing w:before="52"/>
        <w:ind w:left="120" w:right="153"/>
        <w:jc w:val="both"/>
      </w:pPr>
      <w:r>
        <w:rPr/>
        <w:t>The</w:t>
      </w:r>
      <w:r>
        <w:rPr>
          <w:spacing w:val="-8"/>
        </w:rPr>
        <w:t> </w:t>
      </w:r>
      <w:r>
        <w:rPr/>
        <w:t>MIHDB</w:t>
      </w:r>
      <w:r>
        <w:rPr>
          <w:spacing w:val="-8"/>
        </w:rPr>
        <w:t> </w:t>
      </w:r>
      <w:r>
        <w:rPr/>
        <w:t>regulatory</w:t>
      </w:r>
      <w:r>
        <w:rPr>
          <w:spacing w:val="-7"/>
        </w:rPr>
        <w:t> </w:t>
      </w:r>
      <w:r>
        <w:rPr/>
        <w:t>incentives</w:t>
      </w:r>
      <w:r>
        <w:rPr>
          <w:spacing w:val="-7"/>
        </w:rPr>
        <w:t> </w:t>
      </w:r>
      <w:r>
        <w:rPr/>
        <w:t>vary</w:t>
      </w:r>
      <w:r>
        <w:rPr>
          <w:spacing w:val="-7"/>
        </w:rPr>
        <w:t> </w:t>
      </w:r>
      <w:r>
        <w:rPr/>
        <w:t>depending</w:t>
      </w:r>
      <w:r>
        <w:rPr>
          <w:spacing w:val="-10"/>
        </w:rPr>
        <w:t> </w:t>
      </w:r>
      <w:r>
        <w:rPr/>
        <w:t>on</w:t>
      </w:r>
      <w:r>
        <w:rPr>
          <w:spacing w:val="-7"/>
        </w:rPr>
        <w:t> </w:t>
      </w:r>
      <w:r>
        <w:rPr/>
        <w:t>the</w:t>
      </w:r>
      <w:r>
        <w:rPr>
          <w:spacing w:val="-7"/>
        </w:rPr>
        <w:t> </w:t>
      </w:r>
      <w:r>
        <w:rPr/>
        <w:t>zoning</w:t>
      </w:r>
      <w:r>
        <w:rPr>
          <w:spacing w:val="-7"/>
        </w:rPr>
        <w:t> </w:t>
      </w:r>
      <w:r>
        <w:rPr/>
        <w:t>district</w:t>
      </w:r>
      <w:r>
        <w:rPr>
          <w:spacing w:val="-6"/>
        </w:rPr>
        <w:t> </w:t>
      </w:r>
      <w:r>
        <w:rPr/>
        <w:t>in</w:t>
      </w:r>
      <w:r>
        <w:rPr>
          <w:spacing w:val="-7"/>
        </w:rPr>
        <w:t> </w:t>
      </w:r>
      <w:r>
        <w:rPr/>
        <w:t>which</w:t>
      </w:r>
      <w:r>
        <w:rPr>
          <w:spacing w:val="-7"/>
        </w:rPr>
        <w:t> </w:t>
      </w:r>
      <w:r>
        <w:rPr/>
        <w:t>the</w:t>
      </w:r>
      <w:r>
        <w:rPr>
          <w:spacing w:val="-7"/>
        </w:rPr>
        <w:t> </w:t>
      </w:r>
      <w:r>
        <w:rPr/>
        <w:t>development is located and the classification of the development as Type One, Two, or Three. Regardless of the district, if compliance with Division 51A-4.1100 is referenced, the development is eligible for participation in the MIHDB. Types One, Two and Three, defined in Division 51A-4.1100, are summarized below:</w:t>
      </w:r>
    </w:p>
    <w:p>
      <w:pPr>
        <w:pStyle w:val="BodyText"/>
      </w:pPr>
    </w:p>
    <w:p>
      <w:pPr>
        <w:pStyle w:val="ListParagraph"/>
        <w:numPr>
          <w:ilvl w:val="1"/>
          <w:numId w:val="16"/>
        </w:numPr>
        <w:tabs>
          <w:tab w:pos="840" w:val="left" w:leader="none"/>
          <w:tab w:pos="841" w:val="left" w:leader="none"/>
        </w:tabs>
        <w:spacing w:line="268" w:lineRule="exact" w:before="0" w:after="0"/>
        <w:ind w:left="840" w:right="0" w:hanging="361"/>
        <w:jc w:val="left"/>
        <w:rPr>
          <w:rFonts w:ascii="Symbol" w:hAnsi="Symbol"/>
          <w:sz w:val="22"/>
        </w:rPr>
      </w:pPr>
      <w:r>
        <w:rPr>
          <w:sz w:val="22"/>
        </w:rPr>
        <w:t>Type</w:t>
      </w:r>
      <w:r>
        <w:rPr>
          <w:spacing w:val="-6"/>
          <w:sz w:val="22"/>
        </w:rPr>
        <w:t> </w:t>
      </w:r>
      <w:r>
        <w:rPr>
          <w:sz w:val="22"/>
        </w:rPr>
        <w:t>One</w:t>
      </w:r>
      <w:r>
        <w:rPr>
          <w:spacing w:val="-6"/>
          <w:sz w:val="22"/>
        </w:rPr>
        <w:t> </w:t>
      </w:r>
      <w:r>
        <w:rPr>
          <w:sz w:val="22"/>
        </w:rPr>
        <w:t>developments</w:t>
      </w:r>
      <w:r>
        <w:rPr>
          <w:spacing w:val="-5"/>
          <w:sz w:val="22"/>
        </w:rPr>
        <w:t> </w:t>
      </w:r>
      <w:r>
        <w:rPr>
          <w:sz w:val="22"/>
        </w:rPr>
        <w:t>are</w:t>
      </w:r>
      <w:r>
        <w:rPr>
          <w:spacing w:val="-6"/>
          <w:sz w:val="22"/>
        </w:rPr>
        <w:t> </w:t>
      </w:r>
      <w:r>
        <w:rPr>
          <w:sz w:val="22"/>
        </w:rPr>
        <w:t>located</w:t>
      </w:r>
      <w:r>
        <w:rPr>
          <w:spacing w:val="-3"/>
          <w:sz w:val="22"/>
        </w:rPr>
        <w:t> </w:t>
      </w:r>
      <w:r>
        <w:rPr>
          <w:sz w:val="22"/>
        </w:rPr>
        <w:t>in</w:t>
      </w:r>
      <w:r>
        <w:rPr>
          <w:spacing w:val="-5"/>
          <w:sz w:val="22"/>
        </w:rPr>
        <w:t> </w:t>
      </w:r>
      <w:r>
        <w:rPr>
          <w:sz w:val="22"/>
        </w:rPr>
        <w:t>MF(A)</w:t>
      </w:r>
      <w:r>
        <w:rPr>
          <w:spacing w:val="-5"/>
          <w:sz w:val="22"/>
        </w:rPr>
        <w:t> </w:t>
      </w:r>
      <w:r>
        <w:rPr>
          <w:sz w:val="22"/>
        </w:rPr>
        <w:t>and</w:t>
      </w:r>
      <w:r>
        <w:rPr>
          <w:spacing w:val="-3"/>
          <w:sz w:val="22"/>
        </w:rPr>
        <w:t> </w:t>
      </w:r>
      <w:r>
        <w:rPr>
          <w:sz w:val="22"/>
        </w:rPr>
        <w:t>MU</w:t>
      </w:r>
      <w:r>
        <w:rPr>
          <w:spacing w:val="-7"/>
          <w:sz w:val="22"/>
        </w:rPr>
        <w:t> </w:t>
      </w:r>
      <w:r>
        <w:rPr>
          <w:sz w:val="22"/>
        </w:rPr>
        <w:t>zoning</w:t>
      </w:r>
      <w:r>
        <w:rPr>
          <w:spacing w:val="-3"/>
          <w:sz w:val="22"/>
        </w:rPr>
        <w:t> </w:t>
      </w:r>
      <w:r>
        <w:rPr>
          <w:spacing w:val="-2"/>
          <w:sz w:val="22"/>
        </w:rPr>
        <w:t>districts.</w:t>
      </w:r>
    </w:p>
    <w:p>
      <w:pPr>
        <w:pStyle w:val="ListParagraph"/>
        <w:numPr>
          <w:ilvl w:val="1"/>
          <w:numId w:val="16"/>
        </w:numPr>
        <w:tabs>
          <w:tab w:pos="840" w:val="left" w:leader="none"/>
          <w:tab w:pos="841" w:val="left" w:leader="none"/>
        </w:tabs>
        <w:spacing w:line="237" w:lineRule="auto" w:before="1" w:after="0"/>
        <w:ind w:left="840" w:right="155" w:hanging="361"/>
        <w:jc w:val="left"/>
        <w:rPr>
          <w:rFonts w:ascii="Symbol" w:hAnsi="Symbol"/>
          <w:sz w:val="22"/>
        </w:rPr>
      </w:pPr>
      <w:r>
        <w:rPr>
          <w:sz w:val="22"/>
        </w:rPr>
        <w:t>Type</w:t>
      </w:r>
      <w:r>
        <w:rPr>
          <w:spacing w:val="-11"/>
          <w:sz w:val="22"/>
        </w:rPr>
        <w:t> </w:t>
      </w:r>
      <w:r>
        <w:rPr>
          <w:sz w:val="22"/>
        </w:rPr>
        <w:t>Two</w:t>
      </w:r>
      <w:r>
        <w:rPr>
          <w:spacing w:val="-13"/>
          <w:sz w:val="22"/>
        </w:rPr>
        <w:t> </w:t>
      </w:r>
      <w:r>
        <w:rPr>
          <w:sz w:val="22"/>
        </w:rPr>
        <w:t>developments</w:t>
      </w:r>
      <w:r>
        <w:rPr>
          <w:spacing w:val="-15"/>
          <w:sz w:val="22"/>
        </w:rPr>
        <w:t> </w:t>
      </w:r>
      <w:r>
        <w:rPr>
          <w:sz w:val="22"/>
        </w:rPr>
        <w:t>are</w:t>
      </w:r>
      <w:r>
        <w:rPr>
          <w:spacing w:val="-11"/>
          <w:sz w:val="22"/>
        </w:rPr>
        <w:t> </w:t>
      </w:r>
      <w:r>
        <w:rPr>
          <w:sz w:val="22"/>
        </w:rPr>
        <w:t>located</w:t>
      </w:r>
      <w:r>
        <w:rPr>
          <w:spacing w:val="-12"/>
          <w:sz w:val="22"/>
        </w:rPr>
        <w:t> </w:t>
      </w:r>
      <w:r>
        <w:rPr>
          <w:sz w:val="22"/>
        </w:rPr>
        <w:t>in</w:t>
      </w:r>
      <w:r>
        <w:rPr>
          <w:spacing w:val="-13"/>
          <w:sz w:val="22"/>
        </w:rPr>
        <w:t> </w:t>
      </w:r>
      <w:r>
        <w:rPr>
          <w:sz w:val="22"/>
        </w:rPr>
        <w:t>PDs</w:t>
      </w:r>
      <w:r>
        <w:rPr>
          <w:spacing w:val="-13"/>
          <w:sz w:val="22"/>
        </w:rPr>
        <w:t> </w:t>
      </w:r>
      <w:r>
        <w:rPr>
          <w:sz w:val="22"/>
        </w:rPr>
        <w:t>that</w:t>
      </w:r>
      <w:r>
        <w:rPr>
          <w:spacing w:val="-12"/>
          <w:sz w:val="22"/>
        </w:rPr>
        <w:t> </w:t>
      </w:r>
      <w:r>
        <w:rPr>
          <w:sz w:val="22"/>
        </w:rPr>
        <w:t>include</w:t>
      </w:r>
      <w:r>
        <w:rPr>
          <w:spacing w:val="-11"/>
          <w:sz w:val="22"/>
        </w:rPr>
        <w:t> </w:t>
      </w:r>
      <w:r>
        <w:rPr>
          <w:sz w:val="22"/>
        </w:rPr>
        <w:t>an</w:t>
      </w:r>
      <w:r>
        <w:rPr>
          <w:spacing w:val="-13"/>
          <w:sz w:val="22"/>
        </w:rPr>
        <w:t> </w:t>
      </w:r>
      <w:r>
        <w:rPr>
          <w:sz w:val="22"/>
        </w:rPr>
        <w:t>expressly-stated</w:t>
      </w:r>
      <w:r>
        <w:rPr>
          <w:spacing w:val="-11"/>
          <w:sz w:val="22"/>
        </w:rPr>
        <w:t> </w:t>
      </w:r>
      <w:r>
        <w:rPr>
          <w:sz w:val="22"/>
        </w:rPr>
        <w:t>development bonus for providing mixed income housing.</w:t>
      </w:r>
    </w:p>
    <w:p>
      <w:pPr>
        <w:pStyle w:val="ListParagraph"/>
        <w:numPr>
          <w:ilvl w:val="1"/>
          <w:numId w:val="16"/>
        </w:numPr>
        <w:tabs>
          <w:tab w:pos="840" w:val="left" w:leader="none"/>
          <w:tab w:pos="841" w:val="left" w:leader="none"/>
        </w:tabs>
        <w:spacing w:line="237" w:lineRule="auto" w:before="4" w:after="0"/>
        <w:ind w:left="840" w:right="155" w:hanging="361"/>
        <w:jc w:val="left"/>
        <w:rPr>
          <w:rFonts w:ascii="Symbol" w:hAnsi="Symbol"/>
          <w:sz w:val="22"/>
        </w:rPr>
      </w:pPr>
      <w:r>
        <w:rPr>
          <w:sz w:val="22"/>
        </w:rPr>
        <w:t>Type Three developments are located in PDs that expressly reference compliance with Ch. 51A-4.1106(j).</w:t>
      </w:r>
    </w:p>
    <w:p>
      <w:pPr>
        <w:pStyle w:val="BodyText"/>
      </w:pPr>
    </w:p>
    <w:p>
      <w:pPr>
        <w:pStyle w:val="Heading5"/>
      </w:pPr>
      <w:r>
        <w:rPr/>
        <w:t>Type</w:t>
      </w:r>
      <w:r>
        <w:rPr>
          <w:spacing w:val="-9"/>
        </w:rPr>
        <w:t> </w:t>
      </w:r>
      <w:r>
        <w:rPr/>
        <w:t>One</w:t>
      </w:r>
      <w:r>
        <w:rPr>
          <w:spacing w:val="-7"/>
        </w:rPr>
        <w:t> </w:t>
      </w:r>
      <w:r>
        <w:rPr/>
        <w:t>-</w:t>
      </w:r>
      <w:r>
        <w:rPr>
          <w:spacing w:val="-6"/>
        </w:rPr>
        <w:t> </w:t>
      </w:r>
      <w:r>
        <w:rPr/>
        <w:t>By-Right</w:t>
      </w:r>
      <w:r>
        <w:rPr>
          <w:spacing w:val="-3"/>
        </w:rPr>
        <w:t> </w:t>
      </w:r>
      <w:r>
        <w:rPr/>
        <w:t>Development</w:t>
      </w:r>
      <w:r>
        <w:rPr>
          <w:spacing w:val="-3"/>
        </w:rPr>
        <w:t> </w:t>
      </w:r>
      <w:r>
        <w:rPr/>
        <w:t>Bonuses</w:t>
      </w:r>
      <w:r>
        <w:rPr>
          <w:spacing w:val="-7"/>
        </w:rPr>
        <w:t> </w:t>
      </w:r>
      <w:r>
        <w:rPr/>
        <w:t>in</w:t>
      </w:r>
      <w:r>
        <w:rPr>
          <w:spacing w:val="-5"/>
        </w:rPr>
        <w:t> </w:t>
      </w:r>
      <w:r>
        <w:rPr/>
        <w:t>Multifamily</w:t>
      </w:r>
      <w:r>
        <w:rPr>
          <w:spacing w:val="-5"/>
        </w:rPr>
        <w:t> </w:t>
      </w:r>
      <w:r>
        <w:rPr/>
        <w:t>and</w:t>
      </w:r>
      <w:r>
        <w:rPr>
          <w:spacing w:val="-7"/>
        </w:rPr>
        <w:t> </w:t>
      </w:r>
      <w:r>
        <w:rPr/>
        <w:t>Mixed-Use</w:t>
      </w:r>
      <w:r>
        <w:rPr>
          <w:spacing w:val="-4"/>
        </w:rPr>
        <w:t> </w:t>
      </w:r>
      <w:r>
        <w:rPr>
          <w:spacing w:val="-2"/>
        </w:rPr>
        <w:t>Districts</w:t>
      </w:r>
    </w:p>
    <w:p>
      <w:pPr>
        <w:pStyle w:val="BodyText"/>
        <w:spacing w:before="52"/>
        <w:ind w:left="120" w:right="154"/>
        <w:jc w:val="both"/>
      </w:pPr>
      <w:r>
        <w:rPr/>
        <w:t>In these districts, the development bonus and number of reserved units required to attain that bonus vary by the location of the development under the City’s Market Value Analysis (MVA) categories. Properties in stronger market categories are required to serve households at lower income levels, and</w:t>
      </w:r>
      <w:r>
        <w:rPr>
          <w:spacing w:val="40"/>
        </w:rPr>
        <w:t> </w:t>
      </w:r>
      <w:r>
        <w:rPr/>
        <w:t>properties in weaker market categories are required to serve households at higher income levels, with the percent of reserved units related to the amount of the bonus requested and the income ranges depending on the MVA category.</w:t>
      </w:r>
    </w:p>
    <w:p>
      <w:pPr>
        <w:pStyle w:val="ListParagraph"/>
        <w:numPr>
          <w:ilvl w:val="1"/>
          <w:numId w:val="16"/>
        </w:numPr>
        <w:tabs>
          <w:tab w:pos="841" w:val="left" w:leader="none"/>
        </w:tabs>
        <w:spacing w:line="268" w:lineRule="exact" w:before="0" w:after="0"/>
        <w:ind w:left="840" w:right="0" w:hanging="361"/>
        <w:jc w:val="both"/>
        <w:rPr>
          <w:rFonts w:ascii="Symbol" w:hAnsi="Symbol"/>
          <w:sz w:val="22"/>
        </w:rPr>
      </w:pPr>
      <w:r>
        <w:rPr>
          <w:sz w:val="22"/>
        </w:rPr>
        <w:t>A,</w:t>
      </w:r>
      <w:r>
        <w:rPr>
          <w:spacing w:val="-1"/>
          <w:sz w:val="22"/>
        </w:rPr>
        <w:t> </w:t>
      </w:r>
      <w:r>
        <w:rPr>
          <w:sz w:val="22"/>
        </w:rPr>
        <w:t>B,</w:t>
      </w:r>
      <w:r>
        <w:rPr>
          <w:spacing w:val="-2"/>
          <w:sz w:val="22"/>
        </w:rPr>
        <w:t> </w:t>
      </w:r>
      <w:r>
        <w:rPr>
          <w:sz w:val="22"/>
        </w:rPr>
        <w:t>C</w:t>
      </w:r>
      <w:r>
        <w:rPr>
          <w:spacing w:val="-5"/>
          <w:sz w:val="22"/>
        </w:rPr>
        <w:t> </w:t>
      </w:r>
      <w:r>
        <w:rPr>
          <w:sz w:val="22"/>
        </w:rPr>
        <w:t>(stronger</w:t>
      </w:r>
      <w:r>
        <w:rPr>
          <w:spacing w:val="-2"/>
          <w:sz w:val="22"/>
        </w:rPr>
        <w:t> markets):</w:t>
      </w:r>
    </w:p>
    <w:p>
      <w:pPr>
        <w:pStyle w:val="ListParagraph"/>
        <w:numPr>
          <w:ilvl w:val="0"/>
          <w:numId w:val="17"/>
        </w:numPr>
        <w:tabs>
          <w:tab w:pos="1561" w:val="left" w:leader="none"/>
        </w:tabs>
        <w:spacing w:line="251" w:lineRule="exact" w:before="0" w:after="0"/>
        <w:ind w:left="1560" w:right="0" w:hanging="361"/>
        <w:jc w:val="left"/>
        <w:rPr>
          <w:sz w:val="22"/>
        </w:rPr>
      </w:pPr>
      <w:r>
        <w:rPr>
          <w:sz w:val="22"/>
        </w:rPr>
        <w:t>5%</w:t>
      </w:r>
      <w:r>
        <w:rPr>
          <w:spacing w:val="-3"/>
          <w:sz w:val="22"/>
        </w:rPr>
        <w:t> </w:t>
      </w:r>
      <w:r>
        <w:rPr>
          <w:sz w:val="22"/>
        </w:rPr>
        <w:t>of</w:t>
      </w:r>
      <w:r>
        <w:rPr>
          <w:spacing w:val="-2"/>
          <w:sz w:val="22"/>
        </w:rPr>
        <w:t> </w:t>
      </w:r>
      <w:r>
        <w:rPr>
          <w:sz w:val="22"/>
        </w:rPr>
        <w:t>units</w:t>
      </w:r>
      <w:r>
        <w:rPr>
          <w:spacing w:val="-5"/>
          <w:sz w:val="22"/>
        </w:rPr>
        <w:t> </w:t>
      </w:r>
      <w:r>
        <w:rPr>
          <w:sz w:val="22"/>
        </w:rPr>
        <w:t>at</w:t>
      </w:r>
      <w:r>
        <w:rPr>
          <w:spacing w:val="-2"/>
          <w:sz w:val="22"/>
        </w:rPr>
        <w:t> </w:t>
      </w:r>
      <w:r>
        <w:rPr>
          <w:sz w:val="22"/>
        </w:rPr>
        <w:t>51%-60%</w:t>
      </w:r>
      <w:r>
        <w:rPr>
          <w:spacing w:val="-4"/>
          <w:sz w:val="22"/>
        </w:rPr>
        <w:t> </w:t>
      </w:r>
      <w:r>
        <w:rPr>
          <w:sz w:val="22"/>
        </w:rPr>
        <w:t>Area</w:t>
      </w:r>
      <w:r>
        <w:rPr>
          <w:spacing w:val="-6"/>
          <w:sz w:val="22"/>
        </w:rPr>
        <w:t> </w:t>
      </w:r>
      <w:r>
        <w:rPr>
          <w:sz w:val="22"/>
        </w:rPr>
        <w:t>Median</w:t>
      </w:r>
      <w:r>
        <w:rPr>
          <w:spacing w:val="-2"/>
          <w:sz w:val="22"/>
        </w:rPr>
        <w:t> </w:t>
      </w:r>
      <w:r>
        <w:rPr>
          <w:sz w:val="22"/>
        </w:rPr>
        <w:t>Income</w:t>
      </w:r>
      <w:r>
        <w:rPr>
          <w:spacing w:val="-5"/>
          <w:sz w:val="22"/>
        </w:rPr>
        <w:t> </w:t>
      </w:r>
      <w:r>
        <w:rPr>
          <w:spacing w:val="-2"/>
          <w:sz w:val="22"/>
        </w:rPr>
        <w:t>(AMI),</w:t>
      </w:r>
    </w:p>
    <w:p>
      <w:pPr>
        <w:pStyle w:val="ListParagraph"/>
        <w:numPr>
          <w:ilvl w:val="0"/>
          <w:numId w:val="17"/>
        </w:numPr>
        <w:tabs>
          <w:tab w:pos="1561" w:val="left" w:leader="none"/>
        </w:tabs>
        <w:spacing w:line="252" w:lineRule="exact" w:before="0" w:after="0"/>
        <w:ind w:left="1560" w:right="0" w:hanging="361"/>
        <w:jc w:val="left"/>
        <w:rPr>
          <w:sz w:val="22"/>
        </w:rPr>
      </w:pPr>
      <w:r>
        <w:rPr>
          <w:sz w:val="22"/>
        </w:rPr>
        <w:t>5%</w:t>
      </w:r>
      <w:r>
        <w:rPr>
          <w:spacing w:val="-4"/>
          <w:sz w:val="22"/>
        </w:rPr>
        <w:t> </w:t>
      </w:r>
      <w:r>
        <w:rPr>
          <w:sz w:val="22"/>
        </w:rPr>
        <w:t>of</w:t>
      </w:r>
      <w:r>
        <w:rPr>
          <w:spacing w:val="-1"/>
          <w:sz w:val="22"/>
        </w:rPr>
        <w:t> </w:t>
      </w:r>
      <w:r>
        <w:rPr>
          <w:sz w:val="22"/>
        </w:rPr>
        <w:t>units</w:t>
      </w:r>
      <w:r>
        <w:rPr>
          <w:spacing w:val="-5"/>
          <w:sz w:val="22"/>
        </w:rPr>
        <w:t> </w:t>
      </w:r>
      <w:r>
        <w:rPr>
          <w:sz w:val="22"/>
        </w:rPr>
        <w:t>at</w:t>
      </w:r>
      <w:r>
        <w:rPr>
          <w:spacing w:val="-1"/>
          <w:sz w:val="22"/>
        </w:rPr>
        <w:t> </w:t>
      </w:r>
      <w:r>
        <w:rPr>
          <w:sz w:val="22"/>
        </w:rPr>
        <w:t>51%-60%</w:t>
      </w:r>
      <w:r>
        <w:rPr>
          <w:spacing w:val="-4"/>
          <w:sz w:val="22"/>
        </w:rPr>
        <w:t> </w:t>
      </w:r>
      <w:r>
        <w:rPr>
          <w:sz w:val="22"/>
        </w:rPr>
        <w:t>AMI</w:t>
      </w:r>
      <w:r>
        <w:rPr>
          <w:spacing w:val="-2"/>
          <w:sz w:val="22"/>
        </w:rPr>
        <w:t> </w:t>
      </w:r>
      <w:r>
        <w:rPr>
          <w:sz w:val="22"/>
        </w:rPr>
        <w:t>&amp;</w:t>
      </w:r>
      <w:r>
        <w:rPr>
          <w:spacing w:val="-3"/>
          <w:sz w:val="22"/>
        </w:rPr>
        <w:t> </w:t>
      </w:r>
      <w:r>
        <w:rPr>
          <w:sz w:val="22"/>
        </w:rPr>
        <w:t>5%</w:t>
      </w:r>
      <w:r>
        <w:rPr>
          <w:spacing w:val="-4"/>
          <w:sz w:val="22"/>
        </w:rPr>
        <w:t> </w:t>
      </w:r>
      <w:r>
        <w:rPr>
          <w:sz w:val="22"/>
        </w:rPr>
        <w:t>at</w:t>
      </w:r>
      <w:r>
        <w:rPr>
          <w:spacing w:val="-1"/>
          <w:sz w:val="22"/>
        </w:rPr>
        <w:t> </w:t>
      </w:r>
      <w:r>
        <w:rPr>
          <w:sz w:val="22"/>
        </w:rPr>
        <w:t>61-80%</w:t>
      </w:r>
      <w:r>
        <w:rPr>
          <w:spacing w:val="-4"/>
          <w:sz w:val="22"/>
        </w:rPr>
        <w:t> </w:t>
      </w:r>
      <w:r>
        <w:rPr>
          <w:sz w:val="22"/>
        </w:rPr>
        <w:t>AMI,</w:t>
      </w:r>
      <w:r>
        <w:rPr>
          <w:spacing w:val="-2"/>
          <w:sz w:val="22"/>
        </w:rPr>
        <w:t> </w:t>
      </w:r>
      <w:r>
        <w:rPr>
          <w:spacing w:val="-5"/>
          <w:sz w:val="22"/>
        </w:rPr>
        <w:t>or</w:t>
      </w:r>
    </w:p>
    <w:p>
      <w:pPr>
        <w:pStyle w:val="ListParagraph"/>
        <w:numPr>
          <w:ilvl w:val="0"/>
          <w:numId w:val="17"/>
        </w:numPr>
        <w:tabs>
          <w:tab w:pos="1561" w:val="left" w:leader="none"/>
        </w:tabs>
        <w:spacing w:line="252" w:lineRule="exact" w:before="0" w:after="0"/>
        <w:ind w:left="1560" w:right="0" w:hanging="361"/>
        <w:jc w:val="left"/>
        <w:rPr>
          <w:sz w:val="22"/>
        </w:rPr>
      </w:pPr>
      <w:r>
        <w:rPr>
          <w:sz w:val="22"/>
        </w:rPr>
        <w:t>5%</w:t>
      </w:r>
      <w:r>
        <w:rPr>
          <w:spacing w:val="-3"/>
          <w:sz w:val="22"/>
        </w:rPr>
        <w:t> </w:t>
      </w:r>
      <w:r>
        <w:rPr>
          <w:sz w:val="22"/>
        </w:rPr>
        <w:t>of</w:t>
      </w:r>
      <w:r>
        <w:rPr>
          <w:spacing w:val="-1"/>
          <w:sz w:val="22"/>
        </w:rPr>
        <w:t> </w:t>
      </w:r>
      <w:r>
        <w:rPr>
          <w:sz w:val="22"/>
        </w:rPr>
        <w:t>units</w:t>
      </w:r>
      <w:r>
        <w:rPr>
          <w:spacing w:val="-4"/>
          <w:sz w:val="22"/>
        </w:rPr>
        <w:t> </w:t>
      </w:r>
      <w:r>
        <w:rPr>
          <w:sz w:val="22"/>
        </w:rPr>
        <w:t>at</w:t>
      </w:r>
      <w:r>
        <w:rPr>
          <w:spacing w:val="-2"/>
          <w:sz w:val="22"/>
        </w:rPr>
        <w:t> </w:t>
      </w:r>
      <w:r>
        <w:rPr>
          <w:sz w:val="22"/>
        </w:rPr>
        <w:t>51%-60%</w:t>
      </w:r>
      <w:r>
        <w:rPr>
          <w:spacing w:val="-3"/>
          <w:sz w:val="22"/>
        </w:rPr>
        <w:t> </w:t>
      </w:r>
      <w:r>
        <w:rPr>
          <w:sz w:val="22"/>
        </w:rPr>
        <w:t>AMI</w:t>
      </w:r>
      <w:r>
        <w:rPr>
          <w:spacing w:val="-3"/>
          <w:sz w:val="22"/>
        </w:rPr>
        <w:t> </w:t>
      </w:r>
      <w:r>
        <w:rPr>
          <w:sz w:val="22"/>
        </w:rPr>
        <w:t>&amp;</w:t>
      </w:r>
      <w:r>
        <w:rPr>
          <w:spacing w:val="-3"/>
          <w:sz w:val="22"/>
        </w:rPr>
        <w:t> </w:t>
      </w:r>
      <w:r>
        <w:rPr>
          <w:sz w:val="22"/>
        </w:rPr>
        <w:t>5%</w:t>
      </w:r>
      <w:r>
        <w:rPr>
          <w:spacing w:val="-4"/>
          <w:sz w:val="22"/>
        </w:rPr>
        <w:t> </w:t>
      </w:r>
      <w:r>
        <w:rPr>
          <w:sz w:val="22"/>
        </w:rPr>
        <w:t>at</w:t>
      </w:r>
      <w:r>
        <w:rPr>
          <w:spacing w:val="-1"/>
          <w:sz w:val="22"/>
        </w:rPr>
        <w:t> </w:t>
      </w:r>
      <w:r>
        <w:rPr>
          <w:sz w:val="22"/>
        </w:rPr>
        <w:t>61-80%</w:t>
      </w:r>
      <w:r>
        <w:rPr>
          <w:spacing w:val="-4"/>
          <w:sz w:val="22"/>
        </w:rPr>
        <w:t> </w:t>
      </w:r>
      <w:r>
        <w:rPr>
          <w:sz w:val="22"/>
        </w:rPr>
        <w:t>AMI</w:t>
      </w:r>
      <w:r>
        <w:rPr>
          <w:spacing w:val="-1"/>
          <w:sz w:val="22"/>
        </w:rPr>
        <w:t> </w:t>
      </w:r>
      <w:r>
        <w:rPr>
          <w:sz w:val="22"/>
        </w:rPr>
        <w:t>&amp;</w:t>
      </w:r>
      <w:r>
        <w:rPr>
          <w:spacing w:val="-3"/>
          <w:sz w:val="22"/>
        </w:rPr>
        <w:t> </w:t>
      </w:r>
      <w:r>
        <w:rPr>
          <w:sz w:val="22"/>
        </w:rPr>
        <w:t>5%</w:t>
      </w:r>
      <w:r>
        <w:rPr>
          <w:spacing w:val="-2"/>
          <w:sz w:val="22"/>
        </w:rPr>
        <w:t> </w:t>
      </w:r>
      <w:r>
        <w:rPr>
          <w:sz w:val="22"/>
        </w:rPr>
        <w:t>at</w:t>
      </w:r>
      <w:r>
        <w:rPr>
          <w:spacing w:val="-3"/>
          <w:sz w:val="22"/>
        </w:rPr>
        <w:t> </w:t>
      </w:r>
      <w:r>
        <w:rPr>
          <w:sz w:val="22"/>
        </w:rPr>
        <w:t>81-100%</w:t>
      </w:r>
      <w:r>
        <w:rPr>
          <w:spacing w:val="-2"/>
          <w:sz w:val="22"/>
        </w:rPr>
        <w:t> </w:t>
      </w:r>
      <w:r>
        <w:rPr>
          <w:spacing w:val="-5"/>
          <w:sz w:val="22"/>
        </w:rPr>
        <w:t>AMI</w:t>
      </w:r>
    </w:p>
    <w:p>
      <w:pPr>
        <w:pStyle w:val="ListParagraph"/>
        <w:numPr>
          <w:ilvl w:val="1"/>
          <w:numId w:val="16"/>
        </w:numPr>
        <w:tabs>
          <w:tab w:pos="840" w:val="left" w:leader="none"/>
          <w:tab w:pos="841" w:val="left" w:leader="none"/>
        </w:tabs>
        <w:spacing w:line="268" w:lineRule="exact" w:before="1" w:after="0"/>
        <w:ind w:left="840" w:right="0" w:hanging="361"/>
        <w:jc w:val="left"/>
        <w:rPr>
          <w:rFonts w:ascii="Symbol" w:hAnsi="Symbol"/>
          <w:sz w:val="22"/>
        </w:rPr>
      </w:pPr>
      <w:r>
        <w:rPr>
          <w:sz w:val="22"/>
        </w:rPr>
        <w:t>D,</w:t>
      </w:r>
      <w:r>
        <w:rPr>
          <w:spacing w:val="-3"/>
          <w:sz w:val="22"/>
        </w:rPr>
        <w:t> </w:t>
      </w:r>
      <w:r>
        <w:rPr>
          <w:sz w:val="22"/>
        </w:rPr>
        <w:t>E,</w:t>
      </w:r>
      <w:r>
        <w:rPr>
          <w:spacing w:val="-5"/>
          <w:sz w:val="22"/>
        </w:rPr>
        <w:t> </w:t>
      </w:r>
      <w:r>
        <w:rPr>
          <w:sz w:val="22"/>
        </w:rPr>
        <w:t>F</w:t>
      </w:r>
      <w:r>
        <w:rPr>
          <w:spacing w:val="-6"/>
          <w:sz w:val="22"/>
        </w:rPr>
        <w:t> </w:t>
      </w:r>
      <w:r>
        <w:rPr>
          <w:sz w:val="22"/>
        </w:rPr>
        <w:t>(transitioning</w:t>
      </w:r>
      <w:r>
        <w:rPr>
          <w:spacing w:val="-5"/>
          <w:sz w:val="22"/>
        </w:rPr>
        <w:t> </w:t>
      </w:r>
      <w:r>
        <w:rPr>
          <w:spacing w:val="-2"/>
          <w:sz w:val="22"/>
        </w:rPr>
        <w:t>markets):</w:t>
      </w:r>
    </w:p>
    <w:p>
      <w:pPr>
        <w:pStyle w:val="ListParagraph"/>
        <w:numPr>
          <w:ilvl w:val="0"/>
          <w:numId w:val="18"/>
        </w:numPr>
        <w:tabs>
          <w:tab w:pos="1561" w:val="left" w:leader="none"/>
        </w:tabs>
        <w:spacing w:line="252" w:lineRule="exact" w:before="0" w:after="0"/>
        <w:ind w:left="1560" w:right="0" w:hanging="361"/>
        <w:jc w:val="left"/>
        <w:rPr>
          <w:sz w:val="22"/>
        </w:rPr>
      </w:pPr>
      <w:r>
        <w:rPr>
          <w:sz w:val="22"/>
        </w:rPr>
        <w:t>5%</w:t>
      </w:r>
      <w:r>
        <w:rPr>
          <w:spacing w:val="-3"/>
          <w:sz w:val="22"/>
        </w:rPr>
        <w:t> </w:t>
      </w:r>
      <w:r>
        <w:rPr>
          <w:sz w:val="22"/>
        </w:rPr>
        <w:t>of</w:t>
      </w:r>
      <w:r>
        <w:rPr>
          <w:spacing w:val="-2"/>
          <w:sz w:val="22"/>
        </w:rPr>
        <w:t> </w:t>
      </w:r>
      <w:r>
        <w:rPr>
          <w:sz w:val="22"/>
        </w:rPr>
        <w:t>units</w:t>
      </w:r>
      <w:r>
        <w:rPr>
          <w:spacing w:val="-5"/>
          <w:sz w:val="22"/>
        </w:rPr>
        <w:t> </w:t>
      </w:r>
      <w:r>
        <w:rPr>
          <w:sz w:val="22"/>
        </w:rPr>
        <w:t>at</w:t>
      </w:r>
      <w:r>
        <w:rPr>
          <w:spacing w:val="-2"/>
          <w:sz w:val="22"/>
        </w:rPr>
        <w:t> </w:t>
      </w:r>
      <w:r>
        <w:rPr>
          <w:sz w:val="22"/>
        </w:rPr>
        <w:t>61%-80%</w:t>
      </w:r>
      <w:r>
        <w:rPr>
          <w:spacing w:val="-4"/>
          <w:sz w:val="22"/>
        </w:rPr>
        <w:t> AMI,</w:t>
      </w:r>
    </w:p>
    <w:p>
      <w:pPr>
        <w:pStyle w:val="ListParagraph"/>
        <w:numPr>
          <w:ilvl w:val="0"/>
          <w:numId w:val="18"/>
        </w:numPr>
        <w:tabs>
          <w:tab w:pos="1561" w:val="left" w:leader="none"/>
        </w:tabs>
        <w:spacing w:line="252" w:lineRule="exact" w:before="2" w:after="0"/>
        <w:ind w:left="1560" w:right="0" w:hanging="361"/>
        <w:jc w:val="left"/>
        <w:rPr>
          <w:sz w:val="22"/>
        </w:rPr>
      </w:pPr>
      <w:r>
        <w:rPr>
          <w:sz w:val="22"/>
        </w:rPr>
        <w:t>10%</w:t>
      </w:r>
      <w:r>
        <w:rPr>
          <w:spacing w:val="-6"/>
          <w:sz w:val="22"/>
        </w:rPr>
        <w:t> </w:t>
      </w:r>
      <w:r>
        <w:rPr>
          <w:sz w:val="22"/>
        </w:rPr>
        <w:t>of</w:t>
      </w:r>
      <w:r>
        <w:rPr>
          <w:spacing w:val="-2"/>
          <w:sz w:val="22"/>
        </w:rPr>
        <w:t> </w:t>
      </w:r>
      <w:r>
        <w:rPr>
          <w:sz w:val="22"/>
        </w:rPr>
        <w:t>units</w:t>
      </w:r>
      <w:r>
        <w:rPr>
          <w:spacing w:val="-6"/>
          <w:sz w:val="22"/>
        </w:rPr>
        <w:t> </w:t>
      </w:r>
      <w:r>
        <w:rPr>
          <w:sz w:val="22"/>
        </w:rPr>
        <w:t>at</w:t>
      </w:r>
      <w:r>
        <w:rPr>
          <w:spacing w:val="-2"/>
          <w:sz w:val="22"/>
        </w:rPr>
        <w:t> </w:t>
      </w:r>
      <w:r>
        <w:rPr>
          <w:sz w:val="22"/>
        </w:rPr>
        <w:t>61%-80%</w:t>
      </w:r>
      <w:r>
        <w:rPr>
          <w:spacing w:val="-3"/>
          <w:sz w:val="22"/>
        </w:rPr>
        <w:t> </w:t>
      </w:r>
      <w:r>
        <w:rPr>
          <w:sz w:val="22"/>
        </w:rPr>
        <w:t>AMI,</w:t>
      </w:r>
      <w:r>
        <w:rPr>
          <w:spacing w:val="-2"/>
          <w:sz w:val="22"/>
        </w:rPr>
        <w:t> </w:t>
      </w:r>
      <w:r>
        <w:rPr>
          <w:spacing w:val="-5"/>
          <w:sz w:val="22"/>
        </w:rPr>
        <w:t>or</w:t>
      </w:r>
    </w:p>
    <w:p>
      <w:pPr>
        <w:pStyle w:val="ListParagraph"/>
        <w:numPr>
          <w:ilvl w:val="0"/>
          <w:numId w:val="18"/>
        </w:numPr>
        <w:tabs>
          <w:tab w:pos="1561" w:val="left" w:leader="none"/>
        </w:tabs>
        <w:spacing w:line="252" w:lineRule="exact" w:before="0" w:after="0"/>
        <w:ind w:left="1560" w:right="0" w:hanging="361"/>
        <w:jc w:val="left"/>
        <w:rPr>
          <w:sz w:val="22"/>
        </w:rPr>
      </w:pPr>
      <w:r>
        <w:rPr>
          <w:sz w:val="22"/>
        </w:rPr>
        <w:t>10%</w:t>
      </w:r>
      <w:r>
        <w:rPr>
          <w:spacing w:val="-5"/>
          <w:sz w:val="22"/>
        </w:rPr>
        <w:t> </w:t>
      </w:r>
      <w:r>
        <w:rPr>
          <w:sz w:val="22"/>
        </w:rPr>
        <w:t>of</w:t>
      </w:r>
      <w:r>
        <w:rPr>
          <w:spacing w:val="-1"/>
          <w:sz w:val="22"/>
        </w:rPr>
        <w:t> </w:t>
      </w:r>
      <w:r>
        <w:rPr>
          <w:sz w:val="22"/>
        </w:rPr>
        <w:t>units</w:t>
      </w:r>
      <w:r>
        <w:rPr>
          <w:spacing w:val="-6"/>
          <w:sz w:val="22"/>
        </w:rPr>
        <w:t> </w:t>
      </w:r>
      <w:r>
        <w:rPr>
          <w:sz w:val="22"/>
        </w:rPr>
        <w:t>at</w:t>
      </w:r>
      <w:r>
        <w:rPr>
          <w:spacing w:val="-1"/>
          <w:sz w:val="22"/>
        </w:rPr>
        <w:t> </w:t>
      </w:r>
      <w:r>
        <w:rPr>
          <w:sz w:val="22"/>
        </w:rPr>
        <w:t>61%-80%</w:t>
      </w:r>
      <w:r>
        <w:rPr>
          <w:spacing w:val="-3"/>
          <w:sz w:val="22"/>
        </w:rPr>
        <w:t> </w:t>
      </w:r>
      <w:r>
        <w:rPr>
          <w:sz w:val="22"/>
        </w:rPr>
        <w:t>AMI</w:t>
      </w:r>
      <w:r>
        <w:rPr>
          <w:spacing w:val="-3"/>
          <w:sz w:val="22"/>
        </w:rPr>
        <w:t> </w:t>
      </w:r>
      <w:r>
        <w:rPr>
          <w:sz w:val="22"/>
        </w:rPr>
        <w:t>&amp;</w:t>
      </w:r>
      <w:r>
        <w:rPr>
          <w:spacing w:val="-3"/>
          <w:sz w:val="22"/>
        </w:rPr>
        <w:t> </w:t>
      </w:r>
      <w:r>
        <w:rPr>
          <w:sz w:val="22"/>
        </w:rPr>
        <w:t>5%</w:t>
      </w:r>
      <w:r>
        <w:rPr>
          <w:spacing w:val="-5"/>
          <w:sz w:val="22"/>
        </w:rPr>
        <w:t> </w:t>
      </w:r>
      <w:r>
        <w:rPr>
          <w:sz w:val="22"/>
        </w:rPr>
        <w:t>at</w:t>
      </w:r>
      <w:r>
        <w:rPr>
          <w:spacing w:val="-1"/>
          <w:sz w:val="22"/>
        </w:rPr>
        <w:t> </w:t>
      </w:r>
      <w:r>
        <w:rPr>
          <w:sz w:val="22"/>
        </w:rPr>
        <w:t>81-100%</w:t>
      </w:r>
      <w:r>
        <w:rPr>
          <w:spacing w:val="-4"/>
          <w:sz w:val="22"/>
        </w:rPr>
        <w:t> </w:t>
      </w:r>
      <w:r>
        <w:rPr>
          <w:spacing w:val="-5"/>
          <w:sz w:val="22"/>
        </w:rPr>
        <w:t>AMI</w:t>
      </w:r>
    </w:p>
    <w:p>
      <w:pPr>
        <w:pStyle w:val="ListParagraph"/>
        <w:numPr>
          <w:ilvl w:val="1"/>
          <w:numId w:val="16"/>
        </w:numPr>
        <w:tabs>
          <w:tab w:pos="840" w:val="left" w:leader="none"/>
          <w:tab w:pos="841" w:val="left" w:leader="none"/>
        </w:tabs>
        <w:spacing w:line="268" w:lineRule="exact" w:before="1" w:after="0"/>
        <w:ind w:left="840" w:right="0" w:hanging="361"/>
        <w:jc w:val="left"/>
        <w:rPr>
          <w:rFonts w:ascii="Symbol" w:hAnsi="Symbol"/>
          <w:sz w:val="22"/>
        </w:rPr>
      </w:pPr>
      <w:r>
        <w:rPr>
          <w:sz w:val="22"/>
        </w:rPr>
        <w:t>G,</w:t>
      </w:r>
      <w:r>
        <w:rPr>
          <w:spacing w:val="-2"/>
          <w:sz w:val="22"/>
        </w:rPr>
        <w:t> </w:t>
      </w:r>
      <w:r>
        <w:rPr>
          <w:sz w:val="22"/>
        </w:rPr>
        <w:t>H,</w:t>
      </w:r>
      <w:r>
        <w:rPr>
          <w:spacing w:val="-3"/>
          <w:sz w:val="22"/>
        </w:rPr>
        <w:t> </w:t>
      </w:r>
      <w:r>
        <w:rPr>
          <w:sz w:val="22"/>
        </w:rPr>
        <w:t>I</w:t>
      </w:r>
      <w:r>
        <w:rPr>
          <w:spacing w:val="-2"/>
          <w:sz w:val="22"/>
        </w:rPr>
        <w:t> </w:t>
      </w:r>
      <w:r>
        <w:rPr>
          <w:sz w:val="22"/>
        </w:rPr>
        <w:t>(weaker</w:t>
      </w:r>
      <w:r>
        <w:rPr>
          <w:spacing w:val="-2"/>
          <w:sz w:val="22"/>
        </w:rPr>
        <w:t> markets):</w:t>
      </w:r>
    </w:p>
    <w:p>
      <w:pPr>
        <w:pStyle w:val="BodyText"/>
        <w:spacing w:line="252" w:lineRule="exact"/>
        <w:ind w:left="1200"/>
      </w:pPr>
      <w:r>
        <w:rPr/>
        <w:t>(1)</w:t>
      </w:r>
      <w:r>
        <w:rPr>
          <w:spacing w:val="21"/>
        </w:rPr>
        <w:t> </w:t>
      </w:r>
      <w:r>
        <w:rPr/>
        <w:t>5%</w:t>
      </w:r>
      <w:r>
        <w:rPr>
          <w:spacing w:val="-1"/>
        </w:rPr>
        <w:t> </w:t>
      </w:r>
      <w:r>
        <w:rPr/>
        <w:t>of</w:t>
      </w:r>
      <w:r>
        <w:rPr>
          <w:spacing w:val="-1"/>
        </w:rPr>
        <w:t> </w:t>
      </w:r>
      <w:r>
        <w:rPr/>
        <w:t>units</w:t>
      </w:r>
      <w:r>
        <w:rPr>
          <w:spacing w:val="-5"/>
        </w:rPr>
        <w:t> </w:t>
      </w:r>
      <w:r>
        <w:rPr/>
        <w:t>at</w:t>
      </w:r>
      <w:r>
        <w:rPr>
          <w:spacing w:val="-1"/>
        </w:rPr>
        <w:t> </w:t>
      </w:r>
      <w:r>
        <w:rPr/>
        <w:t>81-100%</w:t>
      </w:r>
      <w:r>
        <w:rPr>
          <w:spacing w:val="-5"/>
        </w:rPr>
        <w:t> AMI</w:t>
      </w:r>
    </w:p>
    <w:p>
      <w:pPr>
        <w:pStyle w:val="BodyText"/>
      </w:pPr>
    </w:p>
    <w:p>
      <w:pPr>
        <w:pStyle w:val="BodyText"/>
        <w:ind w:left="120" w:right="155"/>
      </w:pPr>
      <w:r>
        <w:rPr/>
        <w:t>The bonuses vary by type of zoning district and by the additional development rights that would be most likely to incentivize development.</w:t>
      </w:r>
    </w:p>
    <w:p>
      <w:pPr>
        <w:pStyle w:val="ListParagraph"/>
        <w:numPr>
          <w:ilvl w:val="1"/>
          <w:numId w:val="16"/>
        </w:numPr>
        <w:tabs>
          <w:tab w:pos="840" w:val="left" w:leader="none"/>
          <w:tab w:pos="841" w:val="left" w:leader="none"/>
        </w:tabs>
        <w:spacing w:line="237" w:lineRule="auto" w:before="2" w:after="0"/>
        <w:ind w:left="840" w:right="158" w:hanging="361"/>
        <w:jc w:val="left"/>
        <w:rPr>
          <w:rFonts w:ascii="Symbol" w:hAnsi="Symbol"/>
          <w:sz w:val="22"/>
        </w:rPr>
      </w:pPr>
      <w:r>
        <w:rPr>
          <w:sz w:val="22"/>
        </w:rPr>
        <w:t>In MF-1(A) and MF-2(A) Multifamily Districts, the percentage of reserved units required increases with height and lot coverage.</w:t>
      </w:r>
    </w:p>
    <w:p>
      <w:pPr>
        <w:pStyle w:val="ListParagraph"/>
        <w:numPr>
          <w:ilvl w:val="1"/>
          <w:numId w:val="16"/>
        </w:numPr>
        <w:tabs>
          <w:tab w:pos="840" w:val="left" w:leader="none"/>
          <w:tab w:pos="841" w:val="left" w:leader="none"/>
        </w:tabs>
        <w:spacing w:line="237" w:lineRule="auto" w:before="3" w:after="0"/>
        <w:ind w:left="840" w:right="156" w:hanging="361"/>
        <w:jc w:val="left"/>
        <w:rPr>
          <w:rFonts w:ascii="Symbol" w:hAnsi="Symbol"/>
          <w:sz w:val="22"/>
        </w:rPr>
      </w:pPr>
      <w:r>
        <w:rPr>
          <w:sz w:val="22"/>
        </w:rPr>
        <w:t>In MF-3(A)</w:t>
      </w:r>
      <w:r>
        <w:rPr>
          <w:spacing w:val="-1"/>
          <w:sz w:val="22"/>
        </w:rPr>
        <w:t> </w:t>
      </w:r>
      <w:r>
        <w:rPr>
          <w:sz w:val="22"/>
        </w:rPr>
        <w:t>Multifamily Districts,</w:t>
      </w:r>
      <w:r>
        <w:rPr>
          <w:spacing w:val="-1"/>
          <w:sz w:val="22"/>
        </w:rPr>
        <w:t> </w:t>
      </w:r>
      <w:r>
        <w:rPr>
          <w:sz w:val="22"/>
        </w:rPr>
        <w:t>the percentage of reserved units</w:t>
      </w:r>
      <w:r>
        <w:rPr>
          <w:spacing w:val="-2"/>
          <w:sz w:val="22"/>
        </w:rPr>
        <w:t> </w:t>
      </w:r>
      <w:r>
        <w:rPr>
          <w:sz w:val="22"/>
        </w:rPr>
        <w:t>required increases with height, lot coverage, and density.</w:t>
      </w:r>
    </w:p>
    <w:p>
      <w:pPr>
        <w:pStyle w:val="ListParagraph"/>
        <w:numPr>
          <w:ilvl w:val="1"/>
          <w:numId w:val="16"/>
        </w:numPr>
        <w:tabs>
          <w:tab w:pos="840" w:val="left" w:leader="none"/>
          <w:tab w:pos="841" w:val="left" w:leader="none"/>
        </w:tabs>
        <w:spacing w:line="237" w:lineRule="auto" w:before="4" w:after="0"/>
        <w:ind w:left="840" w:right="156" w:hanging="360"/>
        <w:jc w:val="left"/>
        <w:rPr>
          <w:rFonts w:ascii="Symbol" w:hAnsi="Symbol"/>
          <w:sz w:val="22"/>
        </w:rPr>
      </w:pPr>
      <w:r>
        <w:rPr>
          <w:sz w:val="22"/>
        </w:rPr>
        <w:t>In MU-1 and MU-2 Mixed Use Districts, the percentage of reserved units increases with increases in density. Base floor area ratios (FAR) apply to non-residential use only.</w:t>
      </w:r>
    </w:p>
    <w:p>
      <w:pPr>
        <w:spacing w:after="0" w:line="237" w:lineRule="auto"/>
        <w:jc w:val="left"/>
        <w:rPr>
          <w:rFonts w:ascii="Symbol" w:hAnsi="Symbol"/>
          <w:sz w:val="22"/>
        </w:rPr>
        <w:sectPr>
          <w:pgSz w:w="12240" w:h="15840"/>
          <w:pgMar w:header="0" w:footer="1738" w:top="1360" w:bottom="1920" w:left="1320" w:right="1280"/>
        </w:sectPr>
      </w:pPr>
    </w:p>
    <w:p>
      <w:pPr>
        <w:pStyle w:val="ListParagraph"/>
        <w:numPr>
          <w:ilvl w:val="1"/>
          <w:numId w:val="16"/>
        </w:numPr>
        <w:tabs>
          <w:tab w:pos="840" w:val="left" w:leader="none"/>
          <w:tab w:pos="841" w:val="left" w:leader="none"/>
        </w:tabs>
        <w:spacing w:line="237" w:lineRule="auto" w:before="84" w:after="0"/>
        <w:ind w:left="840" w:right="157" w:hanging="361"/>
        <w:jc w:val="left"/>
        <w:rPr>
          <w:rFonts w:ascii="Symbol" w:hAnsi="Symbol"/>
          <w:sz w:val="22"/>
        </w:rPr>
      </w:pPr>
      <w:r>
        <w:rPr>
          <w:sz w:val="22"/>
        </w:rPr>
        <w:t>In MU-3 Mixed Use Districts the percentage of</w:t>
      </w:r>
      <w:r>
        <w:rPr>
          <w:spacing w:val="-1"/>
          <w:sz w:val="22"/>
        </w:rPr>
        <w:t> </w:t>
      </w:r>
      <w:r>
        <w:rPr>
          <w:sz w:val="22"/>
        </w:rPr>
        <w:t>reserved units increases with an increase in FAR and a small increase in lot coverage.</w:t>
      </w:r>
    </w:p>
    <w:p>
      <w:pPr>
        <w:pStyle w:val="BodyText"/>
        <w:spacing w:before="9"/>
        <w:rPr>
          <w:sz w:val="21"/>
        </w:rPr>
      </w:pPr>
    </w:p>
    <w:p>
      <w:pPr>
        <w:pStyle w:val="BodyText"/>
        <w:spacing w:before="1"/>
        <w:ind w:left="120"/>
      </w:pPr>
      <w:r>
        <w:rPr/>
        <w:t>In</w:t>
      </w:r>
      <w:r>
        <w:rPr>
          <w:spacing w:val="-2"/>
        </w:rPr>
        <w:t> </w:t>
      </w:r>
      <w:r>
        <w:rPr/>
        <w:t>all</w:t>
      </w:r>
      <w:r>
        <w:rPr>
          <w:spacing w:val="-1"/>
        </w:rPr>
        <w:t> </w:t>
      </w:r>
      <w:r>
        <w:rPr/>
        <w:t>Type</w:t>
      </w:r>
      <w:r>
        <w:rPr>
          <w:spacing w:val="-3"/>
        </w:rPr>
        <w:t> </w:t>
      </w:r>
      <w:r>
        <w:rPr/>
        <w:t>One</w:t>
      </w:r>
      <w:r>
        <w:rPr>
          <w:spacing w:val="-2"/>
        </w:rPr>
        <w:t> districts:</w:t>
      </w:r>
    </w:p>
    <w:p>
      <w:pPr>
        <w:pStyle w:val="ListParagraph"/>
        <w:numPr>
          <w:ilvl w:val="1"/>
          <w:numId w:val="16"/>
        </w:numPr>
        <w:tabs>
          <w:tab w:pos="840" w:val="left" w:leader="none"/>
          <w:tab w:pos="841" w:val="left" w:leader="none"/>
        </w:tabs>
        <w:spacing w:line="237" w:lineRule="auto" w:before="3" w:after="0"/>
        <w:ind w:left="840" w:right="158" w:hanging="361"/>
        <w:jc w:val="left"/>
        <w:rPr>
          <w:rFonts w:ascii="Symbol" w:hAnsi="Symbol"/>
          <w:sz w:val="22"/>
        </w:rPr>
      </w:pPr>
      <w:r>
        <w:rPr>
          <w:sz w:val="22"/>
        </w:rPr>
        <w:t>Building</w:t>
      </w:r>
      <w:r>
        <w:rPr>
          <w:spacing w:val="-11"/>
          <w:sz w:val="22"/>
        </w:rPr>
        <w:t> </w:t>
      </w:r>
      <w:r>
        <w:rPr>
          <w:sz w:val="22"/>
        </w:rPr>
        <w:t>heights</w:t>
      </w:r>
      <w:r>
        <w:rPr>
          <w:spacing w:val="-10"/>
          <w:sz w:val="22"/>
        </w:rPr>
        <w:t> </w:t>
      </w:r>
      <w:r>
        <w:rPr>
          <w:sz w:val="22"/>
        </w:rPr>
        <w:t>are</w:t>
      </w:r>
      <w:r>
        <w:rPr>
          <w:spacing w:val="-11"/>
          <w:sz w:val="22"/>
        </w:rPr>
        <w:t> </w:t>
      </w:r>
      <w:r>
        <w:rPr>
          <w:sz w:val="22"/>
        </w:rPr>
        <w:t>subject</w:t>
      </w:r>
      <w:r>
        <w:rPr>
          <w:spacing w:val="-9"/>
          <w:sz w:val="22"/>
        </w:rPr>
        <w:t> </w:t>
      </w:r>
      <w:r>
        <w:rPr>
          <w:sz w:val="22"/>
        </w:rPr>
        <w:t>to</w:t>
      </w:r>
      <w:r>
        <w:rPr>
          <w:spacing w:val="-12"/>
          <w:sz w:val="22"/>
        </w:rPr>
        <w:t> </w:t>
      </w:r>
      <w:r>
        <w:rPr>
          <w:sz w:val="22"/>
        </w:rPr>
        <w:t>residential</w:t>
      </w:r>
      <w:r>
        <w:rPr>
          <w:spacing w:val="-11"/>
          <w:sz w:val="22"/>
        </w:rPr>
        <w:t> </w:t>
      </w:r>
      <w:r>
        <w:rPr>
          <w:sz w:val="22"/>
        </w:rPr>
        <w:t>proximity</w:t>
      </w:r>
      <w:r>
        <w:rPr>
          <w:spacing w:val="-10"/>
          <w:sz w:val="22"/>
        </w:rPr>
        <w:t> </w:t>
      </w:r>
      <w:r>
        <w:rPr>
          <w:sz w:val="22"/>
        </w:rPr>
        <w:t>slopes,</w:t>
      </w:r>
      <w:r>
        <w:rPr>
          <w:spacing w:val="-9"/>
          <w:sz w:val="22"/>
        </w:rPr>
        <w:t> </w:t>
      </w:r>
      <w:r>
        <w:rPr>
          <w:sz w:val="22"/>
        </w:rPr>
        <w:t>where</w:t>
      </w:r>
      <w:r>
        <w:rPr>
          <w:spacing w:val="-11"/>
          <w:sz w:val="22"/>
        </w:rPr>
        <w:t> </w:t>
      </w:r>
      <w:r>
        <w:rPr>
          <w:sz w:val="22"/>
        </w:rPr>
        <w:t>applicable,</w:t>
      </w:r>
      <w:r>
        <w:rPr>
          <w:spacing w:val="-9"/>
          <w:sz w:val="22"/>
        </w:rPr>
        <w:t> </w:t>
      </w:r>
      <w:r>
        <w:rPr>
          <w:sz w:val="22"/>
        </w:rPr>
        <w:t>and</w:t>
      </w:r>
      <w:r>
        <w:rPr>
          <w:spacing w:val="-11"/>
          <w:sz w:val="22"/>
        </w:rPr>
        <w:t> </w:t>
      </w:r>
      <w:r>
        <w:rPr>
          <w:sz w:val="22"/>
        </w:rPr>
        <w:t>existing setbacks are maintained.</w:t>
      </w:r>
    </w:p>
    <w:p>
      <w:pPr>
        <w:pStyle w:val="ListParagraph"/>
        <w:numPr>
          <w:ilvl w:val="1"/>
          <w:numId w:val="16"/>
        </w:numPr>
        <w:tabs>
          <w:tab w:pos="840" w:val="left" w:leader="none"/>
          <w:tab w:pos="841" w:val="left" w:leader="none"/>
        </w:tabs>
        <w:spacing w:line="269" w:lineRule="exact" w:before="1" w:after="0"/>
        <w:ind w:left="840" w:right="0" w:hanging="361"/>
        <w:jc w:val="left"/>
        <w:rPr>
          <w:rFonts w:ascii="Symbol" w:hAnsi="Symbol"/>
          <w:sz w:val="22"/>
        </w:rPr>
      </w:pPr>
      <w:r>
        <w:rPr>
          <w:sz w:val="22"/>
        </w:rPr>
        <w:t>Participation</w:t>
      </w:r>
      <w:r>
        <w:rPr>
          <w:spacing w:val="-7"/>
          <w:sz w:val="22"/>
        </w:rPr>
        <w:t> </w:t>
      </w:r>
      <w:r>
        <w:rPr>
          <w:sz w:val="22"/>
        </w:rPr>
        <w:t>in</w:t>
      </w:r>
      <w:r>
        <w:rPr>
          <w:spacing w:val="-6"/>
          <w:sz w:val="22"/>
        </w:rPr>
        <w:t> </w:t>
      </w:r>
      <w:r>
        <w:rPr>
          <w:sz w:val="22"/>
        </w:rPr>
        <w:t>the</w:t>
      </w:r>
      <w:r>
        <w:rPr>
          <w:spacing w:val="-7"/>
          <w:sz w:val="22"/>
        </w:rPr>
        <w:t> </w:t>
      </w:r>
      <w:r>
        <w:rPr>
          <w:sz w:val="22"/>
        </w:rPr>
        <w:t>MIHDB</w:t>
      </w:r>
      <w:r>
        <w:rPr>
          <w:spacing w:val="-3"/>
          <w:sz w:val="22"/>
        </w:rPr>
        <w:t> </w:t>
      </w:r>
      <w:r>
        <w:rPr>
          <w:sz w:val="22"/>
        </w:rPr>
        <w:t>reduces</w:t>
      </w:r>
      <w:r>
        <w:rPr>
          <w:spacing w:val="-6"/>
          <w:sz w:val="22"/>
        </w:rPr>
        <w:t> </w:t>
      </w:r>
      <w:r>
        <w:rPr>
          <w:sz w:val="22"/>
        </w:rPr>
        <w:t>the</w:t>
      </w:r>
      <w:r>
        <w:rPr>
          <w:spacing w:val="-7"/>
          <w:sz w:val="22"/>
        </w:rPr>
        <w:t> </w:t>
      </w:r>
      <w:r>
        <w:rPr>
          <w:sz w:val="22"/>
        </w:rPr>
        <w:t>minimum</w:t>
      </w:r>
      <w:r>
        <w:rPr>
          <w:spacing w:val="-7"/>
          <w:sz w:val="22"/>
        </w:rPr>
        <w:t> </w:t>
      </w:r>
      <w:r>
        <w:rPr>
          <w:sz w:val="22"/>
        </w:rPr>
        <w:t>parking</w:t>
      </w:r>
      <w:r>
        <w:rPr>
          <w:spacing w:val="-4"/>
          <w:sz w:val="22"/>
        </w:rPr>
        <w:t> </w:t>
      </w:r>
      <w:r>
        <w:rPr>
          <w:spacing w:val="-2"/>
          <w:sz w:val="22"/>
        </w:rPr>
        <w:t>required.</w:t>
      </w:r>
    </w:p>
    <w:p>
      <w:pPr>
        <w:pStyle w:val="ListParagraph"/>
        <w:numPr>
          <w:ilvl w:val="1"/>
          <w:numId w:val="16"/>
        </w:numPr>
        <w:tabs>
          <w:tab w:pos="840" w:val="left" w:leader="none"/>
          <w:tab w:pos="841" w:val="left" w:leader="none"/>
        </w:tabs>
        <w:spacing w:line="237" w:lineRule="auto" w:before="2" w:after="0"/>
        <w:ind w:left="840" w:right="159" w:hanging="361"/>
        <w:jc w:val="left"/>
        <w:rPr>
          <w:rFonts w:ascii="Symbol" w:hAnsi="Symbol"/>
          <w:sz w:val="22"/>
        </w:rPr>
      </w:pPr>
      <w:r>
        <w:rPr/>
        <w:pict>
          <v:shape style="position:absolute;margin-left:90.065002pt;margin-top:6.405885pt;width:395.3pt;height:419pt;mso-position-horizontal-relative:page;mso-position-vertical-relative:paragraph;z-index:-17703424" id="docshape82" coordorigin="1801,128" coordsize="7906,8380" path="m4498,7392l4492,7318,4477,7240,4455,7157,4432,7088,4403,7016,4367,6941,4325,6863,4276,6783,4237,6724,4200,6673,4200,7359,4197,7415,4186,7472,4167,7529,4138,7589,4097,7652,4044,7718,3979,7787,3674,8093,2216,6635,2517,6334,2598,6258,2672,6198,2740,6155,2801,6128,2868,6113,2941,6109,3020,6116,3105,6134,3195,6163,3255,6189,3317,6221,3380,6260,3446,6305,3514,6356,3584,6414,3656,6479,3729,6551,3789,6612,3845,6672,3896,6731,3943,6789,3986,6846,4025,6901,4059,6955,4101,7029,4136,7102,4163,7171,4183,7238,4196,7302,4200,7359,4200,6673,4194,6664,4148,6604,4098,6543,4045,6482,3989,6421,3929,6359,3865,6297,3801,6239,3737,6184,3673,6132,3643,6109,3609,6084,3546,6040,3482,5998,3419,5961,3346,5923,3274,5890,3203,5863,3132,5841,3062,5824,2992,5812,2923,5805,2850,5803,2779,5810,2709,5825,2642,5848,2577,5878,2528,5907,2476,5944,2420,5989,2359,6043,2294,6106,1801,6599,3710,8507,4124,8093,4226,7991,4287,7926,4341,7860,4386,7794,4424,7728,4454,7661,4476,7595,4491,7528,4498,7460,4498,7392xm6418,5799l6056,5671,5650,5528,5561,5499,5475,5475,5393,5456,5365,5451,5314,5442,5239,5432,5193,5430,5143,5433,5089,5440,5030,5451,5073,5381,5109,5312,5136,5242,5154,5174,5164,5105,5165,5037,5157,4969,5139,4891,5111,4815,5075,4740,5030,4668,4976,4597,4956,4574,4913,4528,4872,4490,4872,5047,4868,5103,4854,5158,4830,5214,4794,5273,4747,5334,4687,5397,4280,5805,3649,5173,4102,4720,4166,4663,4229,4620,4293,4591,4358,4575,4422,4574,4501,4589,4577,4619,4649,4664,4718,4723,4761,4771,4797,4822,4827,4875,4851,4932,4867,4990,4872,5047,4872,4490,4849,4469,4782,4416,4713,4371,4641,4332,4566,4300,4474,4272,4386,4259,4303,4261,4225,4277,4163,4302,4098,4338,4030,4387,3958,4446,3883,4517,3248,5152,5157,7060,5346,6871,4499,6023,4718,5805,4753,5770,4783,5743,4810,5722,4833,5707,4863,5694,4896,5683,4932,5675,4971,5671,5014,5671,5066,5676,5125,5687,5194,5703,5256,5720,5328,5741,5407,5766,5496,5795,6180,6037,6418,5799xm7780,4436l7415,4241,6555,3787,6555,4094,6070,4580,6030,4508,5989,4436,5748,4006,5708,3934,5668,3863,5629,3797,5590,3732,5550,3668,5509,3605,5467,3543,5424,3482,5380,3421,5436,3457,5498,3494,5564,3534,5635,3576,5792,3667,6555,4094,6555,3787,5862,3421,5286,3114,5082,3318,5277,3669,5316,3739,5701,4436,6207,5355,6441,5776,6642,5575,6565,5441,6298,4973,6221,4840,6481,4580,6820,4241,7173,4436,7565,4652,7780,4436xm8131,4086l7264,3219,7936,2547,7711,2322,7039,2994,6448,2403,7224,1627,6999,1401,6033,2367,7941,4275,8131,4086xm9707,2510l8024,827,8497,353,8272,128,7138,1263,7363,1488,7834,1016,9517,2699,9707,2510xe" filled="true" fillcolor="#c0c0c0" stroked="false">
            <v:path arrowok="t"/>
            <v:fill opacity="32896f" type="solid"/>
            <w10:wrap type="none"/>
          </v:shape>
        </w:pict>
      </w:r>
      <w:r>
        <w:rPr>
          <w:sz w:val="22"/>
        </w:rPr>
        <w:t>Developments</w:t>
      </w:r>
      <w:r>
        <w:rPr>
          <w:spacing w:val="40"/>
          <w:sz w:val="22"/>
        </w:rPr>
        <w:t> </w:t>
      </w:r>
      <w:r>
        <w:rPr>
          <w:sz w:val="22"/>
        </w:rPr>
        <w:t>with</w:t>
      </w:r>
      <w:r>
        <w:rPr>
          <w:spacing w:val="40"/>
          <w:sz w:val="22"/>
        </w:rPr>
        <w:t> </w:t>
      </w:r>
      <w:r>
        <w:rPr>
          <w:sz w:val="22"/>
        </w:rPr>
        <w:t>transit</w:t>
      </w:r>
      <w:r>
        <w:rPr>
          <w:spacing w:val="40"/>
          <w:sz w:val="22"/>
        </w:rPr>
        <w:t> </w:t>
      </w:r>
      <w:r>
        <w:rPr>
          <w:sz w:val="22"/>
        </w:rPr>
        <w:t>proximity</w:t>
      </w:r>
      <w:r>
        <w:rPr>
          <w:spacing w:val="38"/>
          <w:sz w:val="22"/>
        </w:rPr>
        <w:t> </w:t>
      </w:r>
      <w:r>
        <w:rPr>
          <w:sz w:val="22"/>
        </w:rPr>
        <w:t>may</w:t>
      </w:r>
      <w:r>
        <w:rPr>
          <w:spacing w:val="38"/>
          <w:sz w:val="22"/>
        </w:rPr>
        <w:t> </w:t>
      </w:r>
      <w:r>
        <w:rPr>
          <w:sz w:val="22"/>
        </w:rPr>
        <w:t>receive</w:t>
      </w:r>
      <w:r>
        <w:rPr>
          <w:spacing w:val="40"/>
          <w:sz w:val="22"/>
        </w:rPr>
        <w:t> </w:t>
      </w:r>
      <w:r>
        <w:rPr>
          <w:sz w:val="22"/>
        </w:rPr>
        <w:t>an</w:t>
      </w:r>
      <w:r>
        <w:rPr>
          <w:spacing w:val="40"/>
          <w:sz w:val="22"/>
        </w:rPr>
        <w:t> </w:t>
      </w:r>
      <w:r>
        <w:rPr>
          <w:sz w:val="22"/>
        </w:rPr>
        <w:t>additional</w:t>
      </w:r>
      <w:r>
        <w:rPr>
          <w:spacing w:val="40"/>
          <w:sz w:val="22"/>
        </w:rPr>
        <w:t> </w:t>
      </w:r>
      <w:r>
        <w:rPr>
          <w:sz w:val="22"/>
        </w:rPr>
        <w:t>parking</w:t>
      </w:r>
      <w:r>
        <w:rPr>
          <w:spacing w:val="38"/>
          <w:sz w:val="22"/>
        </w:rPr>
        <w:t> </w:t>
      </w:r>
      <w:r>
        <w:rPr>
          <w:sz w:val="22"/>
        </w:rPr>
        <w:t>reduction</w:t>
      </w:r>
      <w:r>
        <w:rPr>
          <w:spacing w:val="40"/>
          <w:sz w:val="22"/>
        </w:rPr>
        <w:t> </w:t>
      </w:r>
      <w:r>
        <w:rPr>
          <w:sz w:val="22"/>
        </w:rPr>
        <w:t>and additional lot coverage.</w:t>
      </w:r>
    </w:p>
    <w:p>
      <w:pPr>
        <w:pStyle w:val="ListParagraph"/>
        <w:numPr>
          <w:ilvl w:val="1"/>
          <w:numId w:val="16"/>
        </w:numPr>
        <w:tabs>
          <w:tab w:pos="840" w:val="left" w:leader="none"/>
          <w:tab w:pos="841" w:val="left" w:leader="none"/>
        </w:tabs>
        <w:spacing w:line="237" w:lineRule="auto" w:before="3" w:after="0"/>
        <w:ind w:left="840" w:right="157" w:hanging="361"/>
        <w:jc w:val="left"/>
        <w:rPr>
          <w:rFonts w:ascii="Symbol" w:hAnsi="Symbol"/>
          <w:sz w:val="22"/>
        </w:rPr>
      </w:pPr>
      <w:r>
        <w:rPr>
          <w:sz w:val="22"/>
        </w:rPr>
        <w:t>Reserved units</w:t>
      </w:r>
      <w:r>
        <w:rPr>
          <w:spacing w:val="-2"/>
          <w:sz w:val="22"/>
        </w:rPr>
        <w:t> </w:t>
      </w:r>
      <w:r>
        <w:rPr>
          <w:sz w:val="22"/>
        </w:rPr>
        <w:t>must</w:t>
      </w:r>
      <w:r>
        <w:rPr>
          <w:spacing w:val="-1"/>
          <w:sz w:val="22"/>
        </w:rPr>
        <w:t> </w:t>
      </w:r>
      <w:r>
        <w:rPr>
          <w:sz w:val="22"/>
        </w:rPr>
        <w:t>be</w:t>
      </w:r>
      <w:r>
        <w:rPr>
          <w:spacing w:val="-3"/>
          <w:sz w:val="22"/>
        </w:rPr>
        <w:t> </w:t>
      </w:r>
      <w:r>
        <w:rPr>
          <w:sz w:val="22"/>
        </w:rPr>
        <w:t>provided on-site,</w:t>
      </w:r>
      <w:r>
        <w:rPr>
          <w:spacing w:val="-1"/>
          <w:sz w:val="22"/>
        </w:rPr>
        <w:t> </w:t>
      </w:r>
      <w:r>
        <w:rPr>
          <w:sz w:val="22"/>
        </w:rPr>
        <w:t>dispersed throughout</w:t>
      </w:r>
      <w:r>
        <w:rPr>
          <w:spacing w:val="-1"/>
          <w:sz w:val="22"/>
        </w:rPr>
        <w:t> </w:t>
      </w:r>
      <w:r>
        <w:rPr>
          <w:sz w:val="22"/>
        </w:rPr>
        <w:t>the development</w:t>
      </w:r>
      <w:r>
        <w:rPr>
          <w:spacing w:val="-1"/>
          <w:sz w:val="22"/>
        </w:rPr>
        <w:t> </w:t>
      </w:r>
      <w:r>
        <w:rPr>
          <w:sz w:val="22"/>
        </w:rPr>
        <w:t>and</w:t>
      </w:r>
      <w:r>
        <w:rPr>
          <w:spacing w:val="-3"/>
          <w:sz w:val="22"/>
        </w:rPr>
        <w:t> </w:t>
      </w:r>
      <w:r>
        <w:rPr>
          <w:sz w:val="22"/>
        </w:rPr>
        <w:t>the unit mix, and be comparable to the market rate units.</w:t>
      </w:r>
    </w:p>
    <w:p>
      <w:pPr>
        <w:pStyle w:val="BodyText"/>
        <w:rPr>
          <w:sz w:val="24"/>
        </w:rPr>
      </w:pPr>
    </w:p>
    <w:p>
      <w:pPr>
        <w:pStyle w:val="BodyText"/>
        <w:spacing w:before="161"/>
        <w:ind w:left="120"/>
        <w:jc w:val="both"/>
      </w:pPr>
      <w:r>
        <w:rPr/>
        <w:t>Design</w:t>
      </w:r>
      <w:r>
        <w:rPr>
          <w:spacing w:val="-4"/>
        </w:rPr>
        <w:t> </w:t>
      </w:r>
      <w:r>
        <w:rPr/>
        <w:t>standards</w:t>
      </w:r>
      <w:r>
        <w:rPr>
          <w:spacing w:val="-3"/>
        </w:rPr>
        <w:t> </w:t>
      </w:r>
      <w:r>
        <w:rPr/>
        <w:t>in</w:t>
      </w:r>
      <w:r>
        <w:rPr>
          <w:spacing w:val="-4"/>
        </w:rPr>
        <w:t> </w:t>
      </w:r>
      <w:r>
        <w:rPr/>
        <w:t>Type</w:t>
      </w:r>
      <w:r>
        <w:rPr>
          <w:spacing w:val="-4"/>
        </w:rPr>
        <w:t> </w:t>
      </w:r>
      <w:r>
        <w:rPr/>
        <w:t>One</w:t>
      </w:r>
      <w:r>
        <w:rPr>
          <w:spacing w:val="-5"/>
        </w:rPr>
        <w:t> </w:t>
      </w:r>
      <w:r>
        <w:rPr>
          <w:spacing w:val="-2"/>
        </w:rPr>
        <w:t>districts</w:t>
      </w:r>
    </w:p>
    <w:p>
      <w:pPr>
        <w:pStyle w:val="BodyText"/>
        <w:spacing w:before="1"/>
        <w:ind w:left="119" w:right="154"/>
        <w:jc w:val="both"/>
      </w:pPr>
      <w:r>
        <w:rPr/>
        <w:t>Additional design standards can reduce auto dependency, reduce the need for parking, encourage alternative modes of transit, and improve transit accessibility, particularly for transit- dependent residents. Design goals include:</w:t>
      </w:r>
    </w:p>
    <w:p>
      <w:pPr>
        <w:pStyle w:val="ListParagraph"/>
        <w:numPr>
          <w:ilvl w:val="1"/>
          <w:numId w:val="16"/>
        </w:numPr>
        <w:tabs>
          <w:tab w:pos="839" w:val="left" w:leader="none"/>
          <w:tab w:pos="841" w:val="left" w:leader="none"/>
        </w:tabs>
        <w:spacing w:line="268" w:lineRule="exact" w:before="2" w:after="0"/>
        <w:ind w:left="840" w:right="0" w:hanging="362"/>
        <w:jc w:val="left"/>
        <w:rPr>
          <w:rFonts w:ascii="Symbol" w:hAnsi="Symbol"/>
          <w:sz w:val="22"/>
        </w:rPr>
      </w:pPr>
      <w:r>
        <w:rPr>
          <w:sz w:val="22"/>
        </w:rPr>
        <w:t>Minimal</w:t>
      </w:r>
      <w:r>
        <w:rPr>
          <w:spacing w:val="-3"/>
          <w:sz w:val="22"/>
        </w:rPr>
        <w:t> </w:t>
      </w:r>
      <w:r>
        <w:rPr>
          <w:sz w:val="22"/>
        </w:rPr>
        <w:t>surface</w:t>
      </w:r>
      <w:r>
        <w:rPr>
          <w:spacing w:val="-5"/>
          <w:sz w:val="22"/>
        </w:rPr>
        <w:t> </w:t>
      </w:r>
      <w:r>
        <w:rPr>
          <w:sz w:val="22"/>
        </w:rPr>
        <w:t>parking,</w:t>
      </w:r>
      <w:r>
        <w:rPr>
          <w:spacing w:val="-6"/>
          <w:sz w:val="22"/>
        </w:rPr>
        <w:t> </w:t>
      </w:r>
      <w:r>
        <w:rPr>
          <w:sz w:val="22"/>
        </w:rPr>
        <w:t>mostly</w:t>
      </w:r>
      <w:r>
        <w:rPr>
          <w:spacing w:val="-5"/>
          <w:sz w:val="22"/>
        </w:rPr>
        <w:t> </w:t>
      </w:r>
      <w:r>
        <w:rPr>
          <w:sz w:val="22"/>
        </w:rPr>
        <w:t>in</w:t>
      </w:r>
      <w:r>
        <w:rPr>
          <w:spacing w:val="-3"/>
          <w:sz w:val="22"/>
        </w:rPr>
        <w:t> </w:t>
      </w:r>
      <w:r>
        <w:rPr>
          <w:sz w:val="22"/>
        </w:rPr>
        <w:t>the</w:t>
      </w:r>
      <w:r>
        <w:rPr>
          <w:spacing w:val="-5"/>
          <w:sz w:val="22"/>
        </w:rPr>
        <w:t> </w:t>
      </w:r>
      <w:r>
        <w:rPr>
          <w:sz w:val="22"/>
        </w:rPr>
        <w:t>side</w:t>
      </w:r>
      <w:r>
        <w:rPr>
          <w:spacing w:val="-3"/>
          <w:sz w:val="22"/>
        </w:rPr>
        <w:t> </w:t>
      </w:r>
      <w:r>
        <w:rPr>
          <w:sz w:val="22"/>
        </w:rPr>
        <w:t>and</w:t>
      </w:r>
      <w:r>
        <w:rPr>
          <w:spacing w:val="-5"/>
          <w:sz w:val="22"/>
        </w:rPr>
        <w:t> </w:t>
      </w:r>
      <w:r>
        <w:rPr>
          <w:sz w:val="22"/>
        </w:rPr>
        <w:t>rear</w:t>
      </w:r>
      <w:r>
        <w:rPr>
          <w:spacing w:val="-1"/>
          <w:sz w:val="22"/>
        </w:rPr>
        <w:t> </w:t>
      </w:r>
      <w:r>
        <w:rPr>
          <w:sz w:val="22"/>
        </w:rPr>
        <w:t>of</w:t>
      </w:r>
      <w:r>
        <w:rPr>
          <w:spacing w:val="-4"/>
          <w:sz w:val="22"/>
        </w:rPr>
        <w:t> </w:t>
      </w:r>
      <w:r>
        <w:rPr>
          <w:sz w:val="22"/>
        </w:rPr>
        <w:t>the</w:t>
      </w:r>
      <w:r>
        <w:rPr>
          <w:spacing w:val="-2"/>
          <w:sz w:val="22"/>
        </w:rPr>
        <w:t> </w:t>
      </w:r>
      <w:r>
        <w:rPr>
          <w:spacing w:val="-5"/>
          <w:sz w:val="22"/>
        </w:rPr>
        <w:t>lot</w:t>
      </w:r>
    </w:p>
    <w:p>
      <w:pPr>
        <w:pStyle w:val="ListParagraph"/>
        <w:numPr>
          <w:ilvl w:val="1"/>
          <w:numId w:val="16"/>
        </w:numPr>
        <w:tabs>
          <w:tab w:pos="839" w:val="left" w:leader="none"/>
          <w:tab w:pos="841" w:val="left" w:leader="none"/>
        </w:tabs>
        <w:spacing w:line="268" w:lineRule="exact" w:before="0" w:after="0"/>
        <w:ind w:left="840" w:right="0" w:hanging="362"/>
        <w:jc w:val="left"/>
        <w:rPr>
          <w:rFonts w:ascii="Symbol" w:hAnsi="Symbol"/>
          <w:sz w:val="22"/>
        </w:rPr>
      </w:pPr>
      <w:r>
        <w:rPr>
          <w:sz w:val="22"/>
        </w:rPr>
        <w:t>Ground-floor</w:t>
      </w:r>
      <w:r>
        <w:rPr>
          <w:spacing w:val="-8"/>
          <w:sz w:val="22"/>
        </w:rPr>
        <w:t> </w:t>
      </w:r>
      <w:r>
        <w:rPr>
          <w:sz w:val="22"/>
        </w:rPr>
        <w:t>entrances</w:t>
      </w:r>
      <w:r>
        <w:rPr>
          <w:spacing w:val="-7"/>
          <w:sz w:val="22"/>
        </w:rPr>
        <w:t> </w:t>
      </w:r>
      <w:r>
        <w:rPr>
          <w:sz w:val="22"/>
        </w:rPr>
        <w:t>that</w:t>
      </w:r>
      <w:r>
        <w:rPr>
          <w:spacing w:val="-3"/>
          <w:sz w:val="22"/>
        </w:rPr>
        <w:t> </w:t>
      </w:r>
      <w:r>
        <w:rPr>
          <w:sz w:val="22"/>
        </w:rPr>
        <w:t>open</w:t>
      </w:r>
      <w:r>
        <w:rPr>
          <w:spacing w:val="-7"/>
          <w:sz w:val="22"/>
        </w:rPr>
        <w:t> </w:t>
      </w:r>
      <w:r>
        <w:rPr>
          <w:sz w:val="22"/>
        </w:rPr>
        <w:t>directly</w:t>
      </w:r>
      <w:r>
        <w:rPr>
          <w:spacing w:val="-4"/>
          <w:sz w:val="22"/>
        </w:rPr>
        <w:t> </w:t>
      </w:r>
      <w:r>
        <w:rPr>
          <w:sz w:val="22"/>
        </w:rPr>
        <w:t>to</w:t>
      </w:r>
      <w:r>
        <w:rPr>
          <w:spacing w:val="-7"/>
          <w:sz w:val="22"/>
        </w:rPr>
        <w:t> </w:t>
      </w:r>
      <w:r>
        <w:rPr>
          <w:sz w:val="22"/>
        </w:rPr>
        <w:t>sidewalk</w:t>
      </w:r>
      <w:r>
        <w:rPr>
          <w:spacing w:val="-4"/>
          <w:sz w:val="22"/>
        </w:rPr>
        <w:t> </w:t>
      </w:r>
      <w:r>
        <w:rPr>
          <w:sz w:val="22"/>
        </w:rPr>
        <w:t>or</w:t>
      </w:r>
      <w:r>
        <w:rPr>
          <w:spacing w:val="-4"/>
          <w:sz w:val="22"/>
        </w:rPr>
        <w:t> </w:t>
      </w:r>
      <w:r>
        <w:rPr>
          <w:sz w:val="22"/>
        </w:rPr>
        <w:t>open</w:t>
      </w:r>
      <w:r>
        <w:rPr>
          <w:spacing w:val="-6"/>
          <w:sz w:val="22"/>
        </w:rPr>
        <w:t> </w:t>
      </w:r>
      <w:r>
        <w:rPr>
          <w:spacing w:val="-2"/>
          <w:sz w:val="22"/>
        </w:rPr>
        <w:t>space</w:t>
      </w:r>
    </w:p>
    <w:p>
      <w:pPr>
        <w:pStyle w:val="ListParagraph"/>
        <w:numPr>
          <w:ilvl w:val="1"/>
          <w:numId w:val="16"/>
        </w:numPr>
        <w:tabs>
          <w:tab w:pos="840" w:val="left" w:leader="none"/>
          <w:tab w:pos="841" w:val="left" w:leader="none"/>
        </w:tabs>
        <w:spacing w:line="268" w:lineRule="exact" w:before="0" w:after="0"/>
        <w:ind w:left="840" w:right="0" w:hanging="361"/>
        <w:jc w:val="left"/>
        <w:rPr>
          <w:rFonts w:ascii="Symbol" w:hAnsi="Symbol"/>
          <w:sz w:val="22"/>
        </w:rPr>
      </w:pPr>
      <w:r>
        <w:rPr>
          <w:sz w:val="22"/>
        </w:rPr>
        <w:t>Wide</w:t>
      </w:r>
      <w:r>
        <w:rPr>
          <w:spacing w:val="-6"/>
          <w:sz w:val="22"/>
        </w:rPr>
        <w:t> </w:t>
      </w:r>
      <w:r>
        <w:rPr>
          <w:sz w:val="22"/>
        </w:rPr>
        <w:t>sidewalks,</w:t>
      </w:r>
      <w:r>
        <w:rPr>
          <w:spacing w:val="-5"/>
          <w:sz w:val="22"/>
        </w:rPr>
        <w:t> </w:t>
      </w:r>
      <w:r>
        <w:rPr>
          <w:sz w:val="22"/>
        </w:rPr>
        <w:t>street</w:t>
      </w:r>
      <w:r>
        <w:rPr>
          <w:spacing w:val="-7"/>
          <w:sz w:val="22"/>
        </w:rPr>
        <w:t> </w:t>
      </w:r>
      <w:r>
        <w:rPr>
          <w:sz w:val="22"/>
        </w:rPr>
        <w:t>trees,</w:t>
      </w:r>
      <w:r>
        <w:rPr>
          <w:spacing w:val="-4"/>
          <w:sz w:val="22"/>
        </w:rPr>
        <w:t> </w:t>
      </w:r>
      <w:r>
        <w:rPr>
          <w:sz w:val="22"/>
        </w:rPr>
        <w:t>and</w:t>
      </w:r>
      <w:r>
        <w:rPr>
          <w:spacing w:val="-8"/>
          <w:sz w:val="22"/>
        </w:rPr>
        <w:t> </w:t>
      </w:r>
      <w:r>
        <w:rPr>
          <w:sz w:val="22"/>
        </w:rPr>
        <w:t>pedestrian</w:t>
      </w:r>
      <w:r>
        <w:rPr>
          <w:spacing w:val="-5"/>
          <w:sz w:val="22"/>
        </w:rPr>
        <w:t> </w:t>
      </w:r>
      <w:r>
        <w:rPr>
          <w:spacing w:val="-2"/>
          <w:sz w:val="22"/>
        </w:rPr>
        <w:t>lighting</w:t>
      </w:r>
    </w:p>
    <w:p>
      <w:pPr>
        <w:pStyle w:val="ListParagraph"/>
        <w:numPr>
          <w:ilvl w:val="1"/>
          <w:numId w:val="16"/>
        </w:numPr>
        <w:tabs>
          <w:tab w:pos="840" w:val="left" w:leader="none"/>
          <w:tab w:pos="841" w:val="left" w:leader="none"/>
        </w:tabs>
        <w:spacing w:line="268" w:lineRule="exact" w:before="0" w:after="0"/>
        <w:ind w:left="840" w:right="0" w:hanging="361"/>
        <w:jc w:val="left"/>
        <w:rPr>
          <w:rFonts w:ascii="Symbol" w:hAnsi="Symbol"/>
          <w:sz w:val="22"/>
        </w:rPr>
      </w:pPr>
      <w:r>
        <w:rPr>
          <w:sz w:val="22"/>
        </w:rPr>
        <w:t>Parking</w:t>
      </w:r>
      <w:r>
        <w:rPr>
          <w:spacing w:val="-6"/>
          <w:sz w:val="22"/>
        </w:rPr>
        <w:t> </w:t>
      </w:r>
      <w:r>
        <w:rPr>
          <w:sz w:val="22"/>
        </w:rPr>
        <w:t>structures</w:t>
      </w:r>
      <w:r>
        <w:rPr>
          <w:spacing w:val="-6"/>
          <w:sz w:val="22"/>
        </w:rPr>
        <w:t> </w:t>
      </w:r>
      <w:r>
        <w:rPr>
          <w:sz w:val="22"/>
        </w:rPr>
        <w:t>wrapped</w:t>
      </w:r>
      <w:r>
        <w:rPr>
          <w:spacing w:val="-5"/>
          <w:sz w:val="22"/>
        </w:rPr>
        <w:t> </w:t>
      </w:r>
      <w:r>
        <w:rPr>
          <w:sz w:val="22"/>
        </w:rPr>
        <w:t>by</w:t>
      </w:r>
      <w:r>
        <w:rPr>
          <w:spacing w:val="-5"/>
          <w:sz w:val="22"/>
        </w:rPr>
        <w:t> </w:t>
      </w:r>
      <w:r>
        <w:rPr>
          <w:sz w:val="22"/>
        </w:rPr>
        <w:t>other</w:t>
      </w:r>
      <w:r>
        <w:rPr>
          <w:spacing w:val="-5"/>
          <w:sz w:val="22"/>
        </w:rPr>
        <w:t> </w:t>
      </w:r>
      <w:r>
        <w:rPr>
          <w:spacing w:val="-4"/>
          <w:sz w:val="22"/>
        </w:rPr>
        <w:t>uses</w:t>
      </w:r>
    </w:p>
    <w:p>
      <w:pPr>
        <w:pStyle w:val="ListParagraph"/>
        <w:numPr>
          <w:ilvl w:val="1"/>
          <w:numId w:val="16"/>
        </w:numPr>
        <w:tabs>
          <w:tab w:pos="840" w:val="left" w:leader="none"/>
          <w:tab w:pos="841" w:val="left" w:leader="none"/>
        </w:tabs>
        <w:spacing w:line="237" w:lineRule="auto" w:before="1" w:after="0"/>
        <w:ind w:left="840" w:right="160" w:hanging="361"/>
        <w:jc w:val="left"/>
        <w:rPr>
          <w:rFonts w:ascii="Symbol" w:hAnsi="Symbol"/>
          <w:sz w:val="22"/>
        </w:rPr>
      </w:pPr>
      <w:r>
        <w:rPr>
          <w:sz w:val="22"/>
        </w:rPr>
        <w:t>Only</w:t>
      </w:r>
      <w:r>
        <w:rPr>
          <w:spacing w:val="-5"/>
          <w:sz w:val="22"/>
        </w:rPr>
        <w:t> </w:t>
      </w:r>
      <w:r>
        <w:rPr>
          <w:sz w:val="22"/>
        </w:rPr>
        <w:t>short</w:t>
      </w:r>
      <w:r>
        <w:rPr>
          <w:spacing w:val="-4"/>
          <w:sz w:val="22"/>
        </w:rPr>
        <w:t> </w:t>
      </w:r>
      <w:r>
        <w:rPr>
          <w:sz w:val="22"/>
        </w:rPr>
        <w:t>fences</w:t>
      </w:r>
      <w:r>
        <w:rPr>
          <w:spacing w:val="-5"/>
          <w:sz w:val="22"/>
        </w:rPr>
        <w:t> </w:t>
      </w:r>
      <w:r>
        <w:rPr>
          <w:sz w:val="22"/>
        </w:rPr>
        <w:t>with</w:t>
      </w:r>
      <w:r>
        <w:rPr>
          <w:spacing w:val="-5"/>
          <w:sz w:val="22"/>
        </w:rPr>
        <w:t> </w:t>
      </w:r>
      <w:r>
        <w:rPr>
          <w:sz w:val="22"/>
        </w:rPr>
        <w:t>pedestrian</w:t>
      </w:r>
      <w:r>
        <w:rPr>
          <w:spacing w:val="-5"/>
          <w:sz w:val="22"/>
        </w:rPr>
        <w:t> </w:t>
      </w:r>
      <w:r>
        <w:rPr>
          <w:sz w:val="22"/>
        </w:rPr>
        <w:t>gates</w:t>
      </w:r>
      <w:r>
        <w:rPr>
          <w:spacing w:val="-5"/>
          <w:sz w:val="22"/>
        </w:rPr>
        <w:t> </w:t>
      </w:r>
      <w:r>
        <w:rPr>
          <w:sz w:val="22"/>
        </w:rPr>
        <w:t>are</w:t>
      </w:r>
      <w:r>
        <w:rPr>
          <w:spacing w:val="-5"/>
          <w:sz w:val="22"/>
        </w:rPr>
        <w:t> </w:t>
      </w:r>
      <w:r>
        <w:rPr>
          <w:sz w:val="22"/>
        </w:rPr>
        <w:t>allowed</w:t>
      </w:r>
      <w:r>
        <w:rPr>
          <w:spacing w:val="-5"/>
          <w:sz w:val="22"/>
        </w:rPr>
        <w:t> </w:t>
      </w:r>
      <w:r>
        <w:rPr>
          <w:sz w:val="22"/>
        </w:rPr>
        <w:t>between</w:t>
      </w:r>
      <w:r>
        <w:rPr>
          <w:spacing w:val="-5"/>
          <w:sz w:val="22"/>
        </w:rPr>
        <w:t> </w:t>
      </w:r>
      <w:r>
        <w:rPr>
          <w:sz w:val="22"/>
        </w:rPr>
        <w:t>the</w:t>
      </w:r>
      <w:r>
        <w:rPr>
          <w:spacing w:val="-7"/>
          <w:sz w:val="22"/>
        </w:rPr>
        <w:t> </w:t>
      </w:r>
      <w:r>
        <w:rPr>
          <w:sz w:val="22"/>
        </w:rPr>
        <w:t>front</w:t>
      </w:r>
      <w:r>
        <w:rPr>
          <w:spacing w:val="-4"/>
          <w:sz w:val="22"/>
        </w:rPr>
        <w:t> </w:t>
      </w:r>
      <w:r>
        <w:rPr>
          <w:sz w:val="22"/>
        </w:rPr>
        <w:t>of</w:t>
      </w:r>
      <w:r>
        <w:rPr>
          <w:spacing w:val="-6"/>
          <w:sz w:val="22"/>
        </w:rPr>
        <w:t> </w:t>
      </w:r>
      <w:r>
        <w:rPr>
          <w:sz w:val="22"/>
        </w:rPr>
        <w:t>the</w:t>
      </w:r>
      <w:r>
        <w:rPr>
          <w:spacing w:val="-5"/>
          <w:sz w:val="22"/>
        </w:rPr>
        <w:t> </w:t>
      </w:r>
      <w:r>
        <w:rPr>
          <w:sz w:val="22"/>
        </w:rPr>
        <w:t>building</w:t>
      </w:r>
      <w:r>
        <w:rPr>
          <w:spacing w:val="-5"/>
          <w:sz w:val="22"/>
        </w:rPr>
        <w:t> </w:t>
      </w:r>
      <w:r>
        <w:rPr>
          <w:sz w:val="22"/>
        </w:rPr>
        <w:t>and the street.</w:t>
      </w:r>
    </w:p>
    <w:p>
      <w:pPr>
        <w:pStyle w:val="ListParagraph"/>
        <w:numPr>
          <w:ilvl w:val="1"/>
          <w:numId w:val="16"/>
        </w:numPr>
        <w:tabs>
          <w:tab w:pos="840" w:val="left" w:leader="none"/>
          <w:tab w:pos="841" w:val="left" w:leader="none"/>
        </w:tabs>
        <w:spacing w:line="240" w:lineRule="auto" w:before="1" w:after="0"/>
        <w:ind w:left="840" w:right="0" w:hanging="361"/>
        <w:jc w:val="left"/>
        <w:rPr>
          <w:rFonts w:ascii="Symbol" w:hAnsi="Symbol"/>
          <w:sz w:val="22"/>
        </w:rPr>
      </w:pPr>
      <w:r>
        <w:rPr>
          <w:sz w:val="22"/>
        </w:rPr>
        <w:t>A</w:t>
      </w:r>
      <w:r>
        <w:rPr>
          <w:spacing w:val="-4"/>
          <w:sz w:val="22"/>
        </w:rPr>
        <w:t> </w:t>
      </w:r>
      <w:r>
        <w:rPr>
          <w:sz w:val="22"/>
        </w:rPr>
        <w:t>minimum</w:t>
      </w:r>
      <w:r>
        <w:rPr>
          <w:spacing w:val="-1"/>
          <w:sz w:val="22"/>
        </w:rPr>
        <w:t> </w:t>
      </w:r>
      <w:r>
        <w:rPr>
          <w:sz w:val="22"/>
        </w:rPr>
        <w:t>of</w:t>
      </w:r>
      <w:r>
        <w:rPr>
          <w:spacing w:val="-2"/>
          <w:sz w:val="22"/>
        </w:rPr>
        <w:t> </w:t>
      </w:r>
      <w:r>
        <w:rPr>
          <w:sz w:val="22"/>
        </w:rPr>
        <w:t>10%</w:t>
      </w:r>
      <w:r>
        <w:rPr>
          <w:spacing w:val="-2"/>
          <w:sz w:val="22"/>
        </w:rPr>
        <w:t> </w:t>
      </w:r>
      <w:r>
        <w:rPr>
          <w:sz w:val="22"/>
        </w:rPr>
        <w:t>of</w:t>
      </w:r>
      <w:r>
        <w:rPr>
          <w:spacing w:val="-5"/>
          <w:sz w:val="22"/>
        </w:rPr>
        <w:t> </w:t>
      </w:r>
      <w:r>
        <w:rPr>
          <w:sz w:val="22"/>
        </w:rPr>
        <w:t>the</w:t>
      </w:r>
      <w:r>
        <w:rPr>
          <w:spacing w:val="-3"/>
          <w:sz w:val="22"/>
        </w:rPr>
        <w:t> </w:t>
      </w:r>
      <w:r>
        <w:rPr>
          <w:sz w:val="22"/>
        </w:rPr>
        <w:t>site</w:t>
      </w:r>
      <w:r>
        <w:rPr>
          <w:spacing w:val="-4"/>
          <w:sz w:val="22"/>
        </w:rPr>
        <w:t> </w:t>
      </w:r>
      <w:r>
        <w:rPr>
          <w:sz w:val="22"/>
        </w:rPr>
        <w:t>provided</w:t>
      </w:r>
      <w:r>
        <w:rPr>
          <w:spacing w:val="-3"/>
          <w:sz w:val="22"/>
        </w:rPr>
        <w:t> </w:t>
      </w:r>
      <w:r>
        <w:rPr>
          <w:sz w:val="22"/>
        </w:rPr>
        <w:t>as</w:t>
      </w:r>
      <w:r>
        <w:rPr>
          <w:spacing w:val="-5"/>
          <w:sz w:val="22"/>
        </w:rPr>
        <w:t> </w:t>
      </w:r>
      <w:r>
        <w:rPr>
          <w:sz w:val="22"/>
        </w:rPr>
        <w:t>open</w:t>
      </w:r>
      <w:r>
        <w:rPr>
          <w:spacing w:val="-5"/>
          <w:sz w:val="22"/>
        </w:rPr>
        <w:t> </w:t>
      </w:r>
      <w:r>
        <w:rPr>
          <w:spacing w:val="-4"/>
          <w:sz w:val="22"/>
        </w:rPr>
        <w:t>space</w:t>
      </w:r>
    </w:p>
    <w:p>
      <w:pPr>
        <w:pStyle w:val="BodyText"/>
        <w:spacing w:before="8"/>
        <w:rPr>
          <w:sz w:val="21"/>
        </w:rPr>
      </w:pPr>
    </w:p>
    <w:p>
      <w:pPr>
        <w:pStyle w:val="Heading5"/>
      </w:pPr>
      <w:r>
        <w:rPr/>
        <w:t>Type</w:t>
      </w:r>
      <w:r>
        <w:rPr>
          <w:spacing w:val="-10"/>
        </w:rPr>
        <w:t> </w:t>
      </w:r>
      <w:r>
        <w:rPr/>
        <w:t>Two</w:t>
      </w:r>
      <w:r>
        <w:rPr>
          <w:spacing w:val="-5"/>
        </w:rPr>
        <w:t> </w:t>
      </w:r>
      <w:r>
        <w:rPr/>
        <w:t>and</w:t>
      </w:r>
      <w:r>
        <w:rPr>
          <w:spacing w:val="-6"/>
        </w:rPr>
        <w:t> </w:t>
      </w:r>
      <w:r>
        <w:rPr/>
        <w:t>Type</w:t>
      </w:r>
      <w:r>
        <w:rPr>
          <w:spacing w:val="-7"/>
        </w:rPr>
        <w:t> </w:t>
      </w:r>
      <w:r>
        <w:rPr/>
        <w:t>Three</w:t>
      </w:r>
      <w:r>
        <w:rPr>
          <w:spacing w:val="-3"/>
        </w:rPr>
        <w:t> </w:t>
      </w:r>
      <w:r>
        <w:rPr/>
        <w:t>-</w:t>
      </w:r>
      <w:r>
        <w:rPr>
          <w:spacing w:val="-5"/>
        </w:rPr>
        <w:t> </w:t>
      </w:r>
      <w:r>
        <w:rPr/>
        <w:t>Development</w:t>
      </w:r>
      <w:r>
        <w:rPr>
          <w:spacing w:val="-4"/>
        </w:rPr>
        <w:t> </w:t>
      </w:r>
      <w:r>
        <w:rPr/>
        <w:t>Bonuses</w:t>
      </w:r>
      <w:r>
        <w:rPr>
          <w:spacing w:val="-3"/>
        </w:rPr>
        <w:t> </w:t>
      </w:r>
      <w:r>
        <w:rPr/>
        <w:t>in</w:t>
      </w:r>
      <w:r>
        <w:rPr>
          <w:spacing w:val="-5"/>
        </w:rPr>
        <w:t> </w:t>
      </w:r>
      <w:r>
        <w:rPr/>
        <w:t>Planned</w:t>
      </w:r>
      <w:r>
        <w:rPr>
          <w:spacing w:val="-6"/>
        </w:rPr>
        <w:t> </w:t>
      </w:r>
      <w:r>
        <w:rPr/>
        <w:t>Development</w:t>
      </w:r>
      <w:r>
        <w:rPr>
          <w:spacing w:val="-4"/>
        </w:rPr>
        <w:t> </w:t>
      </w:r>
      <w:r>
        <w:rPr>
          <w:spacing w:val="-2"/>
        </w:rPr>
        <w:t>Districts</w:t>
      </w:r>
    </w:p>
    <w:p>
      <w:pPr>
        <w:pStyle w:val="BodyText"/>
        <w:spacing w:before="52"/>
        <w:ind w:left="121" w:right="155"/>
        <w:jc w:val="both"/>
      </w:pPr>
      <w:r>
        <w:rPr/>
        <w:t>Developments in planned development districts (PDs) that reference compliance with Div. 51A- 4.1100 may also participate in the MIHDB.</w:t>
      </w:r>
    </w:p>
    <w:p>
      <w:pPr>
        <w:pStyle w:val="BodyText"/>
        <w:spacing w:before="11"/>
        <w:rPr>
          <w:sz w:val="21"/>
        </w:rPr>
      </w:pPr>
    </w:p>
    <w:p>
      <w:pPr>
        <w:pStyle w:val="BodyText"/>
        <w:ind w:left="121"/>
      </w:pPr>
      <w:r>
        <w:rPr/>
        <w:t>Developments</w:t>
      </w:r>
      <w:r>
        <w:rPr>
          <w:spacing w:val="-7"/>
        </w:rPr>
        <w:t> </w:t>
      </w:r>
      <w:r>
        <w:rPr/>
        <w:t>in</w:t>
      </w:r>
      <w:r>
        <w:rPr>
          <w:spacing w:val="-4"/>
        </w:rPr>
        <w:t> </w:t>
      </w:r>
      <w:r>
        <w:rPr/>
        <w:t>PDs</w:t>
      </w:r>
      <w:r>
        <w:rPr>
          <w:spacing w:val="-4"/>
        </w:rPr>
        <w:t> </w:t>
      </w:r>
      <w:r>
        <w:rPr/>
        <w:t>are</w:t>
      </w:r>
      <w:r>
        <w:rPr>
          <w:spacing w:val="-4"/>
        </w:rPr>
        <w:t> </w:t>
      </w:r>
      <w:r>
        <w:rPr/>
        <w:t>divided</w:t>
      </w:r>
      <w:r>
        <w:rPr>
          <w:spacing w:val="-5"/>
        </w:rPr>
        <w:t> </w:t>
      </w:r>
      <w:r>
        <w:rPr/>
        <w:t>into</w:t>
      </w:r>
      <w:r>
        <w:rPr>
          <w:spacing w:val="-6"/>
        </w:rPr>
        <w:t> </w:t>
      </w:r>
      <w:r>
        <w:rPr/>
        <w:t>two</w:t>
      </w:r>
      <w:r>
        <w:rPr>
          <w:spacing w:val="-4"/>
        </w:rPr>
        <w:t> </w:t>
      </w:r>
      <w:r>
        <w:rPr>
          <w:spacing w:val="-2"/>
        </w:rPr>
        <w:t>groups:</w:t>
      </w:r>
    </w:p>
    <w:p>
      <w:pPr>
        <w:pStyle w:val="ListParagraph"/>
        <w:numPr>
          <w:ilvl w:val="1"/>
          <w:numId w:val="16"/>
        </w:numPr>
        <w:tabs>
          <w:tab w:pos="841" w:val="left" w:leader="none"/>
          <w:tab w:pos="842" w:val="left" w:leader="none"/>
        </w:tabs>
        <w:spacing w:line="237" w:lineRule="auto" w:before="3" w:after="0"/>
        <w:ind w:left="841" w:right="154" w:hanging="361"/>
        <w:jc w:val="left"/>
        <w:rPr>
          <w:rFonts w:ascii="Symbol" w:hAnsi="Symbol"/>
          <w:sz w:val="22"/>
        </w:rPr>
      </w:pPr>
      <w:r>
        <w:rPr>
          <w:sz w:val="22"/>
        </w:rPr>
        <w:t>Developments</w:t>
      </w:r>
      <w:r>
        <w:rPr>
          <w:spacing w:val="40"/>
          <w:sz w:val="22"/>
        </w:rPr>
        <w:t> </w:t>
      </w:r>
      <w:r>
        <w:rPr>
          <w:sz w:val="22"/>
        </w:rPr>
        <w:t>in</w:t>
      </w:r>
      <w:r>
        <w:rPr>
          <w:spacing w:val="40"/>
          <w:sz w:val="22"/>
        </w:rPr>
        <w:t> </w:t>
      </w:r>
      <w:r>
        <w:rPr>
          <w:sz w:val="22"/>
        </w:rPr>
        <w:t>PDs</w:t>
      </w:r>
      <w:r>
        <w:rPr>
          <w:spacing w:val="40"/>
          <w:sz w:val="22"/>
        </w:rPr>
        <w:t> </w:t>
      </w:r>
      <w:r>
        <w:rPr>
          <w:sz w:val="22"/>
        </w:rPr>
        <w:t>that</w:t>
      </w:r>
      <w:r>
        <w:rPr>
          <w:spacing w:val="40"/>
          <w:sz w:val="22"/>
        </w:rPr>
        <w:t> </w:t>
      </w:r>
      <w:r>
        <w:rPr>
          <w:sz w:val="22"/>
        </w:rPr>
        <w:t>specify</w:t>
      </w:r>
      <w:r>
        <w:rPr>
          <w:spacing w:val="40"/>
          <w:sz w:val="22"/>
        </w:rPr>
        <w:t> </w:t>
      </w:r>
      <w:r>
        <w:rPr>
          <w:sz w:val="22"/>
        </w:rPr>
        <w:t>a</w:t>
      </w:r>
      <w:r>
        <w:rPr>
          <w:spacing w:val="40"/>
          <w:sz w:val="22"/>
        </w:rPr>
        <w:t> </w:t>
      </w:r>
      <w:r>
        <w:rPr>
          <w:sz w:val="22"/>
        </w:rPr>
        <w:t>development</w:t>
      </w:r>
      <w:r>
        <w:rPr>
          <w:spacing w:val="40"/>
          <w:sz w:val="22"/>
        </w:rPr>
        <w:t> </w:t>
      </w:r>
      <w:r>
        <w:rPr>
          <w:sz w:val="22"/>
        </w:rPr>
        <w:t>bonus</w:t>
      </w:r>
      <w:r>
        <w:rPr>
          <w:spacing w:val="40"/>
          <w:sz w:val="22"/>
        </w:rPr>
        <w:t> </w:t>
      </w:r>
      <w:r>
        <w:rPr>
          <w:sz w:val="22"/>
        </w:rPr>
        <w:t>for</w:t>
      </w:r>
      <w:r>
        <w:rPr>
          <w:spacing w:val="40"/>
          <w:sz w:val="22"/>
        </w:rPr>
        <w:t> </w:t>
      </w:r>
      <w:r>
        <w:rPr>
          <w:sz w:val="22"/>
        </w:rPr>
        <w:t>providing</w:t>
      </w:r>
      <w:r>
        <w:rPr>
          <w:spacing w:val="40"/>
          <w:sz w:val="22"/>
        </w:rPr>
        <w:t> </w:t>
      </w:r>
      <w:r>
        <w:rPr>
          <w:sz w:val="22"/>
        </w:rPr>
        <w:t>mixed</w:t>
      </w:r>
      <w:r>
        <w:rPr>
          <w:spacing w:val="40"/>
          <w:sz w:val="22"/>
        </w:rPr>
        <w:t> </w:t>
      </w:r>
      <w:r>
        <w:rPr>
          <w:sz w:val="22"/>
        </w:rPr>
        <w:t>income housing (Type Two)</w:t>
      </w:r>
    </w:p>
    <w:p>
      <w:pPr>
        <w:pStyle w:val="ListParagraph"/>
        <w:numPr>
          <w:ilvl w:val="1"/>
          <w:numId w:val="16"/>
        </w:numPr>
        <w:tabs>
          <w:tab w:pos="841" w:val="left" w:leader="none"/>
          <w:tab w:pos="842" w:val="left" w:leader="none"/>
        </w:tabs>
        <w:spacing w:line="237" w:lineRule="auto" w:before="3" w:after="0"/>
        <w:ind w:left="841" w:right="156" w:hanging="361"/>
        <w:jc w:val="left"/>
        <w:rPr>
          <w:rFonts w:ascii="Symbol" w:hAnsi="Symbol"/>
          <w:sz w:val="22"/>
        </w:rPr>
      </w:pPr>
      <w:r>
        <w:rPr>
          <w:sz w:val="22"/>
        </w:rPr>
        <w:t>Developments</w:t>
      </w:r>
      <w:r>
        <w:rPr>
          <w:spacing w:val="-3"/>
          <w:sz w:val="22"/>
        </w:rPr>
        <w:t> </w:t>
      </w:r>
      <w:r>
        <w:rPr>
          <w:sz w:val="22"/>
        </w:rPr>
        <w:t>in</w:t>
      </w:r>
      <w:r>
        <w:rPr>
          <w:spacing w:val="-4"/>
          <w:sz w:val="22"/>
        </w:rPr>
        <w:t> </w:t>
      </w:r>
      <w:r>
        <w:rPr>
          <w:sz w:val="22"/>
        </w:rPr>
        <w:t>PDs</w:t>
      </w:r>
      <w:r>
        <w:rPr>
          <w:spacing w:val="-6"/>
          <w:sz w:val="22"/>
        </w:rPr>
        <w:t> </w:t>
      </w:r>
      <w:r>
        <w:rPr>
          <w:sz w:val="22"/>
        </w:rPr>
        <w:t>that</w:t>
      </w:r>
      <w:r>
        <w:rPr>
          <w:spacing w:val="-2"/>
          <w:sz w:val="22"/>
        </w:rPr>
        <w:t> </w:t>
      </w:r>
      <w:r>
        <w:rPr>
          <w:sz w:val="22"/>
        </w:rPr>
        <w:t>expressly</w:t>
      </w:r>
      <w:r>
        <w:rPr>
          <w:spacing w:val="-3"/>
          <w:sz w:val="22"/>
        </w:rPr>
        <w:t> </w:t>
      </w:r>
      <w:r>
        <w:rPr>
          <w:sz w:val="22"/>
        </w:rPr>
        <w:t>reference</w:t>
      </w:r>
      <w:r>
        <w:rPr>
          <w:spacing w:val="-4"/>
          <w:sz w:val="22"/>
        </w:rPr>
        <w:t> </w:t>
      </w:r>
      <w:r>
        <w:rPr>
          <w:sz w:val="22"/>
        </w:rPr>
        <w:t>compliance</w:t>
      </w:r>
      <w:r>
        <w:rPr>
          <w:spacing w:val="-4"/>
          <w:sz w:val="22"/>
        </w:rPr>
        <w:t> </w:t>
      </w:r>
      <w:r>
        <w:rPr>
          <w:sz w:val="22"/>
        </w:rPr>
        <w:t>with</w:t>
      </w:r>
      <w:r>
        <w:rPr>
          <w:spacing w:val="-2"/>
          <w:sz w:val="22"/>
        </w:rPr>
        <w:t> </w:t>
      </w:r>
      <w:r>
        <w:rPr>
          <w:sz w:val="22"/>
        </w:rPr>
        <w:t>Ch.</w:t>
      </w:r>
      <w:r>
        <w:rPr>
          <w:spacing w:val="-2"/>
          <w:sz w:val="22"/>
        </w:rPr>
        <w:t> </w:t>
      </w:r>
      <w:r>
        <w:rPr>
          <w:sz w:val="22"/>
        </w:rPr>
        <w:t>51A-4.1106(j),</w:t>
      </w:r>
      <w:r>
        <w:rPr>
          <w:spacing w:val="-2"/>
          <w:sz w:val="22"/>
        </w:rPr>
        <w:t> </w:t>
      </w:r>
      <w:r>
        <w:rPr>
          <w:sz w:val="22"/>
        </w:rPr>
        <w:t>which lays out a menu of regulatory bonuses (Type Three).</w:t>
      </w:r>
    </w:p>
    <w:p>
      <w:pPr>
        <w:pStyle w:val="BodyText"/>
        <w:spacing w:before="1"/>
      </w:pPr>
    </w:p>
    <w:p>
      <w:pPr>
        <w:pStyle w:val="BodyText"/>
        <w:ind w:left="121" w:right="156"/>
        <w:jc w:val="both"/>
      </w:pPr>
      <w:r>
        <w:rPr/>
        <w:t>Type Two and Type Three districts should respect the design intent of the design standards in Dallas Development Code Sec. 51A-4.1107</w:t>
      </w:r>
    </w:p>
    <w:p>
      <w:pPr>
        <w:pStyle w:val="BodyText"/>
        <w:spacing w:before="10"/>
        <w:rPr>
          <w:sz w:val="21"/>
        </w:rPr>
      </w:pPr>
    </w:p>
    <w:p>
      <w:pPr>
        <w:pStyle w:val="Heading5"/>
        <w:spacing w:before="1"/>
        <w:ind w:left="121"/>
      </w:pPr>
      <w:r>
        <w:rPr/>
        <w:t>Financial</w:t>
      </w:r>
      <w:r>
        <w:rPr>
          <w:spacing w:val="-7"/>
        </w:rPr>
        <w:t> </w:t>
      </w:r>
      <w:r>
        <w:rPr/>
        <w:t>Incentives</w:t>
      </w:r>
      <w:r>
        <w:rPr>
          <w:spacing w:val="-6"/>
        </w:rPr>
        <w:t> </w:t>
      </w:r>
      <w:r>
        <w:rPr/>
        <w:t>(subject</w:t>
      </w:r>
      <w:r>
        <w:rPr>
          <w:spacing w:val="-6"/>
        </w:rPr>
        <w:t> </w:t>
      </w:r>
      <w:r>
        <w:rPr/>
        <w:t>to</w:t>
      </w:r>
      <w:r>
        <w:rPr>
          <w:spacing w:val="-7"/>
        </w:rPr>
        <w:t> </w:t>
      </w:r>
      <w:r>
        <w:rPr/>
        <w:t>availability</w:t>
      </w:r>
      <w:r>
        <w:rPr>
          <w:spacing w:val="-5"/>
        </w:rPr>
        <w:t> </w:t>
      </w:r>
      <w:r>
        <w:rPr/>
        <w:t>of</w:t>
      </w:r>
      <w:r>
        <w:rPr>
          <w:spacing w:val="-6"/>
        </w:rPr>
        <w:t> </w:t>
      </w:r>
      <w:r>
        <w:rPr>
          <w:spacing w:val="-2"/>
        </w:rPr>
        <w:t>funding)</w:t>
      </w:r>
    </w:p>
    <w:p>
      <w:pPr>
        <w:pStyle w:val="BodyText"/>
        <w:spacing w:before="51"/>
        <w:ind w:left="121" w:right="152" w:hanging="1"/>
        <w:jc w:val="both"/>
      </w:pPr>
      <w:r>
        <w:rPr/>
        <w:t>All developments in MIHDB (Type 1, 2, and 3) that provide on-site reserved dwelling units may apply for financial incentives, including reimbursement of certain development fees. Participants must apply through the New Construction and Substantial Rehabilitation Program process and are subject to the requirements of the CHP, including Fair Housing review as required by Ch. 51A-4.1100. To the greatest extent possible, federal funds should be maximized prior to using funds from the MIHDB Fund. See the MIHDB program statement for additional information.</w:t>
      </w:r>
    </w:p>
    <w:p>
      <w:pPr>
        <w:pStyle w:val="BodyText"/>
      </w:pPr>
    </w:p>
    <w:p>
      <w:pPr>
        <w:pStyle w:val="BodyText"/>
        <w:ind w:left="121"/>
        <w:jc w:val="both"/>
      </w:pPr>
      <w:r>
        <w:rPr/>
        <w:t>Developments</w:t>
      </w:r>
      <w:r>
        <w:rPr>
          <w:spacing w:val="-1"/>
        </w:rPr>
        <w:t> </w:t>
      </w:r>
      <w:r>
        <w:rPr/>
        <w:t>that</w:t>
      </w:r>
      <w:r>
        <w:rPr>
          <w:spacing w:val="1"/>
        </w:rPr>
        <w:t> </w:t>
      </w:r>
      <w:r>
        <w:rPr/>
        <w:t>obtained</w:t>
      </w:r>
      <w:r>
        <w:rPr>
          <w:spacing w:val="2"/>
        </w:rPr>
        <w:t> </w:t>
      </w:r>
      <w:r>
        <w:rPr/>
        <w:t>mixed</w:t>
      </w:r>
      <w:r>
        <w:rPr>
          <w:spacing w:val="2"/>
        </w:rPr>
        <w:t> </w:t>
      </w:r>
      <w:r>
        <w:rPr/>
        <w:t>income bonuses</w:t>
      </w:r>
      <w:r>
        <w:rPr>
          <w:spacing w:val="3"/>
        </w:rPr>
        <w:t> </w:t>
      </w:r>
      <w:r>
        <w:rPr/>
        <w:t>by</w:t>
      </w:r>
      <w:r>
        <w:rPr>
          <w:spacing w:val="3"/>
        </w:rPr>
        <w:t> </w:t>
      </w:r>
      <w:r>
        <w:rPr/>
        <w:t>paying the</w:t>
      </w:r>
      <w:r>
        <w:rPr>
          <w:spacing w:val="2"/>
        </w:rPr>
        <w:t> </w:t>
      </w:r>
      <w:r>
        <w:rPr/>
        <w:t>fee-in-lieu</w:t>
      </w:r>
      <w:r>
        <w:rPr>
          <w:spacing w:val="2"/>
        </w:rPr>
        <w:t> </w:t>
      </w:r>
      <w:r>
        <w:rPr/>
        <w:t>are</w:t>
      </w:r>
      <w:r>
        <w:rPr>
          <w:spacing w:val="2"/>
        </w:rPr>
        <w:t> </w:t>
      </w:r>
      <w:r>
        <w:rPr/>
        <w:t>not</w:t>
      </w:r>
      <w:r>
        <w:rPr>
          <w:spacing w:val="4"/>
        </w:rPr>
        <w:t> </w:t>
      </w:r>
      <w:r>
        <w:rPr/>
        <w:t>eligible</w:t>
      </w:r>
      <w:r>
        <w:rPr>
          <w:spacing w:val="2"/>
        </w:rPr>
        <w:t> </w:t>
      </w:r>
      <w:r>
        <w:rPr>
          <w:spacing w:val="-5"/>
        </w:rPr>
        <w:t>for</w:t>
      </w:r>
    </w:p>
    <w:p>
      <w:pPr>
        <w:spacing w:after="0"/>
        <w:jc w:val="both"/>
        <w:sectPr>
          <w:pgSz w:w="12240" w:h="15840"/>
          <w:pgMar w:header="0" w:footer="1738" w:top="1360" w:bottom="1920" w:left="1320" w:right="1280"/>
        </w:sectPr>
      </w:pPr>
    </w:p>
    <w:p>
      <w:pPr>
        <w:pStyle w:val="BodyText"/>
        <w:spacing w:before="80"/>
        <w:ind w:left="120"/>
        <w:jc w:val="both"/>
      </w:pPr>
      <w:r>
        <w:rPr/>
        <w:t>financial</w:t>
      </w:r>
      <w:r>
        <w:rPr>
          <w:spacing w:val="-5"/>
        </w:rPr>
        <w:t> </w:t>
      </w:r>
      <w:r>
        <w:rPr/>
        <w:t>incentives</w:t>
      </w:r>
      <w:r>
        <w:rPr>
          <w:spacing w:val="-6"/>
        </w:rPr>
        <w:t> </w:t>
      </w:r>
      <w:r>
        <w:rPr/>
        <w:t>from</w:t>
      </w:r>
      <w:r>
        <w:rPr>
          <w:spacing w:val="-5"/>
        </w:rPr>
        <w:t> </w:t>
      </w:r>
      <w:r>
        <w:rPr/>
        <w:t>the</w:t>
      </w:r>
      <w:r>
        <w:rPr>
          <w:spacing w:val="-6"/>
        </w:rPr>
        <w:t> </w:t>
      </w:r>
      <w:r>
        <w:rPr/>
        <w:t>MIHDB</w:t>
      </w:r>
      <w:r>
        <w:rPr>
          <w:spacing w:val="-6"/>
        </w:rPr>
        <w:t> </w:t>
      </w:r>
      <w:r>
        <w:rPr>
          <w:spacing w:val="-2"/>
        </w:rPr>
        <w:t>fund.</w:t>
      </w:r>
    </w:p>
    <w:p>
      <w:pPr>
        <w:pStyle w:val="BodyText"/>
      </w:pPr>
    </w:p>
    <w:p>
      <w:pPr>
        <w:pStyle w:val="Heading5"/>
        <w:ind w:left="119"/>
      </w:pPr>
      <w:r>
        <w:rPr/>
        <w:t>Minimum</w:t>
      </w:r>
      <w:r>
        <w:rPr>
          <w:spacing w:val="-3"/>
        </w:rPr>
        <w:t> </w:t>
      </w:r>
      <w:r>
        <w:rPr>
          <w:spacing w:val="-2"/>
        </w:rPr>
        <w:t>Requirements</w:t>
      </w:r>
    </w:p>
    <w:p>
      <w:pPr>
        <w:pStyle w:val="BodyText"/>
        <w:spacing w:before="50"/>
        <w:ind w:left="119" w:right="158"/>
        <w:jc w:val="both"/>
      </w:pPr>
      <w:r>
        <w:rPr/>
        <w:pict>
          <v:shape style="position:absolute;margin-left:90.065002pt;margin-top:59.269321pt;width:395.3pt;height:419pt;mso-position-horizontal-relative:page;mso-position-vertical-relative:paragraph;z-index:-17702912" id="docshape83" coordorigin="1801,1185" coordsize="7906,8380" path="m4498,8449l4492,8376,4477,8298,4455,8215,4432,8146,4403,8074,4367,7999,4325,7921,4276,7840,4237,7781,4200,7730,4200,8416,4197,8472,4186,8529,4167,8586,4138,8646,4097,8709,4044,8775,3979,8844,3674,9150,2216,7692,2517,7391,2598,7315,2672,7255,2740,7212,2801,7185,2868,7171,2941,7167,3020,7173,3105,7191,3195,7220,3255,7246,3317,7278,3380,7317,3446,7362,3514,7414,3584,7472,3656,7536,3729,7608,3789,7669,3845,7729,3896,7788,3943,7846,3986,7903,4025,7958,4059,8012,4101,8087,4136,8159,4163,8228,4183,8295,4196,8360,4200,8416,4200,7730,4194,7721,4148,7661,4098,7601,4045,7540,3989,7478,3929,7416,3865,7354,3801,7296,3737,7241,3673,7189,3643,7167,3609,7141,3546,7097,3482,7056,3419,7018,3346,6980,3274,6948,3203,6921,3132,6898,3062,6881,2992,6869,2923,6862,2850,6861,2779,6867,2709,6882,2642,6905,2577,6936,2528,6964,2476,7001,2420,7046,2359,7101,2294,7163,1801,7656,3710,9565,4124,9150,4226,9048,4287,8983,4341,8918,4386,8852,4424,8785,4454,8719,4476,8652,4491,8585,4498,8518,4498,8449xm6418,6856l6056,6728,5650,6585,5561,6556,5475,6532,5393,6513,5365,6508,5314,6499,5239,6489,5193,6487,5143,6490,5089,6497,5030,6508,5073,6438,5109,6369,5136,6300,5154,6231,5164,6162,5165,6094,5157,6026,5139,5948,5111,5872,5075,5798,5030,5725,4976,5654,4956,5631,4913,5585,4872,5547,4872,6105,4868,6160,4854,6215,4830,6271,4794,6330,4747,6391,4687,6455,4280,6862,3649,6231,4102,5778,4166,5721,4229,5677,4293,5648,4358,5633,4422,5631,4501,5647,4577,5676,4649,5721,4718,5781,4761,5828,4797,5879,4827,5933,4851,5989,4867,6048,4872,6105,4872,5547,4849,5526,4782,5473,4713,5428,4641,5389,4566,5357,4474,5329,4386,5316,4303,5318,4225,5334,4163,5359,4098,5396,4030,5444,3958,5503,3883,5574,3248,6209,5157,8117,5346,7928,4499,7081,4718,6862,4753,6827,4783,6800,4810,6779,4833,6764,4863,6751,4896,6740,4932,6732,4971,6728,5014,6728,5066,6733,5125,6744,5194,6760,5256,6778,5328,6799,5407,6823,5496,6853,6180,7094,6418,6856xm7780,5494l7415,5299,6555,4844,6555,5151,6070,5637,6030,5565,5989,5494,5748,5063,5708,4991,5668,4920,5629,4854,5590,4790,5550,4726,5509,4663,5467,4600,5424,4539,5380,4478,5436,4514,5498,4552,5564,4592,5635,4634,5792,4724,6555,5151,6555,4844,5862,4478,5286,4171,5082,4375,5277,4726,5316,4796,5701,5494,6207,6413,6441,6833,6642,6632,6565,6499,6298,6031,6221,5897,6481,5637,6820,5299,7173,5494,7565,5709,7780,5494xm8131,5143l7264,4276,7936,3604,7711,3379,7039,4051,6448,3460,7224,2684,6999,2459,6033,3424,7941,5333,8131,5143xm9707,3567l8024,1884,8497,1411,8272,1185,7138,2320,7363,2545,7834,2074,9517,3757,9707,3567xe" filled="true" fillcolor="#c0c0c0" stroked="false">
            <v:path arrowok="t"/>
            <v:fill opacity="32896f" type="solid"/>
            <w10:wrap type="none"/>
          </v:shape>
        </w:pict>
      </w:r>
      <w:r>
        <w:rPr/>
        <w:t>Developments</w:t>
      </w:r>
      <w:r>
        <w:rPr>
          <w:spacing w:val="-1"/>
        </w:rPr>
        <w:t> </w:t>
      </w:r>
      <w:r>
        <w:rPr/>
        <w:t>may qualify by providing required reserved units on-site or by paying a fee in lieu of on-site provision. All developments are eligible for the development bonus and administrative incentives,</w:t>
      </w:r>
      <w:r>
        <w:rPr>
          <w:spacing w:val="-1"/>
        </w:rPr>
        <w:t> </w:t>
      </w:r>
      <w:r>
        <w:rPr/>
        <w:t>but</w:t>
      </w:r>
      <w:r>
        <w:rPr>
          <w:spacing w:val="-1"/>
        </w:rPr>
        <w:t> </w:t>
      </w:r>
      <w:r>
        <w:rPr/>
        <w:t>only</w:t>
      </w:r>
      <w:r>
        <w:rPr>
          <w:spacing w:val="-4"/>
        </w:rPr>
        <w:t> </w:t>
      </w:r>
      <w:r>
        <w:rPr/>
        <w:t>those</w:t>
      </w:r>
      <w:r>
        <w:rPr>
          <w:spacing w:val="-3"/>
        </w:rPr>
        <w:t> </w:t>
      </w:r>
      <w:r>
        <w:rPr/>
        <w:t>developments</w:t>
      </w:r>
      <w:r>
        <w:rPr>
          <w:spacing w:val="-5"/>
        </w:rPr>
        <w:t> </w:t>
      </w:r>
      <w:r>
        <w:rPr/>
        <w:t>that</w:t>
      </w:r>
      <w:r>
        <w:rPr>
          <w:spacing w:val="-4"/>
        </w:rPr>
        <w:t> </w:t>
      </w:r>
      <w:r>
        <w:rPr/>
        <w:t>provide</w:t>
      </w:r>
      <w:r>
        <w:rPr>
          <w:spacing w:val="-3"/>
        </w:rPr>
        <w:t> </w:t>
      </w:r>
      <w:r>
        <w:rPr/>
        <w:t>the</w:t>
      </w:r>
      <w:r>
        <w:rPr>
          <w:spacing w:val="-5"/>
        </w:rPr>
        <w:t> </w:t>
      </w:r>
      <w:r>
        <w:rPr/>
        <w:t>required</w:t>
      </w:r>
      <w:r>
        <w:rPr>
          <w:spacing w:val="-5"/>
        </w:rPr>
        <w:t> </w:t>
      </w:r>
      <w:r>
        <w:rPr/>
        <w:t>reserved</w:t>
      </w:r>
      <w:r>
        <w:rPr>
          <w:spacing w:val="-3"/>
        </w:rPr>
        <w:t> </w:t>
      </w:r>
      <w:r>
        <w:rPr/>
        <w:t>dwelling</w:t>
      </w:r>
      <w:r>
        <w:rPr>
          <w:spacing w:val="-3"/>
        </w:rPr>
        <w:t> </w:t>
      </w:r>
      <w:r>
        <w:rPr/>
        <w:t>units</w:t>
      </w:r>
      <w:r>
        <w:rPr>
          <w:spacing w:val="-2"/>
        </w:rPr>
        <w:t> </w:t>
      </w:r>
      <w:r>
        <w:rPr/>
        <w:t>on</w:t>
      </w:r>
      <w:r>
        <w:rPr>
          <w:spacing w:val="-3"/>
        </w:rPr>
        <w:t> </w:t>
      </w:r>
      <w:r>
        <w:rPr/>
        <w:t>site are eligible for the financial incentives.</w:t>
      </w:r>
    </w:p>
    <w:p>
      <w:pPr>
        <w:pStyle w:val="BodyText"/>
        <w:rPr>
          <w:sz w:val="24"/>
        </w:rPr>
      </w:pPr>
    </w:p>
    <w:p>
      <w:pPr>
        <w:pStyle w:val="BodyText"/>
        <w:rPr>
          <w:sz w:val="24"/>
        </w:rPr>
      </w:pPr>
    </w:p>
    <w:p>
      <w:pPr>
        <w:pStyle w:val="Heading5"/>
        <w:spacing w:before="207"/>
        <w:ind w:left="119"/>
      </w:pPr>
      <w:r>
        <w:rPr/>
        <w:t>On-Site</w:t>
      </w:r>
      <w:r>
        <w:rPr>
          <w:spacing w:val="-5"/>
        </w:rPr>
        <w:t> </w:t>
      </w:r>
      <w:r>
        <w:rPr>
          <w:spacing w:val="-2"/>
        </w:rPr>
        <w:t>Provision</w:t>
      </w:r>
    </w:p>
    <w:p>
      <w:pPr>
        <w:pStyle w:val="BodyText"/>
        <w:spacing w:before="51"/>
        <w:ind w:left="119" w:right="157"/>
        <w:jc w:val="both"/>
      </w:pPr>
      <w:r>
        <w:rPr/>
        <w:t>Developments that provide units on-site must comply with all requirements Chapter 51A, Article 20A-II, and the relevant zoning district regulations as applicable.</w:t>
      </w:r>
    </w:p>
    <w:p>
      <w:pPr>
        <w:pStyle w:val="BodyText"/>
        <w:spacing w:before="11"/>
        <w:rPr>
          <w:sz w:val="21"/>
        </w:rPr>
      </w:pPr>
    </w:p>
    <w:p>
      <w:pPr>
        <w:pStyle w:val="Heading5"/>
        <w:ind w:left="119"/>
        <w:jc w:val="left"/>
      </w:pPr>
      <w:r>
        <w:rPr>
          <w:spacing w:val="-2"/>
        </w:rPr>
        <w:t>Fee-in-</w:t>
      </w:r>
      <w:r>
        <w:rPr>
          <w:spacing w:val="-4"/>
        </w:rPr>
        <w:t>Lieu</w:t>
      </w:r>
    </w:p>
    <w:p>
      <w:pPr>
        <w:pStyle w:val="BodyText"/>
        <w:spacing w:before="50"/>
        <w:ind w:left="119"/>
      </w:pPr>
      <w:r>
        <w:rPr/>
        <w:t>Program participants may pay a fee-in-lieu of on-site provision of the required reserved units as provided in Chapter 20A-23.1</w:t>
      </w:r>
    </w:p>
    <w:p>
      <w:pPr>
        <w:pStyle w:val="BodyText"/>
        <w:spacing w:before="1"/>
      </w:pPr>
    </w:p>
    <w:p>
      <w:pPr>
        <w:pStyle w:val="Heading5"/>
        <w:ind w:left="119"/>
        <w:jc w:val="left"/>
      </w:pPr>
      <w:r>
        <w:rPr>
          <w:spacing w:val="-2"/>
        </w:rPr>
        <w:t>Implementation</w:t>
      </w:r>
    </w:p>
    <w:p>
      <w:pPr>
        <w:pStyle w:val="BodyText"/>
        <w:spacing w:before="50"/>
        <w:ind w:left="119" w:right="50"/>
      </w:pPr>
      <w:r>
        <w:rPr/>
        <w:t>The regulatory</w:t>
      </w:r>
      <w:r>
        <w:rPr>
          <w:spacing w:val="-2"/>
        </w:rPr>
        <w:t> </w:t>
      </w:r>
      <w:r>
        <w:rPr/>
        <w:t>framework for</w:t>
      </w:r>
      <w:r>
        <w:rPr>
          <w:spacing w:val="-1"/>
        </w:rPr>
        <w:t> </w:t>
      </w:r>
      <w:r>
        <w:rPr/>
        <w:t>the</w:t>
      </w:r>
      <w:r>
        <w:rPr>
          <w:spacing w:val="-3"/>
        </w:rPr>
        <w:t> </w:t>
      </w:r>
      <w:r>
        <w:rPr/>
        <w:t>mixed</w:t>
      </w:r>
      <w:r>
        <w:rPr>
          <w:spacing w:val="-3"/>
        </w:rPr>
        <w:t> </w:t>
      </w:r>
      <w:r>
        <w:rPr/>
        <w:t>income</w:t>
      </w:r>
      <w:r>
        <w:rPr>
          <w:spacing w:val="-3"/>
        </w:rPr>
        <w:t> </w:t>
      </w:r>
      <w:r>
        <w:rPr/>
        <w:t>housing development bonus is</w:t>
      </w:r>
      <w:r>
        <w:rPr>
          <w:spacing w:val="-2"/>
        </w:rPr>
        <w:t> </w:t>
      </w:r>
      <w:r>
        <w:rPr/>
        <w:t>found in</w:t>
      </w:r>
      <w:r>
        <w:rPr>
          <w:spacing w:val="-3"/>
        </w:rPr>
        <w:t> </w:t>
      </w:r>
      <w:r>
        <w:rPr/>
        <w:t>Chapter 20A Art. II of the Dallas City Code.</w:t>
      </w:r>
    </w:p>
    <w:p>
      <w:pPr>
        <w:pStyle w:val="BodyText"/>
        <w:spacing w:before="10"/>
        <w:rPr>
          <w:sz w:val="21"/>
        </w:rPr>
      </w:pPr>
    </w:p>
    <w:p>
      <w:pPr>
        <w:pStyle w:val="Heading5"/>
        <w:spacing w:before="1"/>
        <w:ind w:left="119"/>
        <w:jc w:val="left"/>
      </w:pPr>
      <w:r>
        <w:rPr>
          <w:spacing w:val="-2"/>
        </w:rPr>
        <w:t>Procedures</w:t>
      </w:r>
    </w:p>
    <w:p>
      <w:pPr>
        <w:pStyle w:val="BodyText"/>
        <w:spacing w:before="51"/>
        <w:ind w:left="119"/>
      </w:pPr>
      <w:r>
        <w:rPr/>
        <w:t>Program</w:t>
      </w:r>
      <w:r>
        <w:rPr>
          <w:spacing w:val="40"/>
        </w:rPr>
        <w:t> </w:t>
      </w:r>
      <w:r>
        <w:rPr/>
        <w:t>participants</w:t>
      </w:r>
      <w:r>
        <w:rPr>
          <w:spacing w:val="37"/>
        </w:rPr>
        <w:t> </w:t>
      </w:r>
      <w:r>
        <w:rPr/>
        <w:t>must</w:t>
      </w:r>
      <w:r>
        <w:rPr>
          <w:spacing w:val="40"/>
        </w:rPr>
        <w:t> </w:t>
      </w:r>
      <w:r>
        <w:rPr/>
        <w:t>comply</w:t>
      </w:r>
      <w:r>
        <w:rPr>
          <w:spacing w:val="39"/>
        </w:rPr>
        <w:t> </w:t>
      </w:r>
      <w:r>
        <w:rPr/>
        <w:t>with</w:t>
      </w:r>
      <w:r>
        <w:rPr>
          <w:spacing w:val="39"/>
        </w:rPr>
        <w:t> </w:t>
      </w:r>
      <w:r>
        <w:rPr/>
        <w:t>the</w:t>
      </w:r>
      <w:r>
        <w:rPr>
          <w:spacing w:val="39"/>
        </w:rPr>
        <w:t> </w:t>
      </w:r>
      <w:r>
        <w:rPr/>
        <w:t>procedures</w:t>
      </w:r>
      <w:r>
        <w:rPr>
          <w:spacing w:val="39"/>
        </w:rPr>
        <w:t> </w:t>
      </w:r>
      <w:r>
        <w:rPr/>
        <w:t>in</w:t>
      </w:r>
      <w:r>
        <w:rPr>
          <w:spacing w:val="40"/>
        </w:rPr>
        <w:t> </w:t>
      </w:r>
      <w:r>
        <w:rPr/>
        <w:t>the</w:t>
      </w:r>
      <w:r>
        <w:rPr>
          <w:spacing w:val="39"/>
        </w:rPr>
        <w:t> </w:t>
      </w:r>
      <w:r>
        <w:rPr/>
        <w:t>Dallas</w:t>
      </w:r>
      <w:r>
        <w:rPr>
          <w:spacing w:val="40"/>
        </w:rPr>
        <w:t> </w:t>
      </w:r>
      <w:r>
        <w:rPr/>
        <w:t>City</w:t>
      </w:r>
      <w:r>
        <w:rPr>
          <w:spacing w:val="40"/>
        </w:rPr>
        <w:t> </w:t>
      </w:r>
      <w:r>
        <w:rPr/>
        <w:t>Code</w:t>
      </w:r>
      <w:r>
        <w:rPr>
          <w:spacing w:val="39"/>
        </w:rPr>
        <w:t> </w:t>
      </w:r>
      <w:r>
        <w:rPr/>
        <w:t>and</w:t>
      </w:r>
      <w:r>
        <w:rPr>
          <w:spacing w:val="39"/>
        </w:rPr>
        <w:t> </w:t>
      </w:r>
      <w:r>
        <w:rPr/>
        <w:t>MIHDB program manual.</w:t>
      </w:r>
    </w:p>
    <w:p>
      <w:pPr>
        <w:pStyle w:val="BodyText"/>
        <w:spacing w:before="4"/>
        <w:rPr>
          <w:sz w:val="26"/>
        </w:rPr>
      </w:pPr>
    </w:p>
    <w:p>
      <w:pPr>
        <w:pStyle w:val="Heading5"/>
        <w:ind w:left="119"/>
        <w:jc w:val="left"/>
      </w:pPr>
      <w:r>
        <w:rPr/>
        <w:t>Program</w:t>
      </w:r>
      <w:r>
        <w:rPr>
          <w:spacing w:val="-6"/>
        </w:rPr>
        <w:t> </w:t>
      </w:r>
      <w:r>
        <w:rPr/>
        <w:t>Operation</w:t>
      </w:r>
      <w:r>
        <w:rPr>
          <w:spacing w:val="-4"/>
        </w:rPr>
        <w:t> </w:t>
      </w:r>
      <w:r>
        <w:rPr/>
        <w:t>and</w:t>
      </w:r>
      <w:r>
        <w:rPr>
          <w:spacing w:val="-3"/>
        </w:rPr>
        <w:t> </w:t>
      </w:r>
      <w:r>
        <w:rPr>
          <w:spacing w:val="-2"/>
        </w:rPr>
        <w:t>Compliance</w:t>
      </w:r>
    </w:p>
    <w:p>
      <w:pPr>
        <w:pStyle w:val="ListParagraph"/>
        <w:numPr>
          <w:ilvl w:val="1"/>
          <w:numId w:val="16"/>
        </w:numPr>
        <w:tabs>
          <w:tab w:pos="839" w:val="left" w:leader="none"/>
          <w:tab w:pos="840" w:val="left" w:leader="none"/>
        </w:tabs>
        <w:spacing w:line="269" w:lineRule="exact" w:before="52" w:after="0"/>
        <w:ind w:left="839" w:right="0" w:hanging="361"/>
        <w:jc w:val="left"/>
        <w:rPr>
          <w:rFonts w:ascii="Symbol" w:hAnsi="Symbol"/>
          <w:sz w:val="22"/>
        </w:rPr>
      </w:pPr>
      <w:r>
        <w:rPr>
          <w:sz w:val="22"/>
        </w:rPr>
        <w:t>Term</w:t>
      </w:r>
      <w:r>
        <w:rPr>
          <w:spacing w:val="-5"/>
          <w:sz w:val="22"/>
        </w:rPr>
        <w:t> </w:t>
      </w:r>
      <w:r>
        <w:rPr>
          <w:sz w:val="22"/>
        </w:rPr>
        <w:t>of</w:t>
      </w:r>
      <w:r>
        <w:rPr>
          <w:spacing w:val="-5"/>
          <w:sz w:val="22"/>
        </w:rPr>
        <w:t> </w:t>
      </w:r>
      <w:r>
        <w:rPr>
          <w:sz w:val="22"/>
        </w:rPr>
        <w:t>affordability</w:t>
      </w:r>
      <w:r>
        <w:rPr>
          <w:spacing w:val="-3"/>
          <w:sz w:val="22"/>
        </w:rPr>
        <w:t> </w:t>
      </w:r>
      <w:r>
        <w:rPr>
          <w:sz w:val="22"/>
        </w:rPr>
        <w:t>is</w:t>
      </w:r>
      <w:r>
        <w:rPr>
          <w:spacing w:val="-6"/>
          <w:sz w:val="22"/>
        </w:rPr>
        <w:t> </w:t>
      </w:r>
      <w:r>
        <w:rPr>
          <w:sz w:val="22"/>
        </w:rPr>
        <w:t>20</w:t>
      </w:r>
      <w:r>
        <w:rPr>
          <w:spacing w:val="-3"/>
          <w:sz w:val="22"/>
        </w:rPr>
        <w:t> </w:t>
      </w:r>
      <w:r>
        <w:rPr>
          <w:spacing w:val="-2"/>
          <w:sz w:val="22"/>
        </w:rPr>
        <w:t>years</w:t>
      </w:r>
    </w:p>
    <w:p>
      <w:pPr>
        <w:pStyle w:val="ListParagraph"/>
        <w:numPr>
          <w:ilvl w:val="1"/>
          <w:numId w:val="16"/>
        </w:numPr>
        <w:tabs>
          <w:tab w:pos="839" w:val="left" w:leader="none"/>
          <w:tab w:pos="840" w:val="left" w:leader="none"/>
        </w:tabs>
        <w:spacing w:line="237" w:lineRule="auto" w:before="1" w:after="0"/>
        <w:ind w:left="839" w:right="158" w:hanging="361"/>
        <w:jc w:val="left"/>
        <w:rPr>
          <w:rFonts w:ascii="Symbol" w:hAnsi="Symbol"/>
          <w:sz w:val="22"/>
        </w:rPr>
      </w:pPr>
      <w:r>
        <w:rPr>
          <w:sz w:val="22"/>
        </w:rPr>
        <w:t>Property</w:t>
      </w:r>
      <w:r>
        <w:rPr>
          <w:spacing w:val="40"/>
          <w:sz w:val="22"/>
        </w:rPr>
        <w:t> </w:t>
      </w:r>
      <w:r>
        <w:rPr>
          <w:sz w:val="22"/>
        </w:rPr>
        <w:t>owner</w:t>
      </w:r>
      <w:r>
        <w:rPr>
          <w:spacing w:val="40"/>
          <w:sz w:val="22"/>
        </w:rPr>
        <w:t> </w:t>
      </w:r>
      <w:r>
        <w:rPr>
          <w:sz w:val="22"/>
        </w:rPr>
        <w:t>must</w:t>
      </w:r>
      <w:r>
        <w:rPr>
          <w:spacing w:val="40"/>
          <w:sz w:val="22"/>
        </w:rPr>
        <w:t> </w:t>
      </w:r>
      <w:r>
        <w:rPr>
          <w:sz w:val="22"/>
        </w:rPr>
        <w:t>remain</w:t>
      </w:r>
      <w:r>
        <w:rPr>
          <w:spacing w:val="40"/>
          <w:sz w:val="22"/>
        </w:rPr>
        <w:t> </w:t>
      </w:r>
      <w:r>
        <w:rPr>
          <w:sz w:val="22"/>
        </w:rPr>
        <w:t>in</w:t>
      </w:r>
      <w:r>
        <w:rPr>
          <w:spacing w:val="40"/>
          <w:sz w:val="22"/>
        </w:rPr>
        <w:t> </w:t>
      </w:r>
      <w:r>
        <w:rPr>
          <w:sz w:val="22"/>
        </w:rPr>
        <w:t>compliance</w:t>
      </w:r>
      <w:r>
        <w:rPr>
          <w:spacing w:val="40"/>
          <w:sz w:val="22"/>
        </w:rPr>
        <w:t> </w:t>
      </w:r>
      <w:r>
        <w:rPr>
          <w:sz w:val="22"/>
        </w:rPr>
        <w:t>with</w:t>
      </w:r>
      <w:r>
        <w:rPr>
          <w:spacing w:val="40"/>
          <w:sz w:val="22"/>
        </w:rPr>
        <w:t> </w:t>
      </w:r>
      <w:r>
        <w:rPr>
          <w:sz w:val="22"/>
        </w:rPr>
        <w:t>restrictive</w:t>
      </w:r>
      <w:r>
        <w:rPr>
          <w:spacing w:val="40"/>
          <w:sz w:val="22"/>
        </w:rPr>
        <w:t> </w:t>
      </w:r>
      <w:r>
        <w:rPr>
          <w:sz w:val="22"/>
        </w:rPr>
        <w:t>covenants</w:t>
      </w:r>
      <w:r>
        <w:rPr>
          <w:spacing w:val="40"/>
          <w:sz w:val="22"/>
        </w:rPr>
        <w:t> </w:t>
      </w:r>
      <w:r>
        <w:rPr>
          <w:sz w:val="22"/>
        </w:rPr>
        <w:t>based</w:t>
      </w:r>
      <w:r>
        <w:rPr>
          <w:spacing w:val="40"/>
          <w:sz w:val="22"/>
        </w:rPr>
        <w:t> </w:t>
      </w:r>
      <w:r>
        <w:rPr>
          <w:sz w:val="22"/>
        </w:rPr>
        <w:t>on</w:t>
      </w:r>
      <w:r>
        <w:rPr>
          <w:spacing w:val="40"/>
          <w:sz w:val="22"/>
        </w:rPr>
        <w:t> </w:t>
      </w:r>
      <w:r>
        <w:rPr>
          <w:sz w:val="22"/>
        </w:rPr>
        <w:t>the requirements in Chapter 20A-II and Chapter 51A-4.1100, as amended.</w:t>
      </w:r>
    </w:p>
    <w:p>
      <w:pPr>
        <w:pStyle w:val="ListParagraph"/>
        <w:numPr>
          <w:ilvl w:val="1"/>
          <w:numId w:val="16"/>
        </w:numPr>
        <w:tabs>
          <w:tab w:pos="839" w:val="left" w:leader="none"/>
          <w:tab w:pos="841" w:val="left" w:leader="none"/>
        </w:tabs>
        <w:spacing w:line="237" w:lineRule="auto" w:before="4" w:after="0"/>
        <w:ind w:left="840" w:right="156" w:hanging="361"/>
        <w:jc w:val="left"/>
        <w:rPr>
          <w:rFonts w:ascii="Symbol" w:hAnsi="Symbol"/>
          <w:sz w:val="22"/>
        </w:rPr>
      </w:pPr>
      <w:r>
        <w:rPr>
          <w:sz w:val="22"/>
        </w:rPr>
        <w:t>Each eligible household must</w:t>
      </w:r>
      <w:r>
        <w:rPr>
          <w:spacing w:val="-1"/>
          <w:sz w:val="22"/>
        </w:rPr>
        <w:t> </w:t>
      </w:r>
      <w:r>
        <w:rPr>
          <w:sz w:val="22"/>
        </w:rPr>
        <w:t>be charged an affordable rent</w:t>
      </w:r>
      <w:r>
        <w:rPr>
          <w:spacing w:val="-1"/>
          <w:sz w:val="22"/>
        </w:rPr>
        <w:t> </w:t>
      </w:r>
      <w:r>
        <w:rPr>
          <w:sz w:val="22"/>
        </w:rPr>
        <w:t>as defined in the Dallas City </w:t>
      </w:r>
      <w:r>
        <w:rPr>
          <w:spacing w:val="-2"/>
          <w:sz w:val="22"/>
        </w:rPr>
        <w:t>Code.</w:t>
      </w:r>
    </w:p>
    <w:p>
      <w:pPr>
        <w:pStyle w:val="ListParagraph"/>
        <w:numPr>
          <w:ilvl w:val="1"/>
          <w:numId w:val="16"/>
        </w:numPr>
        <w:tabs>
          <w:tab w:pos="840" w:val="left" w:leader="none"/>
          <w:tab w:pos="841" w:val="left" w:leader="none"/>
        </w:tabs>
        <w:spacing w:line="237" w:lineRule="auto" w:before="3" w:after="0"/>
        <w:ind w:left="840" w:right="158" w:hanging="361"/>
        <w:jc w:val="left"/>
        <w:rPr>
          <w:rFonts w:ascii="Symbol" w:hAnsi="Symbol"/>
          <w:sz w:val="22"/>
        </w:rPr>
      </w:pPr>
      <w:r>
        <w:rPr>
          <w:sz w:val="22"/>
        </w:rPr>
        <w:t>See the State and Local Funding Sources section of this document for the MIHDB Fund program statement.</w:t>
      </w:r>
    </w:p>
    <w:p>
      <w:pPr>
        <w:spacing w:after="0" w:line="237" w:lineRule="auto"/>
        <w:jc w:val="left"/>
        <w:rPr>
          <w:rFonts w:ascii="Symbol" w:hAnsi="Symbol"/>
          <w:sz w:val="22"/>
        </w:rPr>
        <w:sectPr>
          <w:pgSz w:w="12240" w:h="15840"/>
          <w:pgMar w:header="0" w:footer="1738" w:top="1360" w:bottom="1920" w:left="1320" w:right="1280"/>
        </w:sectPr>
      </w:pPr>
    </w:p>
    <w:p>
      <w:pPr>
        <w:pStyle w:val="Heading3"/>
        <w:jc w:val="both"/>
      </w:pPr>
      <w:bookmarkStart w:name="Land Transfer Program Pillars 1, 2, 6, 7" w:id="55"/>
      <w:bookmarkEnd w:id="55"/>
      <w:r>
        <w:rPr/>
      </w:r>
      <w:bookmarkStart w:name="_bookmark21" w:id="56"/>
      <w:bookmarkEnd w:id="56"/>
      <w:r>
        <w:rPr/>
      </w:r>
      <w:r>
        <w:rPr>
          <w:color w:val="001F5F"/>
        </w:rPr>
        <w:t>Land</w:t>
      </w:r>
      <w:r>
        <w:rPr>
          <w:color w:val="001F5F"/>
          <w:spacing w:val="-9"/>
        </w:rPr>
        <w:t> </w:t>
      </w:r>
      <w:r>
        <w:rPr>
          <w:color w:val="001F5F"/>
        </w:rPr>
        <w:t>Transfer</w:t>
      </w:r>
      <w:r>
        <w:rPr>
          <w:color w:val="001F5F"/>
          <w:spacing w:val="-9"/>
        </w:rPr>
        <w:t> </w:t>
      </w:r>
      <w:r>
        <w:rPr>
          <w:color w:val="001F5F"/>
        </w:rPr>
        <w:t>Program</w:t>
      </w:r>
      <w:r>
        <w:rPr>
          <w:color w:val="001F5F"/>
          <w:spacing w:val="-8"/>
        </w:rPr>
        <w:t> </w:t>
      </w:r>
      <w:r>
        <w:rPr>
          <w:color w:val="FF0000"/>
        </w:rPr>
        <w:t>Pillars</w:t>
      </w:r>
      <w:r>
        <w:rPr>
          <w:color w:val="FF0000"/>
          <w:spacing w:val="-6"/>
        </w:rPr>
        <w:t> </w:t>
      </w:r>
      <w:r>
        <w:rPr>
          <w:color w:val="FF0000"/>
        </w:rPr>
        <w:t>1,</w:t>
      </w:r>
      <w:r>
        <w:rPr>
          <w:color w:val="FF0000"/>
          <w:spacing w:val="-9"/>
        </w:rPr>
        <w:t> </w:t>
      </w:r>
      <w:r>
        <w:rPr>
          <w:color w:val="FF0000"/>
        </w:rPr>
        <w:t>2,</w:t>
      </w:r>
      <w:r>
        <w:rPr>
          <w:color w:val="FF0000"/>
          <w:spacing w:val="-9"/>
        </w:rPr>
        <w:t> </w:t>
      </w:r>
      <w:r>
        <w:rPr>
          <w:color w:val="FF0000"/>
        </w:rPr>
        <w:t>6,</w:t>
      </w:r>
      <w:r>
        <w:rPr>
          <w:color w:val="FF0000"/>
          <w:spacing w:val="-9"/>
        </w:rPr>
        <w:t> </w:t>
      </w:r>
      <w:r>
        <w:rPr>
          <w:color w:val="FF0000"/>
          <w:spacing w:val="-10"/>
        </w:rPr>
        <w:t>7</w:t>
      </w:r>
    </w:p>
    <w:p>
      <w:pPr>
        <w:pStyle w:val="BodyText"/>
        <w:spacing w:before="29"/>
        <w:ind w:left="120"/>
        <w:jc w:val="both"/>
      </w:pPr>
      <w:r>
        <w:rPr/>
        <w:t>Added</w:t>
      </w:r>
      <w:r>
        <w:rPr>
          <w:spacing w:val="-7"/>
        </w:rPr>
        <w:t> </w:t>
      </w:r>
      <w:r>
        <w:rPr/>
        <w:t>May</w:t>
      </w:r>
      <w:r>
        <w:rPr>
          <w:spacing w:val="-6"/>
        </w:rPr>
        <w:t> </w:t>
      </w:r>
      <w:r>
        <w:rPr/>
        <w:t>22,</w:t>
      </w:r>
      <w:r>
        <w:rPr>
          <w:spacing w:val="-6"/>
        </w:rPr>
        <w:t> </w:t>
      </w:r>
      <w:r>
        <w:rPr/>
        <w:t>2019</w:t>
      </w:r>
      <w:r>
        <w:rPr>
          <w:spacing w:val="-3"/>
        </w:rPr>
        <w:t> </w:t>
      </w:r>
      <w:r>
        <w:rPr/>
        <w:t>by</w:t>
      </w:r>
      <w:r>
        <w:rPr>
          <w:spacing w:val="-6"/>
        </w:rPr>
        <w:t> </w:t>
      </w:r>
      <w:r>
        <w:rPr/>
        <w:t>Resolution</w:t>
      </w:r>
      <w:r>
        <w:rPr>
          <w:spacing w:val="-5"/>
        </w:rPr>
        <w:t> </w:t>
      </w:r>
      <w:r>
        <w:rPr/>
        <w:t>No.</w:t>
      </w:r>
      <w:r>
        <w:rPr>
          <w:spacing w:val="-2"/>
        </w:rPr>
        <w:t> </w:t>
      </w:r>
      <w:r>
        <w:rPr/>
        <w:t>19-</w:t>
      </w:r>
      <w:r>
        <w:rPr>
          <w:spacing w:val="-4"/>
        </w:rPr>
        <w:t>0824</w:t>
      </w:r>
    </w:p>
    <w:p>
      <w:pPr>
        <w:pStyle w:val="BodyText"/>
      </w:pPr>
    </w:p>
    <w:p>
      <w:pPr>
        <w:pStyle w:val="BodyText"/>
        <w:ind w:left="120" w:right="154"/>
        <w:jc w:val="both"/>
      </w:pPr>
      <w:r>
        <w:rPr/>
        <w:pict>
          <v:shape style="position:absolute;margin-left:90.065002pt;margin-top:67.304108pt;width:395.3pt;height:419pt;mso-position-horizontal-relative:page;mso-position-vertical-relative:paragraph;z-index:-17702400" id="docshape85" coordorigin="1801,1346" coordsize="7906,8380" path="m4498,8610l4492,8536,4477,8458,4455,8375,4432,8306,4403,8234,4367,8159,4325,8081,4276,8001,4237,7942,4200,7891,4200,8577,4197,8633,4186,8690,4167,8747,4138,8807,4097,8870,4044,8936,3979,9005,3674,9310,2216,7853,2517,7552,2598,7476,2672,7416,2740,7373,2801,7346,2868,7331,2941,7327,3020,7334,3105,7352,3195,7381,3255,7407,3317,7439,3380,7478,3446,7523,3514,7574,3584,7632,3656,7697,3729,7768,3789,7830,3845,7890,3896,7949,3943,8007,3986,8064,4025,8119,4059,8173,4101,8247,4136,8320,4163,8389,4183,8456,4196,8520,4200,8577,4200,7891,4194,7882,4148,7822,4098,7761,4045,7700,3989,7639,3929,7577,3865,7515,3801,7457,3737,7402,3673,7350,3643,7327,3609,7302,3546,7258,3482,7216,3419,7179,3346,7141,3274,7108,3203,7081,3132,7059,3062,7042,2992,7030,2923,7023,2850,7021,2779,7028,2709,7043,2642,7066,2577,7096,2528,7125,2476,7162,2420,7207,2359,7261,2294,7324,1801,7817,3710,9725,4124,9310,4226,9209,4287,9144,4341,9078,4386,9012,4424,8946,4454,8879,4476,8813,4491,8746,4498,8678,4498,8610xm6418,7017l6056,6889,5650,6746,5561,6717,5475,6693,5393,6674,5365,6669,5314,6660,5239,6650,5193,6648,5143,6651,5089,6658,5030,6669,5073,6599,5109,6530,5136,6460,5154,6392,5164,6323,5165,6255,5157,6187,5139,6109,5111,6033,5075,5958,5030,5886,4976,5815,4956,5792,4913,5746,4872,5708,4872,6265,4868,6321,4854,6376,4830,6432,4794,6491,4747,6552,4687,6615,4280,7023,3649,6391,4102,5938,4166,5881,4229,5838,4293,5809,4358,5793,4422,5792,4501,5807,4577,5837,4649,5882,4718,5941,4761,5989,4797,6040,4827,6093,4851,6150,4867,6208,4872,6265,4872,5708,4849,5687,4782,5634,4713,5589,4641,5550,4566,5518,4474,5490,4386,5477,4303,5479,4225,5495,4163,5520,4098,5556,4030,5605,3958,5664,3883,5735,3248,6370,5157,8278,5346,8089,4499,7241,4718,7023,4753,6988,4783,6961,4810,6940,4833,6925,4863,6912,4896,6901,4932,6893,4971,6889,5014,6889,5066,6894,5125,6905,5194,6921,5256,6938,5328,6959,5407,6984,5496,7013,6180,7255,6418,7017xm7780,5654l7415,5459,6555,5005,6555,5312,6070,5797,6030,5726,5989,5654,5748,5224,5708,5152,5668,5080,5629,5015,5590,4950,5550,4886,5509,4823,5467,4761,5424,4700,5380,4639,5436,4675,5498,4712,5564,4752,5635,4794,5792,4885,6555,5312,6555,5005,5862,4639,5286,4332,5082,4536,5277,4887,5316,4957,5701,5654,6207,6573,6441,6994,6642,6793,6565,6659,6298,6191,6221,6058,6481,5797,6820,5459,7173,5654,7565,5870,7780,5654xm8131,5304l7264,4437,7936,3765,7711,3540,7039,4212,6448,3621,7224,2845,6999,2619,6033,3585,7941,5493,8131,5304xm9707,3728l8024,2045,8497,1571,8272,1346,7138,2481,7363,2706,7834,2234,9517,3917,9707,3728xe" filled="true" fillcolor="#c0c0c0" stroked="false">
            <v:path arrowok="t"/>
            <v:fill opacity="32896f" type="solid"/>
            <w10:wrap type="none"/>
          </v:shape>
        </w:pict>
      </w:r>
      <w:r>
        <w:rPr/>
        <w:t>The</w:t>
      </w:r>
      <w:r>
        <w:rPr>
          <w:spacing w:val="-7"/>
        </w:rPr>
        <w:t> </w:t>
      </w:r>
      <w:r>
        <w:rPr/>
        <w:t>purpose</w:t>
      </w:r>
      <w:r>
        <w:rPr>
          <w:spacing w:val="-7"/>
        </w:rPr>
        <w:t> </w:t>
      </w:r>
      <w:r>
        <w:rPr/>
        <w:t>of</w:t>
      </w:r>
      <w:r>
        <w:rPr>
          <w:spacing w:val="-6"/>
        </w:rPr>
        <w:t> </w:t>
      </w:r>
      <w:r>
        <w:rPr/>
        <w:t>this</w:t>
      </w:r>
      <w:r>
        <w:rPr>
          <w:spacing w:val="-7"/>
        </w:rPr>
        <w:t> </w:t>
      </w:r>
      <w:r>
        <w:rPr/>
        <w:t>Land</w:t>
      </w:r>
      <w:r>
        <w:rPr>
          <w:spacing w:val="-10"/>
        </w:rPr>
        <w:t> </w:t>
      </w:r>
      <w:r>
        <w:rPr/>
        <w:t>Transfer</w:t>
      </w:r>
      <w:r>
        <w:rPr>
          <w:spacing w:val="-6"/>
        </w:rPr>
        <w:t> </w:t>
      </w:r>
      <w:r>
        <w:rPr/>
        <w:t>Program</w:t>
      </w:r>
      <w:r>
        <w:rPr>
          <w:spacing w:val="-6"/>
        </w:rPr>
        <w:t> </w:t>
      </w:r>
      <w:r>
        <w:rPr/>
        <w:t>(the</w:t>
      </w:r>
      <w:r>
        <w:rPr>
          <w:spacing w:val="-7"/>
        </w:rPr>
        <w:t> </w:t>
      </w:r>
      <w:r>
        <w:rPr/>
        <w:t>“Program”)</w:t>
      </w:r>
      <w:r>
        <w:rPr>
          <w:spacing w:val="-9"/>
        </w:rPr>
        <w:t> </w:t>
      </w:r>
      <w:r>
        <w:rPr/>
        <w:t>is</w:t>
      </w:r>
      <w:r>
        <w:rPr>
          <w:spacing w:val="-7"/>
        </w:rPr>
        <w:t> </w:t>
      </w:r>
      <w:r>
        <w:rPr/>
        <w:t>to</w:t>
      </w:r>
      <w:r>
        <w:rPr>
          <w:spacing w:val="-7"/>
        </w:rPr>
        <w:t> </w:t>
      </w:r>
      <w:r>
        <w:rPr/>
        <w:t>incentivize:</w:t>
      </w:r>
      <w:r>
        <w:rPr>
          <w:spacing w:val="-6"/>
        </w:rPr>
        <w:t> </w:t>
      </w:r>
      <w:r>
        <w:rPr/>
        <w:t>(1)</w:t>
      </w:r>
      <w:r>
        <w:rPr>
          <w:spacing w:val="-6"/>
        </w:rPr>
        <w:t> </w:t>
      </w:r>
      <w:r>
        <w:rPr/>
        <w:t>the</w:t>
      </w:r>
      <w:r>
        <w:rPr>
          <w:spacing w:val="-10"/>
        </w:rPr>
        <w:t> </w:t>
      </w:r>
      <w:r>
        <w:rPr/>
        <w:t>development of quality, sustainable housing that is affordable to the residents of the City and (2) the development</w:t>
      </w:r>
      <w:r>
        <w:rPr>
          <w:spacing w:val="-8"/>
        </w:rPr>
        <w:t> </w:t>
      </w:r>
      <w:r>
        <w:rPr/>
        <w:t>of</w:t>
      </w:r>
      <w:r>
        <w:rPr>
          <w:spacing w:val="-8"/>
        </w:rPr>
        <w:t> </w:t>
      </w:r>
      <w:r>
        <w:rPr/>
        <w:t>other</w:t>
      </w:r>
      <w:r>
        <w:rPr>
          <w:spacing w:val="-9"/>
        </w:rPr>
        <w:t> </w:t>
      </w:r>
      <w:r>
        <w:rPr/>
        <w:t>uses</w:t>
      </w:r>
      <w:r>
        <w:rPr>
          <w:spacing w:val="-9"/>
        </w:rPr>
        <w:t> </w:t>
      </w:r>
      <w:r>
        <w:rPr/>
        <w:t>that</w:t>
      </w:r>
      <w:r>
        <w:rPr>
          <w:spacing w:val="-11"/>
        </w:rPr>
        <w:t> </w:t>
      </w:r>
      <w:r>
        <w:rPr/>
        <w:t>complement</w:t>
      </w:r>
      <w:r>
        <w:rPr>
          <w:spacing w:val="-11"/>
        </w:rPr>
        <w:t> </w:t>
      </w:r>
      <w:r>
        <w:rPr/>
        <w:t>the</w:t>
      </w:r>
      <w:r>
        <w:rPr>
          <w:spacing w:val="-12"/>
        </w:rPr>
        <w:t> </w:t>
      </w:r>
      <w:r>
        <w:rPr/>
        <w:t>City’s</w:t>
      </w:r>
      <w:r>
        <w:rPr>
          <w:spacing w:val="-9"/>
        </w:rPr>
        <w:t> </w:t>
      </w:r>
      <w:r>
        <w:rPr/>
        <w:t>Comprehensive</w:t>
      </w:r>
      <w:r>
        <w:rPr>
          <w:spacing w:val="-10"/>
        </w:rPr>
        <w:t> </w:t>
      </w:r>
      <w:r>
        <w:rPr/>
        <w:t>Housing</w:t>
      </w:r>
      <w:r>
        <w:rPr>
          <w:spacing w:val="-10"/>
        </w:rPr>
        <w:t> </w:t>
      </w:r>
      <w:r>
        <w:rPr/>
        <w:t>Policy,</w:t>
      </w:r>
      <w:r>
        <w:rPr>
          <w:spacing w:val="-8"/>
        </w:rPr>
        <w:t> </w:t>
      </w:r>
      <w:r>
        <w:rPr/>
        <w:t>economic development</w:t>
      </w:r>
      <w:r>
        <w:rPr>
          <w:spacing w:val="-11"/>
        </w:rPr>
        <w:t> </w:t>
      </w:r>
      <w:r>
        <w:rPr/>
        <w:t>policy,</w:t>
      </w:r>
      <w:r>
        <w:rPr>
          <w:spacing w:val="-11"/>
        </w:rPr>
        <w:t> </w:t>
      </w:r>
      <w:r>
        <w:rPr/>
        <w:t>or</w:t>
      </w:r>
      <w:r>
        <w:rPr>
          <w:spacing w:val="-11"/>
        </w:rPr>
        <w:t> </w:t>
      </w:r>
      <w:r>
        <w:rPr/>
        <w:t>redevelopment</w:t>
      </w:r>
      <w:r>
        <w:rPr>
          <w:spacing w:val="-11"/>
        </w:rPr>
        <w:t> </w:t>
      </w:r>
      <w:r>
        <w:rPr/>
        <w:t>policy.</w:t>
      </w:r>
      <w:r>
        <w:rPr>
          <w:spacing w:val="-11"/>
        </w:rPr>
        <w:t> </w:t>
      </w:r>
      <w:r>
        <w:rPr/>
        <w:t>Specifically,</w:t>
      </w:r>
      <w:r>
        <w:rPr>
          <w:spacing w:val="-8"/>
        </w:rPr>
        <w:t> </w:t>
      </w:r>
      <w:r>
        <w:rPr/>
        <w:t>this</w:t>
      </w:r>
      <w:r>
        <w:rPr>
          <w:spacing w:val="-12"/>
        </w:rPr>
        <w:t> </w:t>
      </w:r>
      <w:r>
        <w:rPr/>
        <w:t>Program</w:t>
      </w:r>
      <w:r>
        <w:rPr>
          <w:spacing w:val="-11"/>
        </w:rPr>
        <w:t> </w:t>
      </w:r>
      <w:r>
        <w:rPr/>
        <w:t>authorizes</w:t>
      </w:r>
      <w:r>
        <w:rPr>
          <w:spacing w:val="-12"/>
        </w:rPr>
        <w:t> </w:t>
      </w:r>
      <w:r>
        <w:rPr/>
        <w:t>the</w:t>
      </w:r>
      <w:r>
        <w:rPr>
          <w:spacing w:val="-10"/>
        </w:rPr>
        <w:t> </w:t>
      </w:r>
      <w:r>
        <w:rPr/>
        <w:t>City</w:t>
      </w:r>
      <w:r>
        <w:rPr>
          <w:spacing w:val="-12"/>
        </w:rPr>
        <w:t> </w:t>
      </w:r>
      <w:r>
        <w:rPr/>
        <w:t>to</w:t>
      </w:r>
      <w:r>
        <w:rPr>
          <w:spacing w:val="-12"/>
        </w:rPr>
        <w:t> </w:t>
      </w:r>
      <w:r>
        <w:rPr/>
        <w:t>sell qualifying city-owned real property and resell tax-foreclosed real property to for-profit, non-profit and/or</w:t>
      </w:r>
      <w:r>
        <w:rPr>
          <w:spacing w:val="-8"/>
        </w:rPr>
        <w:t> </w:t>
      </w:r>
      <w:r>
        <w:rPr/>
        <w:t>religious</w:t>
      </w:r>
      <w:r>
        <w:rPr>
          <w:spacing w:val="-6"/>
        </w:rPr>
        <w:t> </w:t>
      </w:r>
      <w:r>
        <w:rPr/>
        <w:t>organizations</w:t>
      </w:r>
      <w:r>
        <w:rPr>
          <w:spacing w:val="-6"/>
        </w:rPr>
        <w:t> </w:t>
      </w:r>
      <w:r>
        <w:rPr/>
        <w:t>in</w:t>
      </w:r>
      <w:r>
        <w:rPr>
          <w:spacing w:val="-6"/>
        </w:rPr>
        <w:t> </w:t>
      </w:r>
      <w:r>
        <w:rPr/>
        <w:t>a</w:t>
      </w:r>
      <w:r>
        <w:rPr>
          <w:spacing w:val="-6"/>
        </w:rPr>
        <w:t> </w:t>
      </w:r>
      <w:r>
        <w:rPr/>
        <w:t>direct</w:t>
      </w:r>
      <w:r>
        <w:rPr>
          <w:spacing w:val="-5"/>
        </w:rPr>
        <w:t> </w:t>
      </w:r>
      <w:r>
        <w:rPr/>
        <w:t>sale</w:t>
      </w:r>
      <w:r>
        <w:rPr>
          <w:spacing w:val="-6"/>
        </w:rPr>
        <w:t> </w:t>
      </w:r>
      <w:r>
        <w:rPr/>
        <w:t>at</w:t>
      </w:r>
      <w:r>
        <w:rPr>
          <w:spacing w:val="-5"/>
        </w:rPr>
        <w:t> </w:t>
      </w:r>
      <w:r>
        <w:rPr/>
        <w:t>less</w:t>
      </w:r>
      <w:r>
        <w:rPr>
          <w:spacing w:val="-6"/>
        </w:rPr>
        <w:t> </w:t>
      </w:r>
      <w:r>
        <w:rPr/>
        <w:t>than</w:t>
      </w:r>
      <w:r>
        <w:rPr>
          <w:spacing w:val="-9"/>
        </w:rPr>
        <w:t> </w:t>
      </w:r>
      <w:r>
        <w:rPr/>
        <w:t>fair</w:t>
      </w:r>
      <w:r>
        <w:rPr>
          <w:spacing w:val="-8"/>
        </w:rPr>
        <w:t> </w:t>
      </w:r>
      <w:r>
        <w:rPr/>
        <w:t>market</w:t>
      </w:r>
      <w:r>
        <w:rPr>
          <w:spacing w:val="-7"/>
        </w:rPr>
        <w:t> </w:t>
      </w:r>
      <w:r>
        <w:rPr/>
        <w:t>value</w:t>
      </w:r>
      <w:r>
        <w:rPr>
          <w:spacing w:val="-9"/>
        </w:rPr>
        <w:t> </w:t>
      </w:r>
      <w:r>
        <w:rPr/>
        <w:t>of</w:t>
      </w:r>
      <w:r>
        <w:rPr>
          <w:spacing w:val="-5"/>
        </w:rPr>
        <w:t> </w:t>
      </w:r>
      <w:r>
        <w:rPr/>
        <w:t>the</w:t>
      </w:r>
      <w:r>
        <w:rPr>
          <w:spacing w:val="-9"/>
        </w:rPr>
        <w:t> </w:t>
      </w:r>
      <w:r>
        <w:rPr/>
        <w:t>land,</w:t>
      </w:r>
      <w:r>
        <w:rPr>
          <w:spacing w:val="-5"/>
        </w:rPr>
        <w:t> </w:t>
      </w:r>
      <w:r>
        <w:rPr/>
        <w:t>consistent with the authorizing state statute or city ordinance.</w:t>
      </w:r>
    </w:p>
    <w:p>
      <w:pPr>
        <w:pStyle w:val="BodyText"/>
        <w:spacing w:before="10"/>
        <w:rPr>
          <w:sz w:val="21"/>
        </w:rPr>
      </w:pPr>
    </w:p>
    <w:p>
      <w:pPr>
        <w:pStyle w:val="BodyText"/>
        <w:ind w:left="119" w:right="155"/>
        <w:jc w:val="both"/>
      </w:pPr>
      <w:r>
        <w:rPr/>
        <w:t>The sale of real property pursuant to the Land Transfer Program will enable the City to facilitate the</w:t>
      </w:r>
      <w:r>
        <w:rPr>
          <w:spacing w:val="-10"/>
        </w:rPr>
        <w:t> </w:t>
      </w:r>
      <w:r>
        <w:rPr/>
        <w:t>development</w:t>
      </w:r>
      <w:r>
        <w:rPr>
          <w:spacing w:val="-8"/>
        </w:rPr>
        <w:t> </w:t>
      </w:r>
      <w:r>
        <w:rPr/>
        <w:t>of</w:t>
      </w:r>
      <w:r>
        <w:rPr>
          <w:spacing w:val="-8"/>
        </w:rPr>
        <w:t> </w:t>
      </w:r>
      <w:r>
        <w:rPr/>
        <w:t>housing</w:t>
      </w:r>
      <w:r>
        <w:rPr>
          <w:spacing w:val="-10"/>
        </w:rPr>
        <w:t> </w:t>
      </w:r>
      <w:r>
        <w:rPr/>
        <w:t>units</w:t>
      </w:r>
      <w:r>
        <w:rPr>
          <w:spacing w:val="-9"/>
        </w:rPr>
        <w:t> </w:t>
      </w:r>
      <w:r>
        <w:rPr/>
        <w:t>that</w:t>
      </w:r>
      <w:r>
        <w:rPr>
          <w:spacing w:val="-8"/>
        </w:rPr>
        <w:t> </w:t>
      </w:r>
      <w:r>
        <w:rPr/>
        <w:t>will</w:t>
      </w:r>
      <w:r>
        <w:rPr>
          <w:spacing w:val="-10"/>
        </w:rPr>
        <w:t> </w:t>
      </w:r>
      <w:r>
        <w:rPr/>
        <w:t>be</w:t>
      </w:r>
      <w:r>
        <w:rPr>
          <w:spacing w:val="-10"/>
        </w:rPr>
        <w:t> </w:t>
      </w:r>
      <w:r>
        <w:rPr/>
        <w:t>offered</w:t>
      </w:r>
      <w:r>
        <w:rPr>
          <w:spacing w:val="-10"/>
        </w:rPr>
        <w:t> </w:t>
      </w:r>
      <w:r>
        <w:rPr/>
        <w:t>for</w:t>
      </w:r>
      <w:r>
        <w:rPr>
          <w:spacing w:val="-11"/>
        </w:rPr>
        <w:t> </w:t>
      </w:r>
      <w:r>
        <w:rPr/>
        <w:t>sale,</w:t>
      </w:r>
      <w:r>
        <w:rPr>
          <w:spacing w:val="-8"/>
        </w:rPr>
        <w:t> </w:t>
      </w:r>
      <w:r>
        <w:rPr/>
        <w:t>lease</w:t>
      </w:r>
      <w:r>
        <w:rPr>
          <w:spacing w:val="-10"/>
        </w:rPr>
        <w:t> </w:t>
      </w:r>
      <w:r>
        <w:rPr/>
        <w:t>or</w:t>
      </w:r>
      <w:r>
        <w:rPr>
          <w:spacing w:val="-9"/>
        </w:rPr>
        <w:t> </w:t>
      </w:r>
      <w:r>
        <w:rPr/>
        <w:t>lease-purchase</w:t>
      </w:r>
      <w:r>
        <w:rPr>
          <w:spacing w:val="-12"/>
        </w:rPr>
        <w:t> </w:t>
      </w:r>
      <w:r>
        <w:rPr/>
        <w:t>to</w:t>
      </w:r>
      <w:r>
        <w:rPr>
          <w:spacing w:val="-10"/>
        </w:rPr>
        <w:t> </w:t>
      </w:r>
      <w:r>
        <w:rPr/>
        <w:t>low-</w:t>
      </w:r>
      <w:r>
        <w:rPr>
          <w:spacing w:val="-11"/>
        </w:rPr>
        <w:t> </w:t>
      </w:r>
      <w:r>
        <w:rPr/>
        <w:t>and moderate-income</w:t>
      </w:r>
      <w:r>
        <w:rPr>
          <w:spacing w:val="-7"/>
        </w:rPr>
        <w:t> </w:t>
      </w:r>
      <w:r>
        <w:rPr/>
        <w:t>households</w:t>
      </w:r>
      <w:r>
        <w:rPr>
          <w:spacing w:val="-7"/>
        </w:rPr>
        <w:t> </w:t>
      </w:r>
      <w:r>
        <w:rPr/>
        <w:t>and,</w:t>
      </w:r>
      <w:r>
        <w:rPr>
          <w:spacing w:val="-8"/>
        </w:rPr>
        <w:t> </w:t>
      </w:r>
      <w:r>
        <w:rPr/>
        <w:t>on</w:t>
      </w:r>
      <w:r>
        <w:rPr>
          <w:spacing w:val="-10"/>
        </w:rPr>
        <w:t> </w:t>
      </w:r>
      <w:r>
        <w:rPr/>
        <w:t>appropriate</w:t>
      </w:r>
      <w:r>
        <w:rPr>
          <w:spacing w:val="-7"/>
        </w:rPr>
        <w:t> </w:t>
      </w:r>
      <w:r>
        <w:rPr/>
        <w:t>parcels</w:t>
      </w:r>
      <w:r>
        <w:rPr>
          <w:spacing w:val="-9"/>
        </w:rPr>
        <w:t> </w:t>
      </w:r>
      <w:r>
        <w:rPr/>
        <w:t>of</w:t>
      </w:r>
      <w:r>
        <w:rPr>
          <w:spacing w:val="-6"/>
        </w:rPr>
        <w:t> </w:t>
      </w:r>
      <w:r>
        <w:rPr/>
        <w:t>land,</w:t>
      </w:r>
      <w:r>
        <w:rPr>
          <w:spacing w:val="-8"/>
        </w:rPr>
        <w:t> </w:t>
      </w:r>
      <w:r>
        <w:rPr/>
        <w:t>enable</w:t>
      </w:r>
      <w:r>
        <w:rPr>
          <w:spacing w:val="-12"/>
        </w:rPr>
        <w:t> </w:t>
      </w:r>
      <w:r>
        <w:rPr/>
        <w:t>the</w:t>
      </w:r>
      <w:r>
        <w:rPr>
          <w:spacing w:val="-7"/>
        </w:rPr>
        <w:t> </w:t>
      </w:r>
      <w:r>
        <w:rPr/>
        <w:t>City</w:t>
      </w:r>
      <w:r>
        <w:rPr>
          <w:spacing w:val="-12"/>
        </w:rPr>
        <w:t> </w:t>
      </w:r>
      <w:r>
        <w:rPr/>
        <w:t>to</w:t>
      </w:r>
      <w:r>
        <w:rPr>
          <w:spacing w:val="-10"/>
        </w:rPr>
        <w:t> </w:t>
      </w:r>
      <w:r>
        <w:rPr/>
        <w:t>facilitate</w:t>
      </w:r>
      <w:r>
        <w:rPr>
          <w:spacing w:val="-10"/>
        </w:rPr>
        <w:t> </w:t>
      </w:r>
      <w:r>
        <w:rPr/>
        <w:t>the development of commercial uses such as neighborhood retail.</w:t>
      </w:r>
    </w:p>
    <w:p>
      <w:pPr>
        <w:pStyle w:val="BodyText"/>
      </w:pPr>
    </w:p>
    <w:p>
      <w:pPr>
        <w:pStyle w:val="Heading5"/>
        <w:ind w:left="119"/>
      </w:pPr>
      <w:r>
        <w:rPr/>
        <w:t>Consistency</w:t>
      </w:r>
      <w:r>
        <w:rPr>
          <w:spacing w:val="-11"/>
        </w:rPr>
        <w:t> </w:t>
      </w:r>
      <w:r>
        <w:rPr/>
        <w:t>with</w:t>
      </w:r>
      <w:r>
        <w:rPr>
          <w:spacing w:val="-8"/>
        </w:rPr>
        <w:t> </w:t>
      </w:r>
      <w:r>
        <w:rPr/>
        <w:t>City’s</w:t>
      </w:r>
      <w:r>
        <w:rPr>
          <w:spacing w:val="-7"/>
        </w:rPr>
        <w:t> </w:t>
      </w:r>
      <w:r>
        <w:rPr/>
        <w:t>Affordable</w:t>
      </w:r>
      <w:r>
        <w:rPr>
          <w:spacing w:val="-8"/>
        </w:rPr>
        <w:t> </w:t>
      </w:r>
      <w:r>
        <w:rPr/>
        <w:t>Housing</w:t>
      </w:r>
      <w:r>
        <w:rPr>
          <w:spacing w:val="-8"/>
        </w:rPr>
        <w:t> </w:t>
      </w:r>
      <w:r>
        <w:rPr/>
        <w:t>Development</w:t>
      </w:r>
      <w:r>
        <w:rPr>
          <w:spacing w:val="-7"/>
        </w:rPr>
        <w:t> </w:t>
      </w:r>
      <w:r>
        <w:rPr>
          <w:spacing w:val="-2"/>
        </w:rPr>
        <w:t>Goals</w:t>
      </w:r>
    </w:p>
    <w:p>
      <w:pPr>
        <w:pStyle w:val="BodyText"/>
        <w:spacing w:before="52"/>
        <w:ind w:left="119" w:right="156"/>
        <w:jc w:val="both"/>
      </w:pPr>
      <w:r>
        <w:rPr/>
        <w:t>The</w:t>
      </w:r>
      <w:r>
        <w:rPr>
          <w:spacing w:val="-7"/>
        </w:rPr>
        <w:t> </w:t>
      </w:r>
      <w:r>
        <w:rPr/>
        <w:t>operation</w:t>
      </w:r>
      <w:r>
        <w:rPr>
          <w:spacing w:val="-10"/>
        </w:rPr>
        <w:t> </w:t>
      </w:r>
      <w:r>
        <w:rPr/>
        <w:t>of</w:t>
      </w:r>
      <w:r>
        <w:rPr>
          <w:spacing w:val="-11"/>
        </w:rPr>
        <w:t> </w:t>
      </w:r>
      <w:r>
        <w:rPr/>
        <w:t>the</w:t>
      </w:r>
      <w:r>
        <w:rPr>
          <w:spacing w:val="-10"/>
        </w:rPr>
        <w:t> </w:t>
      </w:r>
      <w:r>
        <w:rPr/>
        <w:t>Land</w:t>
      </w:r>
      <w:r>
        <w:rPr>
          <w:spacing w:val="-7"/>
        </w:rPr>
        <w:t> </w:t>
      </w:r>
      <w:r>
        <w:rPr/>
        <w:t>Transfer</w:t>
      </w:r>
      <w:r>
        <w:rPr>
          <w:spacing w:val="-9"/>
        </w:rPr>
        <w:t> </w:t>
      </w:r>
      <w:r>
        <w:rPr/>
        <w:t>Program</w:t>
      </w:r>
      <w:r>
        <w:rPr>
          <w:spacing w:val="-9"/>
        </w:rPr>
        <w:t> </w:t>
      </w:r>
      <w:r>
        <w:rPr/>
        <w:t>shall</w:t>
      </w:r>
      <w:r>
        <w:rPr>
          <w:spacing w:val="-8"/>
        </w:rPr>
        <w:t> </w:t>
      </w:r>
      <w:r>
        <w:rPr/>
        <w:t>align</w:t>
      </w:r>
      <w:r>
        <w:rPr>
          <w:spacing w:val="-7"/>
        </w:rPr>
        <w:t> </w:t>
      </w:r>
      <w:r>
        <w:rPr/>
        <w:t>with</w:t>
      </w:r>
      <w:r>
        <w:rPr>
          <w:spacing w:val="-12"/>
        </w:rPr>
        <w:t> </w:t>
      </w:r>
      <w:r>
        <w:rPr/>
        <w:t>the</w:t>
      </w:r>
      <w:r>
        <w:rPr>
          <w:spacing w:val="-10"/>
        </w:rPr>
        <w:t> </w:t>
      </w:r>
      <w:r>
        <w:rPr/>
        <w:t>City’s</w:t>
      </w:r>
      <w:r>
        <w:rPr>
          <w:spacing w:val="-7"/>
        </w:rPr>
        <w:t> </w:t>
      </w:r>
      <w:r>
        <w:rPr/>
        <w:t>existing</w:t>
      </w:r>
      <w:r>
        <w:rPr>
          <w:spacing w:val="-7"/>
        </w:rPr>
        <w:t> </w:t>
      </w:r>
      <w:r>
        <w:rPr/>
        <w:t>affordable</w:t>
      </w:r>
      <w:r>
        <w:rPr>
          <w:spacing w:val="-10"/>
        </w:rPr>
        <w:t> </w:t>
      </w:r>
      <w:r>
        <w:rPr/>
        <w:t>housing production</w:t>
      </w:r>
      <w:r>
        <w:rPr>
          <w:spacing w:val="-3"/>
        </w:rPr>
        <w:t> </w:t>
      </w:r>
      <w:r>
        <w:rPr/>
        <w:t>goals as</w:t>
      </w:r>
      <w:r>
        <w:rPr>
          <w:spacing w:val="-2"/>
        </w:rPr>
        <w:t> </w:t>
      </w:r>
      <w:r>
        <w:rPr/>
        <w:t>outlined in the</w:t>
      </w:r>
      <w:r>
        <w:rPr>
          <w:spacing w:val="-3"/>
        </w:rPr>
        <w:t> </w:t>
      </w:r>
      <w:r>
        <w:rPr/>
        <w:t>adopted Comprehensive Housing Policy. The</w:t>
      </w:r>
      <w:r>
        <w:rPr>
          <w:spacing w:val="-3"/>
        </w:rPr>
        <w:t> </w:t>
      </w:r>
      <w:r>
        <w:rPr/>
        <w:t>portfolio of real property sold</w:t>
      </w:r>
      <w:r>
        <w:rPr>
          <w:spacing w:val="-1"/>
        </w:rPr>
        <w:t> </w:t>
      </w:r>
      <w:r>
        <w:rPr/>
        <w:t>under</w:t>
      </w:r>
      <w:r>
        <w:rPr>
          <w:spacing w:val="-2"/>
        </w:rPr>
        <w:t> </w:t>
      </w:r>
      <w:r>
        <w:rPr/>
        <w:t>this</w:t>
      </w:r>
      <w:r>
        <w:rPr>
          <w:spacing w:val="-3"/>
        </w:rPr>
        <w:t> </w:t>
      </w:r>
      <w:r>
        <w:rPr/>
        <w:t>Program</w:t>
      </w:r>
      <w:r>
        <w:rPr>
          <w:spacing w:val="-2"/>
        </w:rPr>
        <w:t> </w:t>
      </w:r>
      <w:r>
        <w:rPr/>
        <w:t>shall</w:t>
      </w:r>
      <w:r>
        <w:rPr>
          <w:spacing w:val="-1"/>
        </w:rPr>
        <w:t> </w:t>
      </w:r>
      <w:r>
        <w:rPr/>
        <w:t>be</w:t>
      </w:r>
      <w:r>
        <w:rPr>
          <w:spacing w:val="-1"/>
        </w:rPr>
        <w:t> </w:t>
      </w:r>
      <w:r>
        <w:rPr/>
        <w:t>developed</w:t>
      </w:r>
      <w:r>
        <w:rPr>
          <w:spacing w:val="-1"/>
        </w:rPr>
        <w:t> </w:t>
      </w:r>
      <w:r>
        <w:rPr/>
        <w:t>to</w:t>
      </w:r>
      <w:r>
        <w:rPr>
          <w:spacing w:val="-1"/>
        </w:rPr>
        <w:t> </w:t>
      </w:r>
      <w:r>
        <w:rPr/>
        <w:t>serve</w:t>
      </w:r>
      <w:r>
        <w:rPr>
          <w:spacing w:val="-1"/>
        </w:rPr>
        <w:t> </w:t>
      </w:r>
      <w:r>
        <w:rPr/>
        <w:t>the</w:t>
      </w:r>
      <w:r>
        <w:rPr>
          <w:spacing w:val="-3"/>
        </w:rPr>
        <w:t> </w:t>
      </w:r>
      <w:r>
        <w:rPr/>
        <w:t>range</w:t>
      </w:r>
      <w:r>
        <w:rPr>
          <w:spacing w:val="-1"/>
        </w:rPr>
        <w:t> </w:t>
      </w:r>
      <w:r>
        <w:rPr/>
        <w:t>of</w:t>
      </w:r>
      <w:r>
        <w:rPr>
          <w:spacing w:val="-1"/>
        </w:rPr>
        <w:t> </w:t>
      </w:r>
      <w:r>
        <w:rPr/>
        <w:t>income</w:t>
      </w:r>
      <w:r>
        <w:rPr>
          <w:spacing w:val="-1"/>
        </w:rPr>
        <w:t> </w:t>
      </w:r>
      <w:r>
        <w:rPr/>
        <w:t>bands as well as the percentage of each income band identified in the production goals of the Comprehensive Housing Policy.</w:t>
      </w:r>
    </w:p>
    <w:p>
      <w:pPr>
        <w:pStyle w:val="BodyText"/>
        <w:spacing w:before="10"/>
        <w:rPr>
          <w:sz w:val="21"/>
        </w:rPr>
      </w:pPr>
    </w:p>
    <w:p>
      <w:pPr>
        <w:pStyle w:val="BodyText"/>
        <w:ind w:left="119" w:right="154"/>
        <w:jc w:val="both"/>
      </w:pPr>
      <w:r>
        <w:rPr/>
        <w:t>When seeking City Council approval to sell a parcel or parcels of real property pursuant to this Program, staff must identify the proposed developer, indicate the income band for which the parcel(s) of real property is reserved, and provide the City Council with a map depicting the location of the real property that contains the current Market Value Analysis (MVA) and Racially and</w:t>
      </w:r>
      <w:r>
        <w:rPr>
          <w:spacing w:val="-16"/>
        </w:rPr>
        <w:t> </w:t>
      </w:r>
      <w:r>
        <w:rPr/>
        <w:t>Ethnically</w:t>
      </w:r>
      <w:r>
        <w:rPr>
          <w:spacing w:val="-13"/>
        </w:rPr>
        <w:t> </w:t>
      </w:r>
      <w:r>
        <w:rPr/>
        <w:t>Concentrated</w:t>
      </w:r>
      <w:r>
        <w:rPr>
          <w:spacing w:val="-14"/>
        </w:rPr>
        <w:t> </w:t>
      </w:r>
      <w:r>
        <w:rPr/>
        <w:t>Areas</w:t>
      </w:r>
      <w:r>
        <w:rPr>
          <w:spacing w:val="-13"/>
        </w:rPr>
        <w:t> </w:t>
      </w:r>
      <w:r>
        <w:rPr/>
        <w:t>of</w:t>
      </w:r>
      <w:r>
        <w:rPr>
          <w:spacing w:val="-12"/>
        </w:rPr>
        <w:t> </w:t>
      </w:r>
      <w:r>
        <w:rPr/>
        <w:t>Poverty</w:t>
      </w:r>
      <w:r>
        <w:rPr>
          <w:spacing w:val="-16"/>
        </w:rPr>
        <w:t> </w:t>
      </w:r>
      <w:r>
        <w:rPr/>
        <w:t>(R/ECAP)</w:t>
      </w:r>
      <w:r>
        <w:rPr>
          <w:spacing w:val="-12"/>
        </w:rPr>
        <w:t> </w:t>
      </w:r>
      <w:r>
        <w:rPr/>
        <w:t>data</w:t>
      </w:r>
      <w:r>
        <w:rPr>
          <w:spacing w:val="-14"/>
        </w:rPr>
        <w:t> </w:t>
      </w:r>
      <w:r>
        <w:rPr/>
        <w:t>layers,</w:t>
      </w:r>
      <w:r>
        <w:rPr>
          <w:spacing w:val="-12"/>
        </w:rPr>
        <w:t> </w:t>
      </w:r>
      <w:r>
        <w:rPr/>
        <w:t>if</w:t>
      </w:r>
      <w:r>
        <w:rPr>
          <w:spacing w:val="-12"/>
        </w:rPr>
        <w:t> </w:t>
      </w:r>
      <w:r>
        <w:rPr/>
        <w:t>such</w:t>
      </w:r>
      <w:r>
        <w:rPr>
          <w:spacing w:val="-16"/>
        </w:rPr>
        <w:t> </w:t>
      </w:r>
      <w:r>
        <w:rPr/>
        <w:t>layers</w:t>
      </w:r>
      <w:r>
        <w:rPr>
          <w:spacing w:val="-13"/>
        </w:rPr>
        <w:t> </w:t>
      </w:r>
      <w:r>
        <w:rPr/>
        <w:t>exist.</w:t>
      </w:r>
      <w:r>
        <w:rPr>
          <w:spacing w:val="-12"/>
        </w:rPr>
        <w:t> </w:t>
      </w:r>
      <w:r>
        <w:rPr/>
        <w:t>The</w:t>
      </w:r>
      <w:r>
        <w:rPr>
          <w:spacing w:val="-14"/>
        </w:rPr>
        <w:t> </w:t>
      </w:r>
      <w:r>
        <w:rPr/>
        <w:t>map must also depict the location of all parcels of real property previously sold to the proposed developer pursuant to</w:t>
      </w:r>
      <w:r>
        <w:rPr>
          <w:spacing w:val="-4"/>
        </w:rPr>
        <w:t> </w:t>
      </w:r>
      <w:r>
        <w:rPr/>
        <w:t>this</w:t>
      </w:r>
      <w:r>
        <w:rPr>
          <w:spacing w:val="-1"/>
        </w:rPr>
        <w:t> </w:t>
      </w:r>
      <w:r>
        <w:rPr/>
        <w:t>Program or any</w:t>
      </w:r>
      <w:r>
        <w:rPr>
          <w:spacing w:val="-4"/>
        </w:rPr>
        <w:t> </w:t>
      </w:r>
      <w:r>
        <w:rPr/>
        <w:t>other</w:t>
      </w:r>
      <w:r>
        <w:rPr>
          <w:spacing w:val="-3"/>
        </w:rPr>
        <w:t> </w:t>
      </w:r>
      <w:r>
        <w:rPr/>
        <w:t>City</w:t>
      </w:r>
      <w:r>
        <w:rPr>
          <w:spacing w:val="-1"/>
        </w:rPr>
        <w:t> </w:t>
      </w:r>
      <w:r>
        <w:rPr/>
        <w:t>affordable</w:t>
      </w:r>
      <w:r>
        <w:rPr>
          <w:spacing w:val="-2"/>
        </w:rPr>
        <w:t> </w:t>
      </w:r>
      <w:r>
        <w:rPr/>
        <w:t>housing</w:t>
      </w:r>
      <w:r>
        <w:rPr>
          <w:spacing w:val="-2"/>
        </w:rPr>
        <w:t> </w:t>
      </w:r>
      <w:r>
        <w:rPr/>
        <w:t>program in</w:t>
      </w:r>
      <w:r>
        <w:rPr>
          <w:spacing w:val="-2"/>
        </w:rPr>
        <w:t> </w:t>
      </w:r>
      <w:r>
        <w:rPr/>
        <w:t>the</w:t>
      </w:r>
      <w:r>
        <w:rPr>
          <w:spacing w:val="-2"/>
        </w:rPr>
        <w:t> </w:t>
      </w:r>
      <w:r>
        <w:rPr/>
        <w:t>past two years and the income bands for which each parcel of real property was reserved.</w:t>
      </w:r>
    </w:p>
    <w:p>
      <w:pPr>
        <w:pStyle w:val="BodyText"/>
      </w:pPr>
    </w:p>
    <w:p>
      <w:pPr>
        <w:pStyle w:val="BodyText"/>
        <w:ind w:left="119" w:right="153"/>
        <w:jc w:val="both"/>
      </w:pPr>
      <w:r>
        <w:rPr/>
        <w:t>On an annual basis, the Housing and Neighborhood Revitalization Department, or its successor department, shall brief the appropriate City Council committee regarding the year-to-date production data for the Program.</w:t>
      </w:r>
    </w:p>
    <w:p>
      <w:pPr>
        <w:pStyle w:val="BodyText"/>
        <w:spacing w:before="5"/>
        <w:rPr>
          <w:sz w:val="26"/>
        </w:rPr>
      </w:pPr>
    </w:p>
    <w:p>
      <w:pPr>
        <w:pStyle w:val="Heading5"/>
        <w:ind w:left="119"/>
      </w:pPr>
      <w:r>
        <w:rPr/>
        <w:t>Consistency</w:t>
      </w:r>
      <w:r>
        <w:rPr>
          <w:spacing w:val="-7"/>
        </w:rPr>
        <w:t> </w:t>
      </w:r>
      <w:r>
        <w:rPr/>
        <w:t>with</w:t>
      </w:r>
      <w:r>
        <w:rPr>
          <w:spacing w:val="-6"/>
        </w:rPr>
        <w:t> </w:t>
      </w:r>
      <w:r>
        <w:rPr/>
        <w:t>Fair</w:t>
      </w:r>
      <w:r>
        <w:rPr>
          <w:spacing w:val="-6"/>
        </w:rPr>
        <w:t> </w:t>
      </w:r>
      <w:r>
        <w:rPr/>
        <w:t>Housing</w:t>
      </w:r>
      <w:r>
        <w:rPr>
          <w:spacing w:val="-4"/>
        </w:rPr>
        <w:t> Laws</w:t>
      </w:r>
    </w:p>
    <w:p>
      <w:pPr>
        <w:pStyle w:val="BodyText"/>
        <w:spacing w:before="50"/>
        <w:ind w:left="119" w:right="155"/>
        <w:jc w:val="both"/>
      </w:pPr>
      <w:r>
        <w:rPr/>
        <w:t>On an annual basis, the Land Transfer Program will be reviewed by the Office of Equity and Human Rights, or its successor department, to ensure that the Program is being operated in a manner</w:t>
      </w:r>
      <w:r>
        <w:rPr>
          <w:spacing w:val="-5"/>
        </w:rPr>
        <w:t> </w:t>
      </w:r>
      <w:r>
        <w:rPr/>
        <w:t>that</w:t>
      </w:r>
      <w:r>
        <w:rPr>
          <w:spacing w:val="-3"/>
        </w:rPr>
        <w:t> </w:t>
      </w:r>
      <w:r>
        <w:rPr/>
        <w:t>is</w:t>
      </w:r>
      <w:r>
        <w:rPr>
          <w:spacing w:val="-4"/>
        </w:rPr>
        <w:t> </w:t>
      </w:r>
      <w:r>
        <w:rPr/>
        <w:t>consistent</w:t>
      </w:r>
      <w:r>
        <w:rPr>
          <w:spacing w:val="-5"/>
        </w:rPr>
        <w:t> </w:t>
      </w:r>
      <w:r>
        <w:rPr/>
        <w:t>with</w:t>
      </w:r>
      <w:r>
        <w:rPr>
          <w:spacing w:val="-4"/>
        </w:rPr>
        <w:t> </w:t>
      </w:r>
      <w:r>
        <w:rPr/>
        <w:t>fair</w:t>
      </w:r>
      <w:r>
        <w:rPr>
          <w:spacing w:val="-5"/>
        </w:rPr>
        <w:t> </w:t>
      </w:r>
      <w:r>
        <w:rPr/>
        <w:t>housing</w:t>
      </w:r>
      <w:r>
        <w:rPr>
          <w:spacing w:val="-4"/>
        </w:rPr>
        <w:t> </w:t>
      </w:r>
      <w:r>
        <w:rPr/>
        <w:t>laws.</w:t>
      </w:r>
      <w:r>
        <w:rPr>
          <w:spacing w:val="-5"/>
        </w:rPr>
        <w:t> </w:t>
      </w:r>
      <w:r>
        <w:rPr/>
        <w:t>The</w:t>
      </w:r>
      <w:r>
        <w:rPr>
          <w:spacing w:val="-4"/>
        </w:rPr>
        <w:t> </w:t>
      </w:r>
      <w:r>
        <w:rPr/>
        <w:t>City</w:t>
      </w:r>
      <w:r>
        <w:rPr>
          <w:spacing w:val="-4"/>
        </w:rPr>
        <w:t> </w:t>
      </w:r>
      <w:r>
        <w:rPr/>
        <w:t>will</w:t>
      </w:r>
      <w:r>
        <w:rPr>
          <w:spacing w:val="-5"/>
        </w:rPr>
        <w:t> </w:t>
      </w:r>
      <w:r>
        <w:rPr/>
        <w:t>collect</w:t>
      </w:r>
      <w:r>
        <w:rPr>
          <w:spacing w:val="-3"/>
        </w:rPr>
        <w:t> </w:t>
      </w:r>
      <w:r>
        <w:rPr/>
        <w:t>and</w:t>
      </w:r>
      <w:r>
        <w:rPr>
          <w:spacing w:val="-7"/>
        </w:rPr>
        <w:t> </w:t>
      </w:r>
      <w:r>
        <w:rPr/>
        <w:t>maintain</w:t>
      </w:r>
      <w:r>
        <w:rPr>
          <w:spacing w:val="-4"/>
        </w:rPr>
        <w:t> </w:t>
      </w:r>
      <w:r>
        <w:rPr/>
        <w:t>data</w:t>
      </w:r>
      <w:r>
        <w:rPr>
          <w:spacing w:val="-7"/>
        </w:rPr>
        <w:t> </w:t>
      </w:r>
      <w:r>
        <w:rPr/>
        <w:t>regarding the location of parcels of real property sold via the Program and demographic information regarding</w:t>
      </w:r>
      <w:r>
        <w:rPr>
          <w:spacing w:val="-5"/>
        </w:rPr>
        <w:t> </w:t>
      </w:r>
      <w:r>
        <w:rPr/>
        <w:t>the</w:t>
      </w:r>
      <w:r>
        <w:rPr>
          <w:spacing w:val="-7"/>
        </w:rPr>
        <w:t> </w:t>
      </w:r>
      <w:r>
        <w:rPr/>
        <w:t>eligible</w:t>
      </w:r>
      <w:r>
        <w:rPr>
          <w:spacing w:val="-5"/>
        </w:rPr>
        <w:t> </w:t>
      </w:r>
      <w:r>
        <w:rPr/>
        <w:t>households</w:t>
      </w:r>
      <w:r>
        <w:rPr>
          <w:spacing w:val="-5"/>
        </w:rPr>
        <w:t> </w:t>
      </w:r>
      <w:r>
        <w:rPr/>
        <w:t>who</w:t>
      </w:r>
      <w:r>
        <w:rPr>
          <w:spacing w:val="-5"/>
        </w:rPr>
        <w:t> </w:t>
      </w:r>
      <w:r>
        <w:rPr/>
        <w:t>occupy</w:t>
      </w:r>
      <w:r>
        <w:rPr>
          <w:spacing w:val="-5"/>
        </w:rPr>
        <w:t> </w:t>
      </w:r>
      <w:r>
        <w:rPr/>
        <w:t>housing</w:t>
      </w:r>
      <w:r>
        <w:rPr>
          <w:spacing w:val="-5"/>
        </w:rPr>
        <w:t> </w:t>
      </w:r>
      <w:r>
        <w:rPr/>
        <w:t>units</w:t>
      </w:r>
      <w:r>
        <w:rPr>
          <w:spacing w:val="-5"/>
        </w:rPr>
        <w:t> </w:t>
      </w:r>
      <w:r>
        <w:rPr/>
        <w:t>developed</w:t>
      </w:r>
      <w:r>
        <w:rPr>
          <w:spacing w:val="-5"/>
        </w:rPr>
        <w:t> </w:t>
      </w:r>
      <w:r>
        <w:rPr/>
        <w:t>pursuant</w:t>
      </w:r>
      <w:r>
        <w:rPr>
          <w:spacing w:val="-6"/>
        </w:rPr>
        <w:t> </w:t>
      </w:r>
      <w:r>
        <w:rPr/>
        <w:t>to</w:t>
      </w:r>
      <w:r>
        <w:rPr>
          <w:spacing w:val="-7"/>
        </w:rPr>
        <w:t> </w:t>
      </w:r>
      <w:r>
        <w:rPr/>
        <w:t>the</w:t>
      </w:r>
      <w:r>
        <w:rPr>
          <w:spacing w:val="-5"/>
        </w:rPr>
        <w:t> </w:t>
      </w:r>
      <w:r>
        <w:rPr/>
        <w:t>Program.</w:t>
      </w:r>
    </w:p>
    <w:p>
      <w:pPr>
        <w:pStyle w:val="BodyText"/>
        <w:spacing w:before="10"/>
        <w:rPr>
          <w:sz w:val="21"/>
        </w:rPr>
      </w:pPr>
    </w:p>
    <w:p>
      <w:pPr>
        <w:pStyle w:val="Heading5"/>
      </w:pPr>
      <w:r>
        <w:rPr/>
        <w:t>Application</w:t>
      </w:r>
      <w:r>
        <w:rPr>
          <w:spacing w:val="-6"/>
        </w:rPr>
        <w:t> </w:t>
      </w:r>
      <w:r>
        <w:rPr/>
        <w:t>Process</w:t>
      </w:r>
      <w:r>
        <w:rPr>
          <w:spacing w:val="-6"/>
        </w:rPr>
        <w:t> </w:t>
      </w:r>
      <w:r>
        <w:rPr/>
        <w:t>for</w:t>
      </w:r>
      <w:r>
        <w:rPr>
          <w:spacing w:val="-4"/>
        </w:rPr>
        <w:t> </w:t>
      </w:r>
      <w:r>
        <w:rPr/>
        <w:t>Submitting</w:t>
      </w:r>
      <w:r>
        <w:rPr>
          <w:spacing w:val="-6"/>
        </w:rPr>
        <w:t> </w:t>
      </w:r>
      <w:r>
        <w:rPr/>
        <w:t>a</w:t>
      </w:r>
      <w:r>
        <w:rPr>
          <w:spacing w:val="-5"/>
        </w:rPr>
        <w:t> </w:t>
      </w:r>
      <w:r>
        <w:rPr/>
        <w:t>Proposal</w:t>
      </w:r>
      <w:r>
        <w:rPr>
          <w:spacing w:val="-5"/>
        </w:rPr>
        <w:t> </w:t>
      </w:r>
      <w:r>
        <w:rPr/>
        <w:t>to</w:t>
      </w:r>
      <w:r>
        <w:rPr>
          <w:spacing w:val="-4"/>
        </w:rPr>
        <w:t> </w:t>
      </w:r>
      <w:r>
        <w:rPr/>
        <w:t>Purchase</w:t>
      </w:r>
      <w:r>
        <w:rPr>
          <w:spacing w:val="-6"/>
        </w:rPr>
        <w:t> </w:t>
      </w:r>
      <w:r>
        <w:rPr/>
        <w:t>Parcels</w:t>
      </w:r>
      <w:r>
        <w:rPr>
          <w:spacing w:val="-4"/>
        </w:rPr>
        <w:t> </w:t>
      </w:r>
      <w:r>
        <w:rPr/>
        <w:t>of</w:t>
      </w:r>
      <w:r>
        <w:rPr>
          <w:spacing w:val="-3"/>
        </w:rPr>
        <w:t> </w:t>
      </w:r>
      <w:r>
        <w:rPr/>
        <w:t>Real</w:t>
      </w:r>
      <w:r>
        <w:rPr>
          <w:spacing w:val="-5"/>
        </w:rPr>
        <w:t> </w:t>
      </w:r>
      <w:r>
        <w:rPr>
          <w:spacing w:val="-2"/>
        </w:rPr>
        <w:t>Property</w:t>
      </w:r>
    </w:p>
    <w:p>
      <w:pPr>
        <w:pStyle w:val="BodyText"/>
        <w:spacing w:before="51"/>
        <w:ind w:left="120" w:right="155"/>
        <w:jc w:val="both"/>
      </w:pPr>
      <w:r>
        <w:rPr/>
        <w:t>The</w:t>
      </w:r>
      <w:r>
        <w:rPr>
          <w:spacing w:val="-16"/>
        </w:rPr>
        <w:t> </w:t>
      </w:r>
      <w:r>
        <w:rPr/>
        <w:t>City</w:t>
      </w:r>
      <w:r>
        <w:rPr>
          <w:spacing w:val="-15"/>
        </w:rPr>
        <w:t> </w:t>
      </w:r>
      <w:r>
        <w:rPr/>
        <w:t>will</w:t>
      </w:r>
      <w:r>
        <w:rPr>
          <w:spacing w:val="-15"/>
        </w:rPr>
        <w:t> </w:t>
      </w:r>
      <w:r>
        <w:rPr/>
        <w:t>create,</w:t>
      </w:r>
      <w:r>
        <w:rPr>
          <w:spacing w:val="-16"/>
        </w:rPr>
        <w:t> </w:t>
      </w:r>
      <w:r>
        <w:rPr/>
        <w:t>and</w:t>
      </w:r>
      <w:r>
        <w:rPr>
          <w:spacing w:val="-15"/>
        </w:rPr>
        <w:t> </w:t>
      </w:r>
      <w:r>
        <w:rPr/>
        <w:t>will</w:t>
      </w:r>
      <w:r>
        <w:rPr>
          <w:spacing w:val="-15"/>
        </w:rPr>
        <w:t> </w:t>
      </w:r>
      <w:r>
        <w:rPr/>
        <w:t>periodically</w:t>
      </w:r>
      <w:r>
        <w:rPr>
          <w:spacing w:val="-14"/>
        </w:rPr>
        <w:t> </w:t>
      </w:r>
      <w:r>
        <w:rPr/>
        <w:t>update,</w:t>
      </w:r>
      <w:r>
        <w:rPr>
          <w:spacing w:val="-15"/>
        </w:rPr>
        <w:t> </w:t>
      </w:r>
      <w:r>
        <w:rPr/>
        <w:t>an</w:t>
      </w:r>
      <w:r>
        <w:rPr>
          <w:spacing w:val="-14"/>
        </w:rPr>
        <w:t> </w:t>
      </w:r>
      <w:r>
        <w:rPr/>
        <w:t>application</w:t>
      </w:r>
      <w:r>
        <w:rPr>
          <w:spacing w:val="-16"/>
        </w:rPr>
        <w:t> </w:t>
      </w:r>
      <w:r>
        <w:rPr/>
        <w:t>that</w:t>
      </w:r>
      <w:r>
        <w:rPr>
          <w:spacing w:val="-15"/>
        </w:rPr>
        <w:t> </w:t>
      </w:r>
      <w:r>
        <w:rPr/>
        <w:t>is</w:t>
      </w:r>
      <w:r>
        <w:rPr>
          <w:spacing w:val="-15"/>
        </w:rPr>
        <w:t> </w:t>
      </w:r>
      <w:r>
        <w:rPr/>
        <w:t>consistent</w:t>
      </w:r>
      <w:r>
        <w:rPr>
          <w:spacing w:val="-15"/>
        </w:rPr>
        <w:t> </w:t>
      </w:r>
      <w:r>
        <w:rPr/>
        <w:t>with</w:t>
      </w:r>
      <w:r>
        <w:rPr>
          <w:spacing w:val="-16"/>
        </w:rPr>
        <w:t> </w:t>
      </w:r>
      <w:r>
        <w:rPr/>
        <w:t>this</w:t>
      </w:r>
      <w:r>
        <w:rPr>
          <w:spacing w:val="-15"/>
        </w:rPr>
        <w:t> </w:t>
      </w:r>
      <w:r>
        <w:rPr/>
        <w:t>Program and</w:t>
      </w:r>
      <w:r>
        <w:rPr>
          <w:spacing w:val="-6"/>
        </w:rPr>
        <w:t> </w:t>
      </w:r>
      <w:r>
        <w:rPr/>
        <w:t>the</w:t>
      </w:r>
      <w:r>
        <w:rPr>
          <w:spacing w:val="-6"/>
        </w:rPr>
        <w:t> </w:t>
      </w:r>
      <w:r>
        <w:rPr/>
        <w:t>authorizing</w:t>
      </w:r>
      <w:r>
        <w:rPr>
          <w:spacing w:val="-6"/>
        </w:rPr>
        <w:t> </w:t>
      </w:r>
      <w:r>
        <w:rPr/>
        <w:t>state</w:t>
      </w:r>
      <w:r>
        <w:rPr>
          <w:spacing w:val="-11"/>
        </w:rPr>
        <w:t> </w:t>
      </w:r>
      <w:r>
        <w:rPr/>
        <w:t>statute</w:t>
      </w:r>
      <w:r>
        <w:rPr>
          <w:spacing w:val="-6"/>
        </w:rPr>
        <w:t> </w:t>
      </w:r>
      <w:r>
        <w:rPr/>
        <w:t>or</w:t>
      </w:r>
      <w:r>
        <w:rPr>
          <w:spacing w:val="-5"/>
        </w:rPr>
        <w:t> </w:t>
      </w:r>
      <w:r>
        <w:rPr/>
        <w:t>city</w:t>
      </w:r>
      <w:r>
        <w:rPr>
          <w:spacing w:val="-8"/>
        </w:rPr>
        <w:t> </w:t>
      </w:r>
      <w:r>
        <w:rPr/>
        <w:t>ordinance</w:t>
      </w:r>
      <w:r>
        <w:rPr>
          <w:spacing w:val="-9"/>
        </w:rPr>
        <w:t> </w:t>
      </w:r>
      <w:r>
        <w:rPr/>
        <w:t>to</w:t>
      </w:r>
      <w:r>
        <w:rPr>
          <w:spacing w:val="-6"/>
        </w:rPr>
        <w:t> </w:t>
      </w:r>
      <w:r>
        <w:rPr/>
        <w:t>be</w:t>
      </w:r>
      <w:r>
        <w:rPr>
          <w:spacing w:val="-6"/>
        </w:rPr>
        <w:t> </w:t>
      </w:r>
      <w:r>
        <w:rPr/>
        <w:t>used</w:t>
      </w:r>
      <w:r>
        <w:rPr>
          <w:spacing w:val="-6"/>
        </w:rPr>
        <w:t> </w:t>
      </w:r>
      <w:r>
        <w:rPr/>
        <w:t>by</w:t>
      </w:r>
      <w:r>
        <w:rPr>
          <w:spacing w:val="-8"/>
        </w:rPr>
        <w:t> </w:t>
      </w:r>
      <w:r>
        <w:rPr/>
        <w:t>developers</w:t>
      </w:r>
      <w:r>
        <w:rPr>
          <w:spacing w:val="-11"/>
        </w:rPr>
        <w:t> </w:t>
      </w:r>
      <w:r>
        <w:rPr/>
        <w:t>who</w:t>
      </w:r>
      <w:r>
        <w:rPr>
          <w:spacing w:val="-6"/>
        </w:rPr>
        <w:t> </w:t>
      </w:r>
      <w:r>
        <w:rPr/>
        <w:t>are</w:t>
      </w:r>
      <w:r>
        <w:rPr>
          <w:spacing w:val="-6"/>
        </w:rPr>
        <w:t> </w:t>
      </w:r>
      <w:r>
        <w:rPr/>
        <w:t>interested</w:t>
      </w:r>
      <w:r>
        <w:rPr>
          <w:spacing w:val="-9"/>
        </w:rPr>
        <w:t> </w:t>
      </w:r>
      <w:r>
        <w:rPr/>
        <w:t>in purchasing</w:t>
      </w:r>
      <w:r>
        <w:rPr>
          <w:spacing w:val="-4"/>
        </w:rPr>
        <w:t> </w:t>
      </w:r>
      <w:r>
        <w:rPr/>
        <w:t>real</w:t>
      </w:r>
      <w:r>
        <w:rPr>
          <w:spacing w:val="-5"/>
        </w:rPr>
        <w:t> </w:t>
      </w:r>
      <w:r>
        <w:rPr/>
        <w:t>property</w:t>
      </w:r>
      <w:r>
        <w:rPr>
          <w:spacing w:val="-6"/>
        </w:rPr>
        <w:t> </w:t>
      </w:r>
      <w:r>
        <w:rPr/>
        <w:t>pursuant</w:t>
      </w:r>
      <w:r>
        <w:rPr>
          <w:spacing w:val="-5"/>
        </w:rPr>
        <w:t> </w:t>
      </w:r>
      <w:r>
        <w:rPr/>
        <w:t>to</w:t>
      </w:r>
      <w:r>
        <w:rPr>
          <w:spacing w:val="-7"/>
        </w:rPr>
        <w:t> </w:t>
      </w:r>
      <w:r>
        <w:rPr/>
        <w:t>the</w:t>
      </w:r>
      <w:r>
        <w:rPr>
          <w:spacing w:val="-4"/>
        </w:rPr>
        <w:t> </w:t>
      </w:r>
      <w:r>
        <w:rPr/>
        <w:t>Land</w:t>
      </w:r>
      <w:r>
        <w:rPr>
          <w:spacing w:val="-4"/>
        </w:rPr>
        <w:t> </w:t>
      </w:r>
      <w:r>
        <w:rPr/>
        <w:t>Transfer</w:t>
      </w:r>
      <w:r>
        <w:rPr>
          <w:spacing w:val="-3"/>
        </w:rPr>
        <w:t> </w:t>
      </w:r>
      <w:r>
        <w:rPr/>
        <w:t>Program.</w:t>
      </w:r>
      <w:r>
        <w:rPr>
          <w:spacing w:val="-3"/>
        </w:rPr>
        <w:t> </w:t>
      </w:r>
      <w:r>
        <w:rPr/>
        <w:t>The</w:t>
      </w:r>
      <w:r>
        <w:rPr>
          <w:spacing w:val="-4"/>
        </w:rPr>
        <w:t> </w:t>
      </w:r>
      <w:r>
        <w:rPr/>
        <w:t>City</w:t>
      </w:r>
      <w:r>
        <w:rPr>
          <w:spacing w:val="-6"/>
        </w:rPr>
        <w:t> </w:t>
      </w:r>
      <w:r>
        <w:rPr/>
        <w:t>may</w:t>
      </w:r>
      <w:r>
        <w:rPr>
          <w:spacing w:val="-4"/>
        </w:rPr>
        <w:t> </w:t>
      </w:r>
      <w:r>
        <w:rPr/>
        <w:t>accept</w:t>
      </w:r>
      <w:r>
        <w:rPr>
          <w:spacing w:val="-3"/>
        </w:rPr>
        <w:t> </w:t>
      </w:r>
      <w:r>
        <w:rPr/>
        <w:t>proposals to purchase lots on a rolling basis or may solicit purchase proposals through a competitive solicitation</w:t>
      </w:r>
      <w:r>
        <w:rPr>
          <w:spacing w:val="31"/>
        </w:rPr>
        <w:t> </w:t>
      </w:r>
      <w:r>
        <w:rPr/>
        <w:t>process.</w:t>
      </w:r>
      <w:r>
        <w:rPr>
          <w:spacing w:val="30"/>
        </w:rPr>
        <w:t> </w:t>
      </w:r>
      <w:r>
        <w:rPr/>
        <w:t>Only</w:t>
      </w:r>
      <w:r>
        <w:rPr>
          <w:spacing w:val="31"/>
        </w:rPr>
        <w:t> </w:t>
      </w:r>
      <w:r>
        <w:rPr/>
        <w:t>proposals</w:t>
      </w:r>
      <w:r>
        <w:rPr>
          <w:spacing w:val="29"/>
        </w:rPr>
        <w:t> </w:t>
      </w:r>
      <w:r>
        <w:rPr/>
        <w:t>that</w:t>
      </w:r>
      <w:r>
        <w:rPr>
          <w:spacing w:val="30"/>
        </w:rPr>
        <w:t> </w:t>
      </w:r>
      <w:r>
        <w:rPr/>
        <w:t>meet</w:t>
      </w:r>
      <w:r>
        <w:rPr>
          <w:spacing w:val="32"/>
        </w:rPr>
        <w:t> </w:t>
      </w:r>
      <w:r>
        <w:rPr/>
        <w:t>or</w:t>
      </w:r>
      <w:r>
        <w:rPr>
          <w:spacing w:val="32"/>
        </w:rPr>
        <w:t> </w:t>
      </w:r>
      <w:r>
        <w:rPr/>
        <w:t>exceed</w:t>
      </w:r>
      <w:r>
        <w:rPr>
          <w:spacing w:val="29"/>
        </w:rPr>
        <w:t> </w:t>
      </w:r>
      <w:r>
        <w:rPr/>
        <w:t>the</w:t>
      </w:r>
      <w:r>
        <w:rPr>
          <w:spacing w:val="28"/>
        </w:rPr>
        <w:t> </w:t>
      </w:r>
      <w:r>
        <w:rPr/>
        <w:t>minimum</w:t>
      </w:r>
      <w:r>
        <w:rPr>
          <w:spacing w:val="30"/>
        </w:rPr>
        <w:t> </w:t>
      </w:r>
      <w:r>
        <w:rPr/>
        <w:t>developer</w:t>
      </w:r>
      <w:r>
        <w:rPr>
          <w:spacing w:val="32"/>
        </w:rPr>
        <w:t> </w:t>
      </w:r>
      <w:r>
        <w:rPr/>
        <w:t>and</w:t>
      </w:r>
      <w:r>
        <w:rPr>
          <w:spacing w:val="31"/>
        </w:rPr>
        <w:t> </w:t>
      </w:r>
      <w:r>
        <w:rPr/>
        <w:t>project</w:t>
      </w:r>
    </w:p>
    <w:p>
      <w:pPr>
        <w:spacing w:after="0"/>
        <w:jc w:val="both"/>
        <w:sectPr>
          <w:footerReference w:type="default" r:id="rId18"/>
          <w:pgSz w:w="12240" w:h="15840"/>
          <w:pgMar w:footer="1176" w:header="0" w:top="1420" w:bottom="1360" w:left="1320" w:right="1280"/>
        </w:sectPr>
      </w:pPr>
    </w:p>
    <w:p>
      <w:pPr>
        <w:pStyle w:val="BodyText"/>
        <w:spacing w:before="80"/>
        <w:ind w:left="119" w:right="158"/>
        <w:jc w:val="both"/>
      </w:pPr>
      <w:r>
        <w:rPr/>
        <w:t>eligibility criteria will be referred to the appropriate City Council Committee for approval. City Council must approve all sale of real property through the Land Transfer Program.</w:t>
      </w:r>
    </w:p>
    <w:p>
      <w:pPr>
        <w:pStyle w:val="BodyText"/>
        <w:spacing w:before="10"/>
        <w:rPr>
          <w:sz w:val="21"/>
        </w:rPr>
      </w:pPr>
    </w:p>
    <w:p>
      <w:pPr>
        <w:pStyle w:val="BodyText"/>
        <w:spacing w:after="2"/>
        <w:ind w:left="119"/>
        <w:jc w:val="both"/>
      </w:pPr>
      <w:r>
        <w:rPr/>
        <w:pict>
          <v:shape style="position:absolute;margin-left:90.065002pt;margin-top:76.5513pt;width:395.3pt;height:419pt;mso-position-horizontal-relative:page;mso-position-vertical-relative:paragraph;z-index:-17701888" id="docshape86" coordorigin="1801,1531" coordsize="7906,8380" path="m4498,8795l4492,8721,4477,8643,4455,8560,4432,8491,4403,8419,4367,8344,4325,8266,4276,8186,4237,8127,4200,8076,4200,8761,4197,8818,4186,8875,4167,8932,4138,8992,4097,9054,4044,9120,3979,9190,3674,9495,2216,8038,2517,7737,2598,7661,2672,7601,2740,7557,2801,7531,2868,7516,2941,7512,3020,7519,3105,7537,3195,7566,3255,7592,3317,7624,3380,7663,3446,7708,3514,7759,3584,7817,3656,7882,3729,7953,3789,8015,3845,8075,3896,8134,3943,8192,3986,8248,4025,8304,4059,8358,4101,8432,4136,8505,4163,8574,4183,8641,4196,8705,4200,8761,4200,8076,4194,8067,4148,8007,4098,7946,4045,7885,3989,7824,3929,7762,3865,7700,3801,7641,3737,7586,3673,7535,3643,7512,3609,7487,3546,7442,3482,7401,3419,7363,3346,7326,3274,7293,3203,7266,3132,7244,3062,7227,2992,7215,2923,7208,2850,7206,2779,7213,2709,7228,2642,7251,2577,7281,2528,7310,2476,7347,2420,7392,2359,7446,2294,7509,1801,8002,3710,9910,4124,9495,4226,9394,4287,9328,4341,9263,4386,9197,4424,9131,4454,9064,4476,8998,4491,8931,4498,8863,4498,8795xm6418,7202l6056,7074,5650,6931,5561,6902,5475,6878,5393,6859,5365,6854,5314,6845,5239,6834,5193,6833,5143,6836,5089,6843,5030,6854,5073,6784,5109,6715,5136,6645,5154,6576,5164,6508,5165,6440,5157,6372,5139,6294,5111,6218,5075,6143,5030,6071,4976,6000,4956,5977,4913,5931,4872,5893,4872,6450,4868,6506,4854,6561,4830,6617,4794,6676,4747,6737,4687,6800,4280,7207,3649,6576,4102,6123,4166,6066,4229,6023,4293,5994,4358,5978,4422,5977,4501,5992,4577,6022,4649,6067,4718,6126,4761,6174,4797,6225,4827,6278,4851,6335,4867,6393,4872,6450,4872,5893,4849,5871,4782,5819,4713,5774,4641,5735,4566,5703,4474,5675,4386,5662,4303,5664,4225,5680,4163,5705,4098,5741,4030,5789,3958,5849,3883,5920,3248,6555,5157,8463,5346,8274,4499,7426,4718,7207,4753,7173,4783,7146,4810,7125,4833,7110,4863,7096,4896,7086,4932,7078,4971,7074,5014,7074,5066,7079,5125,7090,5194,7106,5256,7123,5328,7144,5407,7169,5496,7198,6180,7440,6418,7202xm7780,5839l7415,5644,6555,5190,6555,5497,6070,5982,6030,5911,5989,5839,5748,5409,5708,5337,5668,5265,5629,5200,5590,5135,5550,5071,5509,5008,5467,4946,5424,4884,5380,4824,5436,4860,5498,4897,5564,4937,5635,4979,5792,5070,6555,5497,6555,5190,5862,4824,5286,4517,5082,4721,5277,5072,5316,5142,5701,5839,6207,6758,6441,7179,6642,6978,6565,6844,6298,6376,6221,6243,6481,5982,6820,5644,7173,5839,7565,6055,7780,5839xm8131,5489l7264,4622,7936,3950,7711,3725,7039,4397,6448,3806,7224,3030,6999,2804,6033,3770,7941,5678,8131,5489xm9707,3913l8024,2230,8497,1756,8272,1531,7138,2666,7363,2891,7834,2419,9517,4102,9707,3913xe" filled="true" fillcolor="#c0c0c0" stroked="false">
            <v:path arrowok="t"/>
            <v:fill opacity="32896f" type="solid"/>
            <w10:wrap type="none"/>
          </v:shape>
        </w:pict>
      </w:r>
      <w:r>
        <w:rPr/>
        <w:t>Each</w:t>
      </w:r>
      <w:r>
        <w:rPr>
          <w:spacing w:val="-4"/>
        </w:rPr>
        <w:t> </w:t>
      </w:r>
      <w:r>
        <w:rPr/>
        <w:t>purchase</w:t>
      </w:r>
      <w:r>
        <w:rPr>
          <w:spacing w:val="-6"/>
        </w:rPr>
        <w:t> </w:t>
      </w:r>
      <w:r>
        <w:rPr/>
        <w:t>of</w:t>
      </w:r>
      <w:r>
        <w:rPr>
          <w:spacing w:val="-4"/>
        </w:rPr>
        <w:t> </w:t>
      </w:r>
      <w:r>
        <w:rPr/>
        <w:t>real</w:t>
      </w:r>
      <w:r>
        <w:rPr>
          <w:spacing w:val="-4"/>
        </w:rPr>
        <w:t> </w:t>
      </w:r>
      <w:r>
        <w:rPr/>
        <w:t>property</w:t>
      </w:r>
      <w:r>
        <w:rPr>
          <w:spacing w:val="-6"/>
        </w:rPr>
        <w:t> </w:t>
      </w:r>
      <w:r>
        <w:rPr/>
        <w:t>must</w:t>
      </w:r>
      <w:r>
        <w:rPr>
          <w:spacing w:val="-3"/>
        </w:rPr>
        <w:t> </w:t>
      </w:r>
      <w:r>
        <w:rPr/>
        <w:t>clarify</w:t>
      </w:r>
      <w:r>
        <w:rPr>
          <w:spacing w:val="-6"/>
        </w:rPr>
        <w:t> </w:t>
      </w:r>
      <w:r>
        <w:rPr/>
        <w:t>which</w:t>
      </w:r>
      <w:r>
        <w:rPr>
          <w:spacing w:val="-3"/>
        </w:rPr>
        <w:t> </w:t>
      </w:r>
      <w:r>
        <w:rPr/>
        <w:t>Texas</w:t>
      </w:r>
      <w:r>
        <w:rPr>
          <w:spacing w:val="-6"/>
        </w:rPr>
        <w:t> </w:t>
      </w:r>
      <w:r>
        <w:rPr/>
        <w:t>statute</w:t>
      </w:r>
      <w:r>
        <w:rPr>
          <w:spacing w:val="-5"/>
        </w:rPr>
        <w:t> </w:t>
      </w:r>
      <w:r>
        <w:rPr/>
        <w:t>it</w:t>
      </w:r>
      <w:r>
        <w:rPr>
          <w:spacing w:val="-2"/>
        </w:rPr>
        <w:t> </w:t>
      </w:r>
      <w:r>
        <w:rPr/>
        <w:t>is</w:t>
      </w:r>
      <w:r>
        <w:rPr>
          <w:spacing w:val="-6"/>
        </w:rPr>
        <w:t> </w:t>
      </w:r>
      <w:r>
        <w:rPr/>
        <w:t>operating</w:t>
      </w:r>
      <w:r>
        <w:rPr>
          <w:spacing w:val="-3"/>
        </w:rPr>
        <w:t> </w:t>
      </w:r>
      <w:r>
        <w:rPr>
          <w:spacing w:val="-2"/>
        </w:rPr>
        <w:t>under.</w:t>
      </w:r>
    </w:p>
    <w:p>
      <w:pPr>
        <w:pStyle w:val="BodyText"/>
        <w:ind w:left="120"/>
        <w:rPr>
          <w:sz w:val="20"/>
        </w:rPr>
      </w:pPr>
      <w:r>
        <w:rPr>
          <w:sz w:val="20"/>
        </w:rPr>
        <w:drawing>
          <wp:inline distT="0" distB="0" distL="0" distR="0">
            <wp:extent cx="5946291" cy="2782252"/>
            <wp:effectExtent l="0" t="0" r="0" b="0"/>
            <wp:docPr id="35" name="image14.png" descr="Table  Description automatically generated "/>
            <wp:cNvGraphicFramePr>
              <a:graphicFrameLocks noChangeAspect="1"/>
            </wp:cNvGraphicFramePr>
            <a:graphic>
              <a:graphicData uri="http://schemas.openxmlformats.org/drawingml/2006/picture">
                <pic:pic>
                  <pic:nvPicPr>
                    <pic:cNvPr id="36" name="image14.png"/>
                    <pic:cNvPicPr/>
                  </pic:nvPicPr>
                  <pic:blipFill>
                    <a:blip r:embed="rId19" cstate="print"/>
                    <a:stretch>
                      <a:fillRect/>
                    </a:stretch>
                  </pic:blipFill>
                  <pic:spPr>
                    <a:xfrm>
                      <a:off x="0" y="0"/>
                      <a:ext cx="5946291" cy="2782252"/>
                    </a:xfrm>
                    <a:prstGeom prst="rect">
                      <a:avLst/>
                    </a:prstGeom>
                  </pic:spPr>
                </pic:pic>
              </a:graphicData>
            </a:graphic>
          </wp:inline>
        </w:drawing>
      </w:r>
      <w:r>
        <w:rPr>
          <w:sz w:val="20"/>
        </w:rPr>
      </w:r>
    </w:p>
    <w:p>
      <w:pPr>
        <w:pStyle w:val="Heading5"/>
        <w:spacing w:before="204"/>
        <w:ind w:left="119"/>
      </w:pPr>
      <w:r>
        <w:rPr/>
        <w:t>Developer</w:t>
      </w:r>
      <w:r>
        <w:rPr>
          <w:spacing w:val="-8"/>
        </w:rPr>
        <w:t> </w:t>
      </w:r>
      <w:r>
        <w:rPr/>
        <w:t>Eligibility</w:t>
      </w:r>
      <w:r>
        <w:rPr>
          <w:spacing w:val="-7"/>
        </w:rPr>
        <w:t> </w:t>
      </w:r>
      <w:r>
        <w:rPr>
          <w:spacing w:val="-2"/>
        </w:rPr>
        <w:t>Criteria</w:t>
      </w:r>
    </w:p>
    <w:p>
      <w:pPr>
        <w:pStyle w:val="BodyText"/>
        <w:spacing w:before="49"/>
        <w:ind w:left="119" w:right="154"/>
        <w:jc w:val="both"/>
      </w:pPr>
      <w:r>
        <w:rPr/>
        <w:t>To</w:t>
      </w:r>
      <w:r>
        <w:rPr>
          <w:spacing w:val="-11"/>
        </w:rPr>
        <w:t> </w:t>
      </w:r>
      <w:r>
        <w:rPr/>
        <w:t>be</w:t>
      </w:r>
      <w:r>
        <w:rPr>
          <w:spacing w:val="-11"/>
        </w:rPr>
        <w:t> </w:t>
      </w:r>
      <w:r>
        <w:rPr/>
        <w:t>eligible</w:t>
      </w:r>
      <w:r>
        <w:rPr>
          <w:spacing w:val="-11"/>
        </w:rPr>
        <w:t> </w:t>
      </w:r>
      <w:r>
        <w:rPr/>
        <w:t>to</w:t>
      </w:r>
      <w:r>
        <w:rPr>
          <w:spacing w:val="-11"/>
        </w:rPr>
        <w:t> </w:t>
      </w:r>
      <w:r>
        <w:rPr/>
        <w:t>purchase</w:t>
      </w:r>
      <w:r>
        <w:rPr>
          <w:spacing w:val="-11"/>
        </w:rPr>
        <w:t> </w:t>
      </w:r>
      <w:r>
        <w:rPr/>
        <w:t>real</w:t>
      </w:r>
      <w:r>
        <w:rPr>
          <w:spacing w:val="-12"/>
        </w:rPr>
        <w:t> </w:t>
      </w:r>
      <w:r>
        <w:rPr/>
        <w:t>property</w:t>
      </w:r>
      <w:r>
        <w:rPr>
          <w:spacing w:val="-11"/>
        </w:rPr>
        <w:t> </w:t>
      </w:r>
      <w:r>
        <w:rPr/>
        <w:t>pursuant</w:t>
      </w:r>
      <w:r>
        <w:rPr>
          <w:spacing w:val="-12"/>
        </w:rPr>
        <w:t> </w:t>
      </w:r>
      <w:r>
        <w:rPr/>
        <w:t>to</w:t>
      </w:r>
      <w:r>
        <w:rPr>
          <w:spacing w:val="-11"/>
        </w:rPr>
        <w:t> </w:t>
      </w:r>
      <w:r>
        <w:rPr/>
        <w:t>the</w:t>
      </w:r>
      <w:r>
        <w:rPr>
          <w:spacing w:val="-11"/>
        </w:rPr>
        <w:t> </w:t>
      </w:r>
      <w:r>
        <w:rPr/>
        <w:t>Land</w:t>
      </w:r>
      <w:r>
        <w:rPr>
          <w:spacing w:val="-11"/>
        </w:rPr>
        <w:t> </w:t>
      </w:r>
      <w:r>
        <w:rPr/>
        <w:t>Transfer</w:t>
      </w:r>
      <w:r>
        <w:rPr>
          <w:spacing w:val="-10"/>
        </w:rPr>
        <w:t> </w:t>
      </w:r>
      <w:r>
        <w:rPr/>
        <w:t>Program,</w:t>
      </w:r>
      <w:r>
        <w:rPr>
          <w:spacing w:val="-10"/>
        </w:rPr>
        <w:t> </w:t>
      </w:r>
      <w:r>
        <w:rPr/>
        <w:t>a</w:t>
      </w:r>
      <w:r>
        <w:rPr>
          <w:spacing w:val="-11"/>
        </w:rPr>
        <w:t> </w:t>
      </w:r>
      <w:r>
        <w:rPr/>
        <w:t>developer</w:t>
      </w:r>
      <w:r>
        <w:rPr>
          <w:spacing w:val="-12"/>
        </w:rPr>
        <w:t> </w:t>
      </w:r>
      <w:r>
        <w:rPr/>
        <w:t>must meet</w:t>
      </w:r>
      <w:r>
        <w:rPr>
          <w:spacing w:val="-7"/>
        </w:rPr>
        <w:t> </w:t>
      </w:r>
      <w:r>
        <w:rPr/>
        <w:t>all</w:t>
      </w:r>
      <w:r>
        <w:rPr>
          <w:spacing w:val="-12"/>
        </w:rPr>
        <w:t> </w:t>
      </w:r>
      <w:r>
        <w:rPr/>
        <w:t>the</w:t>
      </w:r>
      <w:r>
        <w:rPr>
          <w:spacing w:val="-9"/>
        </w:rPr>
        <w:t> </w:t>
      </w:r>
      <w:r>
        <w:rPr/>
        <w:t>following</w:t>
      </w:r>
      <w:r>
        <w:rPr>
          <w:spacing w:val="-9"/>
        </w:rPr>
        <w:t> </w:t>
      </w:r>
      <w:r>
        <w:rPr/>
        <w:t>criteria,</w:t>
      </w:r>
      <w:r>
        <w:rPr>
          <w:spacing w:val="-7"/>
        </w:rPr>
        <w:t> </w:t>
      </w:r>
      <w:r>
        <w:rPr/>
        <w:t>unless</w:t>
      </w:r>
      <w:r>
        <w:rPr>
          <w:spacing w:val="-11"/>
        </w:rPr>
        <w:t> </w:t>
      </w:r>
      <w:r>
        <w:rPr/>
        <w:t>the</w:t>
      </w:r>
      <w:r>
        <w:rPr>
          <w:spacing w:val="-9"/>
        </w:rPr>
        <w:t> </w:t>
      </w:r>
      <w:r>
        <w:rPr/>
        <w:t>land</w:t>
      </w:r>
      <w:r>
        <w:rPr>
          <w:spacing w:val="-9"/>
        </w:rPr>
        <w:t> </w:t>
      </w:r>
      <w:r>
        <w:rPr/>
        <w:t>is</w:t>
      </w:r>
      <w:r>
        <w:rPr>
          <w:spacing w:val="-8"/>
        </w:rPr>
        <w:t> </w:t>
      </w:r>
      <w:r>
        <w:rPr/>
        <w:t>sold</w:t>
      </w:r>
      <w:r>
        <w:rPr>
          <w:spacing w:val="-9"/>
        </w:rPr>
        <w:t> </w:t>
      </w:r>
      <w:r>
        <w:rPr/>
        <w:t>pursuant</w:t>
      </w:r>
      <w:r>
        <w:rPr>
          <w:spacing w:val="-10"/>
        </w:rPr>
        <w:t> </w:t>
      </w:r>
      <w:r>
        <w:rPr/>
        <w:t>to</w:t>
      </w:r>
      <w:r>
        <w:rPr>
          <w:spacing w:val="-9"/>
        </w:rPr>
        <w:t> </w:t>
      </w:r>
      <w:r>
        <w:rPr/>
        <w:t>Dallas</w:t>
      </w:r>
      <w:r>
        <w:rPr>
          <w:spacing w:val="-8"/>
        </w:rPr>
        <w:t> </w:t>
      </w:r>
      <w:r>
        <w:rPr/>
        <w:t>City</w:t>
      </w:r>
      <w:r>
        <w:rPr>
          <w:spacing w:val="-11"/>
        </w:rPr>
        <w:t> </w:t>
      </w:r>
      <w:r>
        <w:rPr/>
        <w:t>Code</w:t>
      </w:r>
      <w:r>
        <w:rPr>
          <w:spacing w:val="-9"/>
        </w:rPr>
        <w:t> </w:t>
      </w:r>
      <w:r>
        <w:rPr/>
        <w:t>Section</w:t>
      </w:r>
      <w:r>
        <w:rPr>
          <w:spacing w:val="-9"/>
        </w:rPr>
        <w:t> </w:t>
      </w:r>
      <w:r>
        <w:rPr/>
        <w:t>2-26.4:</w:t>
      </w:r>
    </w:p>
    <w:p>
      <w:pPr>
        <w:pStyle w:val="ListParagraph"/>
        <w:numPr>
          <w:ilvl w:val="1"/>
          <w:numId w:val="16"/>
        </w:numPr>
        <w:tabs>
          <w:tab w:pos="841" w:val="left" w:leader="none"/>
        </w:tabs>
        <w:spacing w:line="237" w:lineRule="auto" w:before="5" w:after="0"/>
        <w:ind w:left="840" w:right="157" w:hanging="361"/>
        <w:jc w:val="both"/>
        <w:rPr>
          <w:rFonts w:ascii="Symbol" w:hAnsi="Symbol"/>
          <w:sz w:val="22"/>
        </w:rPr>
      </w:pPr>
      <w:r>
        <w:rPr>
          <w:sz w:val="22"/>
        </w:rPr>
        <w:t>Developer may be an</w:t>
      </w:r>
      <w:r>
        <w:rPr>
          <w:spacing w:val="-1"/>
          <w:sz w:val="22"/>
        </w:rPr>
        <w:t> </w:t>
      </w:r>
      <w:r>
        <w:rPr>
          <w:sz w:val="22"/>
        </w:rPr>
        <w:t>individual, or may</w:t>
      </w:r>
      <w:r>
        <w:rPr>
          <w:spacing w:val="-1"/>
          <w:sz w:val="22"/>
        </w:rPr>
        <w:t> </w:t>
      </w:r>
      <w:r>
        <w:rPr>
          <w:sz w:val="22"/>
        </w:rPr>
        <w:t>be</w:t>
      </w:r>
      <w:r>
        <w:rPr>
          <w:spacing w:val="-1"/>
          <w:sz w:val="22"/>
        </w:rPr>
        <w:t> </w:t>
      </w:r>
      <w:r>
        <w:rPr>
          <w:sz w:val="22"/>
        </w:rPr>
        <w:t>organized as</w:t>
      </w:r>
      <w:r>
        <w:rPr>
          <w:spacing w:val="-1"/>
          <w:sz w:val="22"/>
        </w:rPr>
        <w:t> </w:t>
      </w:r>
      <w:r>
        <w:rPr>
          <w:sz w:val="22"/>
        </w:rPr>
        <w:t>a corporation, partnership, joint venture or other legal entity,</w:t>
      </w:r>
      <w:r>
        <w:rPr>
          <w:spacing w:val="-1"/>
          <w:sz w:val="22"/>
        </w:rPr>
        <w:t> </w:t>
      </w:r>
      <w:r>
        <w:rPr>
          <w:sz w:val="22"/>
        </w:rPr>
        <w:t>regardless of whether developer is a for-profit, non-profit, or religious organization.</w:t>
      </w:r>
    </w:p>
    <w:p>
      <w:pPr>
        <w:pStyle w:val="ListParagraph"/>
        <w:numPr>
          <w:ilvl w:val="1"/>
          <w:numId w:val="16"/>
        </w:numPr>
        <w:tabs>
          <w:tab w:pos="841" w:val="left" w:leader="none"/>
        </w:tabs>
        <w:spacing w:line="240" w:lineRule="auto" w:before="3" w:after="0"/>
        <w:ind w:left="840" w:right="156" w:hanging="361"/>
        <w:jc w:val="both"/>
        <w:rPr>
          <w:rFonts w:ascii="Symbol" w:hAnsi="Symbol"/>
          <w:sz w:val="22"/>
        </w:rPr>
      </w:pPr>
      <w:r>
        <w:rPr>
          <w:sz w:val="22"/>
        </w:rPr>
        <w:t>Developer must be in good standing with the State of Texas and the City, including that the City has not issued a charge against the developer for violating Chapter 20A of the Dallas City Code or Chapter 46 of the Dallas City Code within the past 5 years, may not be debarred under the federal System for Award Management (SAM), may not have uncured</w:t>
      </w:r>
      <w:r>
        <w:rPr>
          <w:spacing w:val="-3"/>
          <w:sz w:val="22"/>
        </w:rPr>
        <w:t> </w:t>
      </w:r>
      <w:r>
        <w:rPr>
          <w:sz w:val="22"/>
        </w:rPr>
        <w:t>violations of</w:t>
      </w:r>
      <w:r>
        <w:rPr>
          <w:spacing w:val="-1"/>
          <w:sz w:val="22"/>
        </w:rPr>
        <w:t> </w:t>
      </w:r>
      <w:r>
        <w:rPr>
          <w:sz w:val="22"/>
        </w:rPr>
        <w:t>Chapter</w:t>
      </w:r>
      <w:r>
        <w:rPr>
          <w:spacing w:val="-1"/>
          <w:sz w:val="22"/>
        </w:rPr>
        <w:t> </w:t>
      </w:r>
      <w:r>
        <w:rPr>
          <w:sz w:val="22"/>
        </w:rPr>
        <w:t>27 of</w:t>
      </w:r>
      <w:r>
        <w:rPr>
          <w:spacing w:val="-1"/>
          <w:sz w:val="22"/>
        </w:rPr>
        <w:t> </w:t>
      </w:r>
      <w:r>
        <w:rPr>
          <w:sz w:val="22"/>
        </w:rPr>
        <w:t>the</w:t>
      </w:r>
      <w:r>
        <w:rPr>
          <w:spacing w:val="-3"/>
          <w:sz w:val="22"/>
        </w:rPr>
        <w:t> </w:t>
      </w:r>
      <w:r>
        <w:rPr>
          <w:sz w:val="22"/>
        </w:rPr>
        <w:t>Dallas City Code</w:t>
      </w:r>
      <w:r>
        <w:rPr>
          <w:spacing w:val="-3"/>
          <w:sz w:val="22"/>
        </w:rPr>
        <w:t> </w:t>
      </w:r>
      <w:r>
        <w:rPr>
          <w:sz w:val="22"/>
        </w:rPr>
        <w:t>for</w:t>
      </w:r>
      <w:r>
        <w:rPr>
          <w:spacing w:val="-1"/>
          <w:sz w:val="22"/>
        </w:rPr>
        <w:t> </w:t>
      </w:r>
      <w:r>
        <w:rPr>
          <w:sz w:val="22"/>
        </w:rPr>
        <w:t>which it</w:t>
      </w:r>
      <w:r>
        <w:rPr>
          <w:spacing w:val="-1"/>
          <w:sz w:val="22"/>
        </w:rPr>
        <w:t> </w:t>
      </w:r>
      <w:r>
        <w:rPr>
          <w:sz w:val="22"/>
        </w:rPr>
        <w:t>has</w:t>
      </w:r>
      <w:r>
        <w:rPr>
          <w:spacing w:val="-2"/>
          <w:sz w:val="22"/>
        </w:rPr>
        <w:t> </w:t>
      </w:r>
      <w:r>
        <w:rPr>
          <w:sz w:val="22"/>
        </w:rPr>
        <w:t>received notice, may not be indebted to the City or delinquent in any payment owed to the City under a contract</w:t>
      </w:r>
      <w:r>
        <w:rPr>
          <w:spacing w:val="-12"/>
          <w:sz w:val="22"/>
        </w:rPr>
        <w:t> </w:t>
      </w:r>
      <w:r>
        <w:rPr>
          <w:sz w:val="22"/>
        </w:rPr>
        <w:t>or</w:t>
      </w:r>
      <w:r>
        <w:rPr>
          <w:spacing w:val="-11"/>
          <w:sz w:val="22"/>
        </w:rPr>
        <w:t> </w:t>
      </w:r>
      <w:r>
        <w:rPr>
          <w:sz w:val="22"/>
        </w:rPr>
        <w:t>other</w:t>
      </w:r>
      <w:r>
        <w:rPr>
          <w:spacing w:val="-13"/>
          <w:sz w:val="22"/>
        </w:rPr>
        <w:t> </w:t>
      </w:r>
      <w:r>
        <w:rPr>
          <w:sz w:val="22"/>
        </w:rPr>
        <w:t>legal</w:t>
      </w:r>
      <w:r>
        <w:rPr>
          <w:spacing w:val="-13"/>
          <w:sz w:val="22"/>
        </w:rPr>
        <w:t> </w:t>
      </w:r>
      <w:r>
        <w:rPr>
          <w:sz w:val="22"/>
        </w:rPr>
        <w:t>obligation,</w:t>
      </w:r>
      <w:r>
        <w:rPr>
          <w:spacing w:val="-11"/>
          <w:sz w:val="22"/>
        </w:rPr>
        <w:t> </w:t>
      </w:r>
      <w:r>
        <w:rPr>
          <w:sz w:val="22"/>
        </w:rPr>
        <w:t>and</w:t>
      </w:r>
      <w:r>
        <w:rPr>
          <w:spacing w:val="-15"/>
          <w:sz w:val="22"/>
        </w:rPr>
        <w:t> </w:t>
      </w:r>
      <w:r>
        <w:rPr>
          <w:sz w:val="22"/>
        </w:rPr>
        <w:t>must</w:t>
      </w:r>
      <w:r>
        <w:rPr>
          <w:spacing w:val="-11"/>
          <w:sz w:val="22"/>
        </w:rPr>
        <w:t> </w:t>
      </w:r>
      <w:r>
        <w:rPr>
          <w:sz w:val="22"/>
        </w:rPr>
        <w:t>be</w:t>
      </w:r>
      <w:r>
        <w:rPr>
          <w:spacing w:val="-15"/>
          <w:sz w:val="22"/>
        </w:rPr>
        <w:t> </w:t>
      </w:r>
      <w:r>
        <w:rPr>
          <w:sz w:val="22"/>
        </w:rPr>
        <w:t>current</w:t>
      </w:r>
      <w:r>
        <w:rPr>
          <w:spacing w:val="-8"/>
          <w:sz w:val="22"/>
        </w:rPr>
        <w:t> </w:t>
      </w:r>
      <w:r>
        <w:rPr>
          <w:sz w:val="22"/>
        </w:rPr>
        <w:t>on</w:t>
      </w:r>
      <w:r>
        <w:rPr>
          <w:spacing w:val="-12"/>
          <w:sz w:val="22"/>
        </w:rPr>
        <w:t> </w:t>
      </w:r>
      <w:r>
        <w:rPr>
          <w:sz w:val="22"/>
        </w:rPr>
        <w:t>payment</w:t>
      </w:r>
      <w:r>
        <w:rPr>
          <w:spacing w:val="-11"/>
          <w:sz w:val="22"/>
        </w:rPr>
        <w:t> </w:t>
      </w:r>
      <w:r>
        <w:rPr>
          <w:sz w:val="22"/>
        </w:rPr>
        <w:t>of</w:t>
      </w:r>
      <w:r>
        <w:rPr>
          <w:spacing w:val="-13"/>
          <w:sz w:val="22"/>
        </w:rPr>
        <w:t> </w:t>
      </w:r>
      <w:r>
        <w:rPr>
          <w:sz w:val="22"/>
        </w:rPr>
        <w:t>taxes</w:t>
      </w:r>
      <w:r>
        <w:rPr>
          <w:spacing w:val="-16"/>
          <w:sz w:val="22"/>
        </w:rPr>
        <w:t> </w:t>
      </w:r>
      <w:r>
        <w:rPr>
          <w:sz w:val="22"/>
        </w:rPr>
        <w:t>and</w:t>
      </w:r>
      <w:r>
        <w:rPr>
          <w:spacing w:val="-11"/>
          <w:sz w:val="22"/>
        </w:rPr>
        <w:t> </w:t>
      </w:r>
      <w:r>
        <w:rPr>
          <w:sz w:val="22"/>
        </w:rPr>
        <w:t>liens</w:t>
      </w:r>
      <w:r>
        <w:rPr>
          <w:spacing w:val="-12"/>
          <w:sz w:val="22"/>
        </w:rPr>
        <w:t> </w:t>
      </w:r>
      <w:r>
        <w:rPr>
          <w:sz w:val="22"/>
        </w:rPr>
        <w:t>owed to any other affected taxing unit under the Texas Property Tax Code.</w:t>
      </w:r>
    </w:p>
    <w:p>
      <w:pPr>
        <w:pStyle w:val="ListParagraph"/>
        <w:numPr>
          <w:ilvl w:val="1"/>
          <w:numId w:val="16"/>
        </w:numPr>
        <w:tabs>
          <w:tab w:pos="841" w:val="left" w:leader="none"/>
        </w:tabs>
        <w:spacing w:line="240" w:lineRule="auto" w:before="0" w:after="0"/>
        <w:ind w:left="840" w:right="154" w:hanging="361"/>
        <w:jc w:val="both"/>
        <w:rPr>
          <w:rFonts w:ascii="Symbol" w:hAnsi="Symbol"/>
          <w:sz w:val="22"/>
        </w:rPr>
      </w:pPr>
      <w:r>
        <w:rPr>
          <w:sz w:val="22"/>
        </w:rPr>
        <w:t>If developer seeks to purchase two or more parcels of real property for the purpose of constructing housing units, developer must have constructed one or more housing units within the three-year period preceding the submission of the proposal to acquire the parcels of real property via the Program. If developer seeks to purchase one or more parcels of real property for the purpose of developing a multifamily or commercial use, developer</w:t>
      </w:r>
      <w:r>
        <w:rPr>
          <w:spacing w:val="-6"/>
          <w:sz w:val="22"/>
        </w:rPr>
        <w:t> </w:t>
      </w:r>
      <w:r>
        <w:rPr>
          <w:sz w:val="22"/>
        </w:rPr>
        <w:t>must</w:t>
      </w:r>
      <w:r>
        <w:rPr>
          <w:spacing w:val="-6"/>
          <w:sz w:val="22"/>
        </w:rPr>
        <w:t> </w:t>
      </w:r>
      <w:r>
        <w:rPr>
          <w:sz w:val="22"/>
        </w:rPr>
        <w:t>demonstrate</w:t>
      </w:r>
      <w:r>
        <w:rPr>
          <w:spacing w:val="-10"/>
          <w:sz w:val="22"/>
        </w:rPr>
        <w:t> </w:t>
      </w:r>
      <w:r>
        <w:rPr>
          <w:sz w:val="22"/>
        </w:rPr>
        <w:t>that</w:t>
      </w:r>
      <w:r>
        <w:rPr>
          <w:spacing w:val="-8"/>
          <w:sz w:val="22"/>
        </w:rPr>
        <w:t> </w:t>
      </w:r>
      <w:r>
        <w:rPr>
          <w:sz w:val="22"/>
        </w:rPr>
        <w:t>it</w:t>
      </w:r>
      <w:r>
        <w:rPr>
          <w:spacing w:val="-6"/>
          <w:sz w:val="22"/>
        </w:rPr>
        <w:t> </w:t>
      </w:r>
      <w:r>
        <w:rPr>
          <w:sz w:val="22"/>
        </w:rPr>
        <w:t>has</w:t>
      </w:r>
      <w:r>
        <w:rPr>
          <w:spacing w:val="-9"/>
          <w:sz w:val="22"/>
        </w:rPr>
        <w:t> </w:t>
      </w:r>
      <w:r>
        <w:rPr>
          <w:sz w:val="22"/>
        </w:rPr>
        <w:t>developed</w:t>
      </w:r>
      <w:r>
        <w:rPr>
          <w:spacing w:val="-10"/>
          <w:sz w:val="22"/>
        </w:rPr>
        <w:t> </w:t>
      </w:r>
      <w:r>
        <w:rPr>
          <w:sz w:val="22"/>
        </w:rPr>
        <w:t>at</w:t>
      </w:r>
      <w:r>
        <w:rPr>
          <w:spacing w:val="-6"/>
          <w:sz w:val="22"/>
        </w:rPr>
        <w:t> </w:t>
      </w:r>
      <w:r>
        <w:rPr>
          <w:sz w:val="22"/>
        </w:rPr>
        <w:t>least</w:t>
      </w:r>
      <w:r>
        <w:rPr>
          <w:spacing w:val="-6"/>
          <w:sz w:val="22"/>
        </w:rPr>
        <w:t> </w:t>
      </w:r>
      <w:r>
        <w:rPr>
          <w:sz w:val="22"/>
        </w:rPr>
        <w:t>one</w:t>
      </w:r>
      <w:r>
        <w:rPr>
          <w:spacing w:val="-7"/>
          <w:sz w:val="22"/>
        </w:rPr>
        <w:t> </w:t>
      </w:r>
      <w:r>
        <w:rPr>
          <w:sz w:val="22"/>
        </w:rPr>
        <w:t>comparable</w:t>
      </w:r>
      <w:r>
        <w:rPr>
          <w:spacing w:val="-7"/>
          <w:sz w:val="22"/>
        </w:rPr>
        <w:t> </w:t>
      </w:r>
      <w:r>
        <w:rPr>
          <w:sz w:val="22"/>
        </w:rPr>
        <w:t>use</w:t>
      </w:r>
      <w:r>
        <w:rPr>
          <w:spacing w:val="-7"/>
          <w:sz w:val="22"/>
        </w:rPr>
        <w:t> </w:t>
      </w:r>
      <w:r>
        <w:rPr>
          <w:sz w:val="22"/>
        </w:rPr>
        <w:t>within</w:t>
      </w:r>
      <w:r>
        <w:rPr>
          <w:spacing w:val="-7"/>
          <w:sz w:val="22"/>
        </w:rPr>
        <w:t> </w:t>
      </w:r>
      <w:r>
        <w:rPr>
          <w:sz w:val="22"/>
        </w:rPr>
        <w:t>the three-year period preceding the submission of the proposal to acquire the parcel of real property via the Program.</w:t>
      </w:r>
    </w:p>
    <w:p>
      <w:pPr>
        <w:pStyle w:val="ListParagraph"/>
        <w:numPr>
          <w:ilvl w:val="1"/>
          <w:numId w:val="16"/>
        </w:numPr>
        <w:tabs>
          <w:tab w:pos="841" w:val="left" w:leader="none"/>
        </w:tabs>
        <w:spacing w:line="237" w:lineRule="auto" w:before="0" w:after="0"/>
        <w:ind w:left="840" w:right="158" w:hanging="361"/>
        <w:jc w:val="both"/>
        <w:rPr>
          <w:rFonts w:ascii="Symbol" w:hAnsi="Symbol"/>
          <w:sz w:val="22"/>
        </w:rPr>
      </w:pPr>
      <w:r>
        <w:rPr>
          <w:sz w:val="22"/>
        </w:rPr>
        <w:t>Developer</w:t>
      </w:r>
      <w:r>
        <w:rPr>
          <w:spacing w:val="-16"/>
          <w:sz w:val="22"/>
        </w:rPr>
        <w:t> </w:t>
      </w:r>
      <w:r>
        <w:rPr>
          <w:sz w:val="22"/>
        </w:rPr>
        <w:t>must</w:t>
      </w:r>
      <w:r>
        <w:rPr>
          <w:spacing w:val="-15"/>
          <w:sz w:val="22"/>
        </w:rPr>
        <w:t> </w:t>
      </w:r>
      <w:r>
        <w:rPr>
          <w:sz w:val="22"/>
        </w:rPr>
        <w:t>submit</w:t>
      </w:r>
      <w:r>
        <w:rPr>
          <w:spacing w:val="-15"/>
          <w:sz w:val="22"/>
        </w:rPr>
        <w:t> </w:t>
      </w:r>
      <w:r>
        <w:rPr>
          <w:sz w:val="22"/>
        </w:rPr>
        <w:t>a</w:t>
      </w:r>
      <w:r>
        <w:rPr>
          <w:spacing w:val="-16"/>
          <w:sz w:val="22"/>
        </w:rPr>
        <w:t> </w:t>
      </w:r>
      <w:r>
        <w:rPr>
          <w:sz w:val="22"/>
        </w:rPr>
        <w:t>development</w:t>
      </w:r>
      <w:r>
        <w:rPr>
          <w:spacing w:val="-15"/>
          <w:sz w:val="22"/>
        </w:rPr>
        <w:t> </w:t>
      </w:r>
      <w:r>
        <w:rPr>
          <w:sz w:val="22"/>
        </w:rPr>
        <w:t>plan</w:t>
      </w:r>
      <w:r>
        <w:rPr>
          <w:spacing w:val="-15"/>
          <w:sz w:val="22"/>
        </w:rPr>
        <w:t> </w:t>
      </w:r>
      <w:r>
        <w:rPr>
          <w:sz w:val="22"/>
        </w:rPr>
        <w:t>for</w:t>
      </w:r>
      <w:r>
        <w:rPr>
          <w:spacing w:val="-15"/>
          <w:sz w:val="22"/>
        </w:rPr>
        <w:t> </w:t>
      </w:r>
      <w:r>
        <w:rPr>
          <w:sz w:val="22"/>
        </w:rPr>
        <w:t>all</w:t>
      </w:r>
      <w:r>
        <w:rPr>
          <w:spacing w:val="-16"/>
          <w:sz w:val="22"/>
        </w:rPr>
        <w:t> </w:t>
      </w:r>
      <w:r>
        <w:rPr>
          <w:sz w:val="22"/>
        </w:rPr>
        <w:t>parcels</w:t>
      </w:r>
      <w:r>
        <w:rPr>
          <w:spacing w:val="-15"/>
          <w:sz w:val="22"/>
        </w:rPr>
        <w:t> </w:t>
      </w:r>
      <w:r>
        <w:rPr>
          <w:sz w:val="22"/>
        </w:rPr>
        <w:t>of</w:t>
      </w:r>
      <w:r>
        <w:rPr>
          <w:spacing w:val="-15"/>
          <w:sz w:val="22"/>
        </w:rPr>
        <w:t> </w:t>
      </w:r>
      <w:r>
        <w:rPr>
          <w:sz w:val="22"/>
        </w:rPr>
        <w:t>real</w:t>
      </w:r>
      <w:r>
        <w:rPr>
          <w:spacing w:val="-16"/>
          <w:sz w:val="22"/>
        </w:rPr>
        <w:t> </w:t>
      </w:r>
      <w:r>
        <w:rPr>
          <w:sz w:val="22"/>
        </w:rPr>
        <w:t>property</w:t>
      </w:r>
      <w:r>
        <w:rPr>
          <w:spacing w:val="-15"/>
          <w:sz w:val="22"/>
        </w:rPr>
        <w:t> </w:t>
      </w:r>
      <w:r>
        <w:rPr>
          <w:sz w:val="22"/>
        </w:rPr>
        <w:t>developer</w:t>
      </w:r>
      <w:r>
        <w:rPr>
          <w:spacing w:val="-15"/>
          <w:sz w:val="22"/>
        </w:rPr>
        <w:t> </w:t>
      </w:r>
      <w:r>
        <w:rPr>
          <w:sz w:val="22"/>
        </w:rPr>
        <w:t>seeks to acquire via the Program.</w:t>
      </w:r>
    </w:p>
    <w:p>
      <w:pPr>
        <w:pStyle w:val="ListParagraph"/>
        <w:numPr>
          <w:ilvl w:val="1"/>
          <w:numId w:val="16"/>
        </w:numPr>
        <w:tabs>
          <w:tab w:pos="841" w:val="left" w:leader="none"/>
        </w:tabs>
        <w:spacing w:line="240" w:lineRule="auto" w:before="0" w:after="0"/>
        <w:ind w:left="840" w:right="152" w:hanging="360"/>
        <w:jc w:val="both"/>
        <w:rPr>
          <w:rFonts w:ascii="Symbol" w:hAnsi="Symbol"/>
          <w:color w:val="6F2F9F"/>
          <w:sz w:val="22"/>
        </w:rPr>
      </w:pPr>
      <w:r>
        <w:rPr>
          <w:sz w:val="22"/>
        </w:rPr>
        <w:t>Developer must demonstrate</w:t>
      </w:r>
      <w:r>
        <w:rPr>
          <w:spacing w:val="-3"/>
          <w:sz w:val="22"/>
        </w:rPr>
        <w:t> </w:t>
      </w:r>
      <w:r>
        <w:rPr>
          <w:sz w:val="22"/>
        </w:rPr>
        <w:t>that</w:t>
      </w:r>
      <w:r>
        <w:rPr>
          <w:spacing w:val="-1"/>
          <w:sz w:val="22"/>
        </w:rPr>
        <w:t> </w:t>
      </w:r>
      <w:r>
        <w:rPr>
          <w:sz w:val="22"/>
        </w:rPr>
        <w:t>it has</w:t>
      </w:r>
      <w:r>
        <w:rPr>
          <w:spacing w:val="-2"/>
          <w:sz w:val="22"/>
        </w:rPr>
        <w:t> </w:t>
      </w:r>
      <w:r>
        <w:rPr>
          <w:sz w:val="22"/>
        </w:rPr>
        <w:t>the</w:t>
      </w:r>
      <w:r>
        <w:rPr>
          <w:spacing w:val="-3"/>
          <w:sz w:val="22"/>
        </w:rPr>
        <w:t> </w:t>
      </w:r>
      <w:r>
        <w:rPr>
          <w:sz w:val="22"/>
        </w:rPr>
        <w:t>financial</w:t>
      </w:r>
      <w:r>
        <w:rPr>
          <w:spacing w:val="-1"/>
          <w:sz w:val="22"/>
        </w:rPr>
        <w:t> </w:t>
      </w:r>
      <w:r>
        <w:rPr>
          <w:sz w:val="22"/>
        </w:rPr>
        <w:t>capacity and staffing/sub-contractor capacity to develop and complete the sale, lease, or lease-purchase, within a two-year period,</w:t>
      </w:r>
      <w:r>
        <w:rPr>
          <w:spacing w:val="-1"/>
          <w:sz w:val="22"/>
        </w:rPr>
        <w:t> </w:t>
      </w:r>
      <w:r>
        <w:rPr>
          <w:sz w:val="22"/>
        </w:rPr>
        <w:t>of</w:t>
      </w:r>
      <w:r>
        <w:rPr>
          <w:spacing w:val="-1"/>
          <w:sz w:val="22"/>
        </w:rPr>
        <w:t> </w:t>
      </w:r>
      <w:r>
        <w:rPr>
          <w:sz w:val="22"/>
        </w:rPr>
        <w:t>its</w:t>
      </w:r>
      <w:r>
        <w:rPr>
          <w:spacing w:val="-5"/>
          <w:sz w:val="22"/>
        </w:rPr>
        <w:t> </w:t>
      </w:r>
      <w:r>
        <w:rPr>
          <w:sz w:val="22"/>
        </w:rPr>
        <w:t>inventory</w:t>
      </w:r>
      <w:r>
        <w:rPr>
          <w:spacing w:val="-2"/>
          <w:sz w:val="22"/>
        </w:rPr>
        <w:t> </w:t>
      </w:r>
      <w:r>
        <w:rPr>
          <w:sz w:val="22"/>
        </w:rPr>
        <w:t>of</w:t>
      </w:r>
      <w:r>
        <w:rPr>
          <w:spacing w:val="-4"/>
          <w:sz w:val="22"/>
        </w:rPr>
        <w:t> </w:t>
      </w:r>
      <w:r>
        <w:rPr>
          <w:sz w:val="22"/>
        </w:rPr>
        <w:t>parcels</w:t>
      </w:r>
      <w:r>
        <w:rPr>
          <w:spacing w:val="-2"/>
          <w:sz w:val="22"/>
        </w:rPr>
        <w:t> </w:t>
      </w:r>
      <w:r>
        <w:rPr>
          <w:sz w:val="22"/>
        </w:rPr>
        <w:t>of</w:t>
      </w:r>
      <w:r>
        <w:rPr>
          <w:spacing w:val="-1"/>
          <w:sz w:val="22"/>
        </w:rPr>
        <w:t> </w:t>
      </w:r>
      <w:r>
        <w:rPr>
          <w:sz w:val="22"/>
        </w:rPr>
        <w:t>real</w:t>
      </w:r>
      <w:r>
        <w:rPr>
          <w:spacing w:val="-3"/>
          <w:sz w:val="22"/>
        </w:rPr>
        <w:t> </w:t>
      </w:r>
      <w:r>
        <w:rPr>
          <w:sz w:val="22"/>
        </w:rPr>
        <w:t>property</w:t>
      </w:r>
      <w:r>
        <w:rPr>
          <w:spacing w:val="-5"/>
          <w:sz w:val="22"/>
        </w:rPr>
        <w:t> </w:t>
      </w:r>
      <w:r>
        <w:rPr>
          <w:sz w:val="22"/>
        </w:rPr>
        <w:t>acquired</w:t>
      </w:r>
      <w:r>
        <w:rPr>
          <w:spacing w:val="-3"/>
          <w:sz w:val="22"/>
        </w:rPr>
        <w:t> </w:t>
      </w:r>
      <w:r>
        <w:rPr>
          <w:sz w:val="22"/>
        </w:rPr>
        <w:t>through</w:t>
      </w:r>
      <w:r>
        <w:rPr>
          <w:spacing w:val="-5"/>
          <w:sz w:val="22"/>
        </w:rPr>
        <w:t> </w:t>
      </w:r>
      <w:r>
        <w:rPr>
          <w:sz w:val="22"/>
        </w:rPr>
        <w:t>the</w:t>
      </w:r>
      <w:r>
        <w:rPr>
          <w:spacing w:val="-3"/>
          <w:sz w:val="22"/>
        </w:rPr>
        <w:t> </w:t>
      </w:r>
      <w:r>
        <w:rPr>
          <w:sz w:val="22"/>
        </w:rPr>
        <w:t>Program.</w:t>
      </w:r>
      <w:r>
        <w:rPr>
          <w:spacing w:val="-1"/>
          <w:sz w:val="22"/>
        </w:rPr>
        <w:t> </w:t>
      </w:r>
      <w:r>
        <w:rPr>
          <w:sz w:val="22"/>
        </w:rPr>
        <w:t>The</w:t>
      </w:r>
      <w:r>
        <w:rPr>
          <w:spacing w:val="-2"/>
          <w:sz w:val="22"/>
        </w:rPr>
        <w:t> </w:t>
      </w:r>
      <w:r>
        <w:rPr>
          <w:sz w:val="22"/>
        </w:rPr>
        <w:t>City Manager</w:t>
      </w:r>
      <w:r>
        <w:rPr>
          <w:spacing w:val="-9"/>
          <w:sz w:val="22"/>
        </w:rPr>
        <w:t> </w:t>
      </w:r>
      <w:r>
        <w:rPr>
          <w:sz w:val="22"/>
        </w:rPr>
        <w:t>or</w:t>
      </w:r>
      <w:r>
        <w:rPr>
          <w:spacing w:val="-9"/>
          <w:sz w:val="22"/>
        </w:rPr>
        <w:t> </w:t>
      </w:r>
      <w:r>
        <w:rPr>
          <w:sz w:val="22"/>
        </w:rPr>
        <w:t>his/her</w:t>
      </w:r>
      <w:r>
        <w:rPr>
          <w:spacing w:val="-6"/>
          <w:sz w:val="22"/>
        </w:rPr>
        <w:t> </w:t>
      </w:r>
      <w:r>
        <w:rPr>
          <w:sz w:val="22"/>
        </w:rPr>
        <w:t>designee</w:t>
      </w:r>
      <w:r>
        <w:rPr>
          <w:spacing w:val="-7"/>
          <w:sz w:val="22"/>
        </w:rPr>
        <w:t> </w:t>
      </w:r>
      <w:r>
        <w:rPr>
          <w:sz w:val="22"/>
        </w:rPr>
        <w:t>may</w:t>
      </w:r>
      <w:r>
        <w:rPr>
          <w:spacing w:val="-9"/>
          <w:sz w:val="22"/>
        </w:rPr>
        <w:t> </w:t>
      </w:r>
      <w:r>
        <w:rPr>
          <w:sz w:val="22"/>
        </w:rPr>
        <w:t>grant</w:t>
      </w:r>
      <w:r>
        <w:rPr>
          <w:spacing w:val="-8"/>
          <w:sz w:val="22"/>
        </w:rPr>
        <w:t> </w:t>
      </w:r>
      <w:r>
        <w:rPr>
          <w:sz w:val="22"/>
        </w:rPr>
        <w:t>up</w:t>
      </w:r>
      <w:r>
        <w:rPr>
          <w:spacing w:val="-10"/>
          <w:sz w:val="22"/>
        </w:rPr>
        <w:t> </w:t>
      </w:r>
      <w:r>
        <w:rPr>
          <w:sz w:val="22"/>
        </w:rPr>
        <w:t>to</w:t>
      </w:r>
      <w:r>
        <w:rPr>
          <w:spacing w:val="-7"/>
          <w:sz w:val="22"/>
        </w:rPr>
        <w:t> </w:t>
      </w:r>
      <w:r>
        <w:rPr>
          <w:sz w:val="22"/>
        </w:rPr>
        <w:t>one,</w:t>
      </w:r>
      <w:r>
        <w:rPr>
          <w:spacing w:val="-8"/>
          <w:sz w:val="22"/>
        </w:rPr>
        <w:t> </w:t>
      </w:r>
      <w:r>
        <w:rPr>
          <w:sz w:val="22"/>
        </w:rPr>
        <w:t>one-year</w:t>
      </w:r>
      <w:r>
        <w:rPr>
          <w:spacing w:val="-6"/>
          <w:sz w:val="22"/>
        </w:rPr>
        <w:t> </w:t>
      </w:r>
      <w:r>
        <w:rPr>
          <w:sz w:val="22"/>
        </w:rPr>
        <w:t>extension</w:t>
      </w:r>
      <w:r>
        <w:rPr>
          <w:spacing w:val="-7"/>
          <w:sz w:val="22"/>
        </w:rPr>
        <w:t> </w:t>
      </w:r>
      <w:r>
        <w:rPr>
          <w:sz w:val="22"/>
        </w:rPr>
        <w:t>of</w:t>
      </w:r>
      <w:r>
        <w:rPr>
          <w:spacing w:val="-6"/>
          <w:sz w:val="22"/>
        </w:rPr>
        <w:t> </w:t>
      </w:r>
      <w:r>
        <w:rPr>
          <w:sz w:val="22"/>
        </w:rPr>
        <w:t>any</w:t>
      </w:r>
      <w:r>
        <w:rPr>
          <w:spacing w:val="-7"/>
          <w:sz w:val="22"/>
        </w:rPr>
        <w:t> </w:t>
      </w:r>
      <w:r>
        <w:rPr>
          <w:sz w:val="22"/>
        </w:rPr>
        <w:t>deadlines</w:t>
      </w:r>
      <w:r>
        <w:rPr>
          <w:spacing w:val="-7"/>
          <w:sz w:val="22"/>
        </w:rPr>
        <w:t> </w:t>
      </w:r>
      <w:r>
        <w:rPr>
          <w:sz w:val="22"/>
        </w:rPr>
        <w:t>in</w:t>
      </w:r>
    </w:p>
    <w:p>
      <w:pPr>
        <w:spacing w:after="0" w:line="240" w:lineRule="auto"/>
        <w:jc w:val="both"/>
        <w:rPr>
          <w:rFonts w:ascii="Symbol" w:hAnsi="Symbol"/>
          <w:sz w:val="22"/>
        </w:rPr>
        <w:sectPr>
          <w:pgSz w:w="12240" w:h="15840"/>
          <w:pgMar w:header="0" w:footer="1176" w:top="1360" w:bottom="1420" w:left="1320" w:right="1280"/>
        </w:sectPr>
      </w:pPr>
    </w:p>
    <w:p>
      <w:pPr>
        <w:pStyle w:val="BodyText"/>
        <w:spacing w:before="80"/>
        <w:ind w:left="839"/>
      </w:pPr>
      <w:r>
        <w:rPr/>
        <w:t>the development agreement. Any additional extensions of the development agreement must be approved by City Council.</w:t>
      </w:r>
    </w:p>
    <w:p>
      <w:pPr>
        <w:pStyle w:val="BodyText"/>
        <w:spacing w:before="10"/>
        <w:rPr>
          <w:sz w:val="21"/>
        </w:rPr>
      </w:pPr>
    </w:p>
    <w:p>
      <w:pPr>
        <w:pStyle w:val="BodyText"/>
        <w:ind w:left="120" w:right="155"/>
        <w:jc w:val="both"/>
      </w:pPr>
      <w:r>
        <w:rPr/>
        <w:t>Staff may impose additional eligibility criteria that are consistent with this Program, state statute and city ordinance. If land is sold pursuant to Dallas City Code Section 2-26.4, developer must comply with the eligibility criteria set forth in the ordinance.</w:t>
      </w:r>
    </w:p>
    <w:p>
      <w:pPr>
        <w:pStyle w:val="BodyText"/>
        <w:spacing w:before="1"/>
      </w:pPr>
    </w:p>
    <w:p>
      <w:pPr>
        <w:pStyle w:val="Heading5"/>
      </w:pPr>
      <w:r>
        <w:rPr/>
        <w:t>Project</w:t>
      </w:r>
      <w:r>
        <w:rPr>
          <w:spacing w:val="-6"/>
        </w:rPr>
        <w:t> </w:t>
      </w:r>
      <w:r>
        <w:rPr/>
        <w:t>Eligibility</w:t>
      </w:r>
      <w:r>
        <w:rPr>
          <w:spacing w:val="-5"/>
        </w:rPr>
        <w:t> </w:t>
      </w:r>
      <w:r>
        <w:rPr>
          <w:spacing w:val="-2"/>
        </w:rPr>
        <w:t>Criteria</w:t>
      </w:r>
    </w:p>
    <w:p>
      <w:pPr>
        <w:pStyle w:val="BodyText"/>
        <w:spacing w:before="50"/>
        <w:ind w:left="120" w:right="155"/>
        <w:jc w:val="both"/>
      </w:pPr>
      <w:r>
        <w:rPr/>
        <w:pict>
          <v:shape style="position:absolute;margin-left:90.065002pt;margin-top:13.297091pt;width:395.3pt;height:419pt;mso-position-horizontal-relative:page;mso-position-vertical-relative:paragraph;z-index:-17701376" id="docshape87" coordorigin="1801,266" coordsize="7906,8380" path="m4498,7530l4492,7456,4477,7378,4455,7295,4432,7226,4403,7154,4367,7079,4325,7001,4276,6920,4237,6861,4200,6811,4200,7496,4197,7553,4186,7609,4167,7667,4138,7727,4097,7789,4044,7855,3979,7925,3674,8230,2216,6773,2517,6472,2598,6396,2672,6336,2740,6292,2801,6266,2868,6251,2941,6247,3020,6254,3105,6272,3195,6301,3255,6327,3317,6359,3380,6397,3446,6443,3514,6494,3584,6552,3656,6617,3729,6688,3789,6750,3845,6810,3896,6869,3943,6927,3986,6983,4025,7039,4059,7093,4101,7167,4136,7239,4163,7309,4183,7376,4196,7440,4200,7496,4200,6811,4194,6802,4148,6742,4098,6681,4045,6620,3989,6559,3929,6497,3865,6435,3801,6376,3737,6321,3673,6270,3643,6247,3609,6222,3546,6177,3482,6136,3419,6098,3346,6061,3274,6028,3203,6001,3132,5979,3062,5962,2992,5950,2923,5943,2850,5941,2779,5948,2709,5963,2642,5986,2577,6016,2528,6044,2476,6081,2420,6127,2359,6181,2294,6244,1801,6737,3710,8645,4124,8230,4226,8129,4287,8063,4341,7998,4386,7932,4424,7866,4454,7799,4476,7733,4491,7666,4498,7598,4498,7530xm6418,5936l6056,5809,5650,5666,5561,5637,5475,5613,5393,5594,5365,5589,5314,5579,5239,5569,5193,5568,5143,5571,5089,5578,5030,5589,5073,5519,5109,5449,5136,5380,5154,5311,5164,5243,5165,5175,5157,5107,5139,5029,5111,4953,5075,4878,5030,4805,4976,4735,4956,4712,4913,4666,4872,4628,4872,5185,4868,5241,4854,5296,4830,5352,4794,5411,4747,5472,4687,5535,4280,5942,3649,5311,4102,4858,4166,4801,4229,4758,4293,4728,4358,4713,4422,4712,4501,4727,4577,4757,4649,4802,4718,4861,4761,4909,4797,4960,4827,5013,4851,5070,4867,5128,4872,5185,4872,4628,4849,4606,4782,4554,4713,4509,4641,4470,4566,4438,4474,4410,4386,4397,4303,4399,4225,4415,4163,4440,4098,4476,4030,4524,3958,4584,3883,4655,3248,5290,5157,7198,5346,7008,4499,6161,4718,5942,4753,5908,4783,5881,4810,5859,4833,5845,4863,5831,4896,5821,4932,5813,4971,5809,5014,5809,5066,5814,5125,5824,5194,5841,5256,5858,5328,5879,5407,5904,5496,5933,6180,6175,6418,5936xm7780,4574l7415,4379,6555,3925,6555,4232,6070,4717,6030,4646,5989,4574,5748,4144,5708,4072,5668,4000,5629,3935,5590,3870,5550,3806,5509,3743,5467,3681,5424,3619,5380,3559,5436,3595,5498,3632,5564,3672,5635,3714,5792,3805,6555,4232,6555,3925,5862,3559,5286,3252,5082,3456,5277,3806,5316,3877,5701,4574,6207,5493,6441,5914,6642,5713,6565,5579,6298,5111,6221,4978,6481,4717,6820,4379,7173,4574,7565,4790,7780,4574xm8131,4224l7264,3357,7936,2685,7711,2460,7039,3132,6448,2541,7224,1764,6999,1539,6033,2505,7941,4413,8131,4224xm9707,2648l8024,965,8497,491,8272,266,7138,1401,7363,1626,7834,1154,9517,2837,9707,2648xe" filled="true" fillcolor="#c0c0c0" stroked="false">
            <v:path arrowok="t"/>
            <v:fill opacity="32896f" type="solid"/>
            <w10:wrap type="none"/>
          </v:shape>
        </w:pict>
      </w:r>
      <w:r>
        <w:rPr/>
        <w:t>To be eligible to purchase real property pursuant to the Land Transfer Program, the proposed project must meet all the following criteria, unless the land is sold pursuant to Dallas City Code Section 2-26.4:</w:t>
      </w:r>
    </w:p>
    <w:p>
      <w:pPr>
        <w:pStyle w:val="ListParagraph"/>
        <w:numPr>
          <w:ilvl w:val="1"/>
          <w:numId w:val="16"/>
        </w:numPr>
        <w:tabs>
          <w:tab w:pos="841" w:val="left" w:leader="none"/>
        </w:tabs>
        <w:spacing w:line="240" w:lineRule="auto" w:before="1" w:after="0"/>
        <w:ind w:left="840" w:right="155" w:hanging="361"/>
        <w:jc w:val="both"/>
        <w:rPr>
          <w:rFonts w:ascii="Symbol" w:hAnsi="Symbol"/>
          <w:sz w:val="22"/>
        </w:rPr>
      </w:pPr>
      <w:r>
        <w:rPr>
          <w:sz w:val="22"/>
        </w:rPr>
        <w:t>Parcels</w:t>
      </w:r>
      <w:r>
        <w:rPr>
          <w:spacing w:val="-12"/>
          <w:sz w:val="22"/>
        </w:rPr>
        <w:t> </w:t>
      </w:r>
      <w:r>
        <w:rPr>
          <w:sz w:val="22"/>
        </w:rPr>
        <w:t>of</w:t>
      </w:r>
      <w:r>
        <w:rPr>
          <w:spacing w:val="-12"/>
          <w:sz w:val="22"/>
        </w:rPr>
        <w:t> </w:t>
      </w:r>
      <w:r>
        <w:rPr>
          <w:sz w:val="22"/>
        </w:rPr>
        <w:t>real</w:t>
      </w:r>
      <w:r>
        <w:rPr>
          <w:spacing w:val="-12"/>
          <w:sz w:val="22"/>
        </w:rPr>
        <w:t> </w:t>
      </w:r>
      <w:r>
        <w:rPr>
          <w:sz w:val="22"/>
        </w:rPr>
        <w:t>property</w:t>
      </w:r>
      <w:r>
        <w:rPr>
          <w:spacing w:val="-16"/>
          <w:sz w:val="22"/>
        </w:rPr>
        <w:t> </w:t>
      </w:r>
      <w:r>
        <w:rPr>
          <w:sz w:val="22"/>
        </w:rPr>
        <w:t>must</w:t>
      </w:r>
      <w:r>
        <w:rPr>
          <w:spacing w:val="-12"/>
          <w:sz w:val="22"/>
        </w:rPr>
        <w:t> </w:t>
      </w:r>
      <w:r>
        <w:rPr>
          <w:sz w:val="22"/>
        </w:rPr>
        <w:t>be</w:t>
      </w:r>
      <w:r>
        <w:rPr>
          <w:spacing w:val="-14"/>
          <w:sz w:val="22"/>
        </w:rPr>
        <w:t> </w:t>
      </w:r>
      <w:r>
        <w:rPr>
          <w:sz w:val="22"/>
        </w:rPr>
        <w:t>developed</w:t>
      </w:r>
      <w:r>
        <w:rPr>
          <w:spacing w:val="-14"/>
          <w:sz w:val="22"/>
        </w:rPr>
        <w:t> </w:t>
      </w:r>
      <w:r>
        <w:rPr>
          <w:sz w:val="22"/>
        </w:rPr>
        <w:t>with:</w:t>
      </w:r>
      <w:r>
        <w:rPr>
          <w:spacing w:val="-15"/>
          <w:sz w:val="22"/>
        </w:rPr>
        <w:t> </w:t>
      </w:r>
      <w:r>
        <w:rPr>
          <w:sz w:val="22"/>
        </w:rPr>
        <w:t>(1)</w:t>
      </w:r>
      <w:r>
        <w:rPr>
          <w:spacing w:val="-12"/>
          <w:sz w:val="22"/>
        </w:rPr>
        <w:t> </w:t>
      </w:r>
      <w:r>
        <w:rPr>
          <w:sz w:val="22"/>
        </w:rPr>
        <w:t>a</w:t>
      </w:r>
      <w:r>
        <w:rPr>
          <w:spacing w:val="-14"/>
          <w:sz w:val="22"/>
        </w:rPr>
        <w:t> </w:t>
      </w:r>
      <w:r>
        <w:rPr>
          <w:sz w:val="22"/>
        </w:rPr>
        <w:t>housing</w:t>
      </w:r>
      <w:r>
        <w:rPr>
          <w:spacing w:val="-11"/>
          <w:sz w:val="22"/>
        </w:rPr>
        <w:t> </w:t>
      </w:r>
      <w:r>
        <w:rPr>
          <w:sz w:val="22"/>
        </w:rPr>
        <w:t>unit</w:t>
      </w:r>
      <w:r>
        <w:rPr>
          <w:spacing w:val="-10"/>
          <w:sz w:val="22"/>
        </w:rPr>
        <w:t> </w:t>
      </w:r>
      <w:r>
        <w:rPr>
          <w:sz w:val="22"/>
        </w:rPr>
        <w:t>or</w:t>
      </w:r>
      <w:r>
        <w:rPr>
          <w:spacing w:val="-12"/>
          <w:sz w:val="22"/>
        </w:rPr>
        <w:t> </w:t>
      </w:r>
      <w:r>
        <w:rPr>
          <w:sz w:val="22"/>
        </w:rPr>
        <w:t>units</w:t>
      </w:r>
      <w:r>
        <w:rPr>
          <w:spacing w:val="-13"/>
          <w:sz w:val="22"/>
        </w:rPr>
        <w:t> </w:t>
      </w:r>
      <w:r>
        <w:rPr>
          <w:sz w:val="22"/>
        </w:rPr>
        <w:t>that</w:t>
      </w:r>
      <w:r>
        <w:rPr>
          <w:spacing w:val="-12"/>
          <w:sz w:val="22"/>
        </w:rPr>
        <w:t> </w:t>
      </w:r>
      <w:r>
        <w:rPr>
          <w:sz w:val="22"/>
        </w:rPr>
        <w:t>are</w:t>
      </w:r>
      <w:r>
        <w:rPr>
          <w:spacing w:val="-14"/>
          <w:sz w:val="22"/>
        </w:rPr>
        <w:t> </w:t>
      </w:r>
      <w:r>
        <w:rPr>
          <w:sz w:val="22"/>
        </w:rPr>
        <w:t>offered for</w:t>
      </w:r>
      <w:r>
        <w:rPr>
          <w:spacing w:val="-4"/>
          <w:sz w:val="22"/>
        </w:rPr>
        <w:t> </w:t>
      </w:r>
      <w:r>
        <w:rPr>
          <w:sz w:val="22"/>
        </w:rPr>
        <w:t>sale,</w:t>
      </w:r>
      <w:r>
        <w:rPr>
          <w:spacing w:val="-4"/>
          <w:sz w:val="22"/>
        </w:rPr>
        <w:t> </w:t>
      </w:r>
      <w:r>
        <w:rPr>
          <w:sz w:val="22"/>
        </w:rPr>
        <w:t>lease</w:t>
      </w:r>
      <w:r>
        <w:rPr>
          <w:spacing w:val="-3"/>
          <w:sz w:val="22"/>
        </w:rPr>
        <w:t> </w:t>
      </w:r>
      <w:r>
        <w:rPr>
          <w:sz w:val="22"/>
        </w:rPr>
        <w:t>or</w:t>
      </w:r>
      <w:r>
        <w:rPr>
          <w:spacing w:val="-1"/>
          <w:sz w:val="22"/>
        </w:rPr>
        <w:t> </w:t>
      </w:r>
      <w:r>
        <w:rPr>
          <w:sz w:val="22"/>
        </w:rPr>
        <w:t>lease-purchase,</w:t>
      </w:r>
      <w:r>
        <w:rPr>
          <w:spacing w:val="-4"/>
          <w:sz w:val="22"/>
        </w:rPr>
        <w:t> </w:t>
      </w:r>
      <w:r>
        <w:rPr>
          <w:sz w:val="22"/>
        </w:rPr>
        <w:t>or</w:t>
      </w:r>
      <w:r>
        <w:rPr>
          <w:spacing w:val="-4"/>
          <w:sz w:val="22"/>
        </w:rPr>
        <w:t> </w:t>
      </w:r>
      <w:r>
        <w:rPr>
          <w:sz w:val="22"/>
        </w:rPr>
        <w:t>(2)</w:t>
      </w:r>
      <w:r>
        <w:rPr>
          <w:spacing w:val="-4"/>
          <w:sz w:val="22"/>
        </w:rPr>
        <w:t> </w:t>
      </w:r>
      <w:r>
        <w:rPr>
          <w:sz w:val="22"/>
        </w:rPr>
        <w:t>a</w:t>
      </w:r>
      <w:r>
        <w:rPr>
          <w:spacing w:val="-5"/>
          <w:sz w:val="22"/>
        </w:rPr>
        <w:t> </w:t>
      </w:r>
      <w:r>
        <w:rPr>
          <w:sz w:val="22"/>
        </w:rPr>
        <w:t>commercial</w:t>
      </w:r>
      <w:r>
        <w:rPr>
          <w:spacing w:val="-3"/>
          <w:sz w:val="22"/>
        </w:rPr>
        <w:t> </w:t>
      </w:r>
      <w:r>
        <w:rPr>
          <w:sz w:val="22"/>
        </w:rPr>
        <w:t>use</w:t>
      </w:r>
      <w:r>
        <w:rPr>
          <w:spacing w:val="-5"/>
          <w:sz w:val="22"/>
        </w:rPr>
        <w:t> </w:t>
      </w:r>
      <w:r>
        <w:rPr>
          <w:sz w:val="22"/>
        </w:rPr>
        <w:t>that</w:t>
      </w:r>
      <w:r>
        <w:rPr>
          <w:spacing w:val="-1"/>
          <w:sz w:val="22"/>
        </w:rPr>
        <w:t> </w:t>
      </w:r>
      <w:r>
        <w:rPr>
          <w:sz w:val="22"/>
        </w:rPr>
        <w:t>will</w:t>
      </w:r>
      <w:r>
        <w:rPr>
          <w:spacing w:val="-3"/>
          <w:sz w:val="22"/>
        </w:rPr>
        <w:t> </w:t>
      </w:r>
      <w:r>
        <w:rPr>
          <w:sz w:val="22"/>
        </w:rPr>
        <w:t>complement</w:t>
      </w:r>
      <w:r>
        <w:rPr>
          <w:spacing w:val="-4"/>
          <w:sz w:val="22"/>
        </w:rPr>
        <w:t> </w:t>
      </w:r>
      <w:r>
        <w:rPr>
          <w:sz w:val="22"/>
        </w:rPr>
        <w:t>the</w:t>
      </w:r>
      <w:r>
        <w:rPr>
          <w:spacing w:val="-5"/>
          <w:sz w:val="22"/>
        </w:rPr>
        <w:t> </w:t>
      </w:r>
      <w:r>
        <w:rPr>
          <w:sz w:val="22"/>
        </w:rPr>
        <w:t>City’s Comprehensive Housing Policy, economic development policy, or redevelopment policy.</w:t>
      </w:r>
    </w:p>
    <w:p>
      <w:pPr>
        <w:pStyle w:val="ListParagraph"/>
        <w:numPr>
          <w:ilvl w:val="1"/>
          <w:numId w:val="16"/>
        </w:numPr>
        <w:tabs>
          <w:tab w:pos="841" w:val="left" w:leader="none"/>
        </w:tabs>
        <w:spacing w:line="237" w:lineRule="auto" w:before="2" w:after="0"/>
        <w:ind w:left="840" w:right="159" w:hanging="361"/>
        <w:jc w:val="both"/>
        <w:rPr>
          <w:rFonts w:ascii="Symbol" w:hAnsi="Symbol"/>
          <w:sz w:val="22"/>
        </w:rPr>
      </w:pPr>
      <w:r>
        <w:rPr>
          <w:sz w:val="22"/>
        </w:rPr>
        <w:t>Housing units developed on the parcels of real property may only be sold, leased, or offered as a lease-purchase to households whose incomes are within the income bands prioritized by the adopted Comprehensive Housing Policy.</w:t>
      </w:r>
    </w:p>
    <w:p>
      <w:pPr>
        <w:pStyle w:val="ListParagraph"/>
        <w:numPr>
          <w:ilvl w:val="1"/>
          <w:numId w:val="16"/>
        </w:numPr>
        <w:tabs>
          <w:tab w:pos="841" w:val="left" w:leader="none"/>
        </w:tabs>
        <w:spacing w:line="237" w:lineRule="auto" w:before="4" w:after="0"/>
        <w:ind w:left="840" w:right="157" w:hanging="361"/>
        <w:jc w:val="both"/>
        <w:rPr>
          <w:rFonts w:ascii="Symbol" w:hAnsi="Symbol"/>
          <w:sz w:val="22"/>
        </w:rPr>
      </w:pPr>
      <w:r>
        <w:rPr>
          <w:sz w:val="22"/>
        </w:rPr>
        <w:t>Housing units developed on the parcels of real property may be either a single family, duplex, or multi-family housing use.</w:t>
      </w:r>
    </w:p>
    <w:p>
      <w:pPr>
        <w:pStyle w:val="BodyText"/>
        <w:spacing w:before="1"/>
      </w:pPr>
    </w:p>
    <w:p>
      <w:pPr>
        <w:pStyle w:val="BodyText"/>
        <w:ind w:left="120" w:right="155"/>
        <w:jc w:val="both"/>
      </w:pPr>
      <w:r>
        <w:rPr/>
        <w:t>Staff may impose additional eligibility criteria that are consistent with this Program, state statute and city ordinance. If land is sold pursuant to Dallas City Code Section 2-26.4, the project must comply with the eligibility criteria set forth in the ordinance.</w:t>
      </w:r>
    </w:p>
    <w:p>
      <w:pPr>
        <w:pStyle w:val="BodyText"/>
        <w:spacing w:before="10"/>
        <w:rPr>
          <w:sz w:val="21"/>
        </w:rPr>
      </w:pPr>
    </w:p>
    <w:p>
      <w:pPr>
        <w:pStyle w:val="Heading5"/>
        <w:spacing w:line="288" w:lineRule="auto"/>
        <w:ind w:right="155"/>
      </w:pPr>
      <w:r>
        <w:rPr/>
        <w:t>Identification of Eligible Households, Affirmative Fair Housing Marketing and Other </w:t>
      </w:r>
      <w:r>
        <w:rPr>
          <w:spacing w:val="-2"/>
        </w:rPr>
        <w:t>Policies</w:t>
      </w:r>
    </w:p>
    <w:p>
      <w:pPr>
        <w:pStyle w:val="BodyText"/>
        <w:ind w:left="120" w:right="154"/>
        <w:jc w:val="both"/>
      </w:pPr>
      <w:r>
        <w:rPr/>
        <w:t>Developers</w:t>
      </w:r>
      <w:r>
        <w:rPr>
          <w:spacing w:val="-6"/>
        </w:rPr>
        <w:t> </w:t>
      </w:r>
      <w:r>
        <w:rPr/>
        <w:t>of</w:t>
      </w:r>
      <w:r>
        <w:rPr>
          <w:spacing w:val="-7"/>
        </w:rPr>
        <w:t> </w:t>
      </w:r>
      <w:r>
        <w:rPr/>
        <w:t>for-sale</w:t>
      </w:r>
      <w:r>
        <w:rPr>
          <w:spacing w:val="-6"/>
        </w:rPr>
        <w:t> </w:t>
      </w:r>
      <w:r>
        <w:rPr/>
        <w:t>housing</w:t>
      </w:r>
      <w:r>
        <w:rPr>
          <w:spacing w:val="-6"/>
        </w:rPr>
        <w:t> </w:t>
      </w:r>
      <w:r>
        <w:rPr/>
        <w:t>units</w:t>
      </w:r>
      <w:r>
        <w:rPr>
          <w:spacing w:val="-8"/>
        </w:rPr>
        <w:t> </w:t>
      </w:r>
      <w:r>
        <w:rPr/>
        <w:t>must</w:t>
      </w:r>
      <w:r>
        <w:rPr>
          <w:spacing w:val="-7"/>
        </w:rPr>
        <w:t> </w:t>
      </w:r>
      <w:r>
        <w:rPr/>
        <w:t>comply</w:t>
      </w:r>
      <w:r>
        <w:rPr>
          <w:spacing w:val="-8"/>
        </w:rPr>
        <w:t> </w:t>
      </w:r>
      <w:r>
        <w:rPr/>
        <w:t>with</w:t>
      </w:r>
      <w:r>
        <w:rPr>
          <w:spacing w:val="-6"/>
        </w:rPr>
        <w:t> </w:t>
      </w:r>
      <w:r>
        <w:rPr/>
        <w:t>all</w:t>
      </w:r>
      <w:r>
        <w:rPr>
          <w:spacing w:val="-7"/>
        </w:rPr>
        <w:t> </w:t>
      </w:r>
      <w:r>
        <w:rPr/>
        <w:t>the</w:t>
      </w:r>
      <w:r>
        <w:rPr>
          <w:spacing w:val="-9"/>
        </w:rPr>
        <w:t> </w:t>
      </w:r>
      <w:r>
        <w:rPr/>
        <w:t>terms</w:t>
      </w:r>
      <w:r>
        <w:rPr>
          <w:spacing w:val="-6"/>
        </w:rPr>
        <w:t> </w:t>
      </w:r>
      <w:r>
        <w:rPr/>
        <w:t>of</w:t>
      </w:r>
      <w:r>
        <w:rPr>
          <w:spacing w:val="-7"/>
        </w:rPr>
        <w:t> </w:t>
      </w:r>
      <w:r>
        <w:rPr/>
        <w:t>the</w:t>
      </w:r>
      <w:r>
        <w:rPr>
          <w:spacing w:val="-9"/>
        </w:rPr>
        <w:t> </w:t>
      </w:r>
      <w:r>
        <w:rPr/>
        <w:t>Mixed</w:t>
      </w:r>
      <w:r>
        <w:rPr>
          <w:spacing w:val="-6"/>
        </w:rPr>
        <w:t> </w:t>
      </w:r>
      <w:r>
        <w:rPr/>
        <w:t>Income</w:t>
      </w:r>
      <w:r>
        <w:rPr>
          <w:spacing w:val="-9"/>
        </w:rPr>
        <w:t> </w:t>
      </w:r>
      <w:r>
        <w:rPr/>
        <w:t>Housing Program as set forth in Chapter 20A of the Dallas City Code, as amended, if applicable. Developers</w:t>
      </w:r>
      <w:r>
        <w:rPr>
          <w:spacing w:val="-2"/>
        </w:rPr>
        <w:t> </w:t>
      </w:r>
      <w:r>
        <w:rPr/>
        <w:t>of</w:t>
      </w:r>
      <w:r>
        <w:rPr>
          <w:spacing w:val="-4"/>
        </w:rPr>
        <w:t> </w:t>
      </w:r>
      <w:r>
        <w:rPr/>
        <w:t>for-sale</w:t>
      </w:r>
      <w:r>
        <w:rPr>
          <w:spacing w:val="-3"/>
        </w:rPr>
        <w:t> </w:t>
      </w:r>
      <w:r>
        <w:rPr/>
        <w:t>housing</w:t>
      </w:r>
      <w:r>
        <w:rPr>
          <w:spacing w:val="-3"/>
        </w:rPr>
        <w:t> </w:t>
      </w:r>
      <w:r>
        <w:rPr/>
        <w:t>units</w:t>
      </w:r>
      <w:r>
        <w:rPr>
          <w:spacing w:val="-5"/>
        </w:rPr>
        <w:t> </w:t>
      </w:r>
      <w:r>
        <w:rPr/>
        <w:t>may</w:t>
      </w:r>
      <w:r>
        <w:rPr>
          <w:spacing w:val="-2"/>
        </w:rPr>
        <w:t> </w:t>
      </w:r>
      <w:r>
        <w:rPr/>
        <w:t>only</w:t>
      </w:r>
      <w:r>
        <w:rPr>
          <w:spacing w:val="-2"/>
        </w:rPr>
        <w:t> </w:t>
      </w:r>
      <w:r>
        <w:rPr/>
        <w:t>sell</w:t>
      </w:r>
      <w:r>
        <w:rPr>
          <w:spacing w:val="-3"/>
        </w:rPr>
        <w:t> </w:t>
      </w:r>
      <w:r>
        <w:rPr/>
        <w:t>to</w:t>
      </w:r>
      <w:r>
        <w:rPr>
          <w:spacing w:val="-3"/>
        </w:rPr>
        <w:t> </w:t>
      </w:r>
      <w:r>
        <w:rPr/>
        <w:t>homebuyers</w:t>
      </w:r>
      <w:r>
        <w:rPr>
          <w:spacing w:val="-2"/>
        </w:rPr>
        <w:t> </w:t>
      </w:r>
      <w:r>
        <w:rPr/>
        <w:t>who</w:t>
      </w:r>
      <w:r>
        <w:rPr>
          <w:spacing w:val="-5"/>
        </w:rPr>
        <w:t> </w:t>
      </w:r>
      <w:r>
        <w:rPr/>
        <w:t>meet the</w:t>
      </w:r>
      <w:r>
        <w:rPr>
          <w:spacing w:val="-5"/>
        </w:rPr>
        <w:t> </w:t>
      </w:r>
      <w:r>
        <w:rPr/>
        <w:t>eligibility</w:t>
      </w:r>
      <w:r>
        <w:rPr>
          <w:spacing w:val="-2"/>
        </w:rPr>
        <w:t> </w:t>
      </w:r>
      <w:r>
        <w:rPr/>
        <w:t>criteria set forth in the City of Dallas Homebuyer Assistance Program (DHAP), or a successor program.</w:t>
      </w:r>
    </w:p>
    <w:p>
      <w:pPr>
        <w:pStyle w:val="BodyText"/>
        <w:spacing w:before="11"/>
        <w:rPr>
          <w:sz w:val="21"/>
        </w:rPr>
      </w:pPr>
    </w:p>
    <w:p>
      <w:pPr>
        <w:pStyle w:val="BodyText"/>
        <w:ind w:left="120" w:right="155"/>
        <w:jc w:val="both"/>
      </w:pPr>
      <w:r>
        <w:rPr/>
        <w:t>Developers</w:t>
      </w:r>
      <w:r>
        <w:rPr>
          <w:spacing w:val="-6"/>
        </w:rPr>
        <w:t> </w:t>
      </w:r>
      <w:r>
        <w:rPr/>
        <w:t>of</w:t>
      </w:r>
      <w:r>
        <w:rPr>
          <w:spacing w:val="-5"/>
        </w:rPr>
        <w:t> </w:t>
      </w:r>
      <w:r>
        <w:rPr/>
        <w:t>rental</w:t>
      </w:r>
      <w:r>
        <w:rPr>
          <w:spacing w:val="-7"/>
        </w:rPr>
        <w:t> </w:t>
      </w:r>
      <w:r>
        <w:rPr/>
        <w:t>housing</w:t>
      </w:r>
      <w:r>
        <w:rPr>
          <w:spacing w:val="-6"/>
        </w:rPr>
        <w:t> </w:t>
      </w:r>
      <w:r>
        <w:rPr/>
        <w:t>or</w:t>
      </w:r>
      <w:r>
        <w:rPr>
          <w:spacing w:val="-5"/>
        </w:rPr>
        <w:t> </w:t>
      </w:r>
      <w:r>
        <w:rPr/>
        <w:t>lease-purchase</w:t>
      </w:r>
      <w:r>
        <w:rPr>
          <w:spacing w:val="-6"/>
        </w:rPr>
        <w:t> </w:t>
      </w:r>
      <w:r>
        <w:rPr/>
        <w:t>units</w:t>
      </w:r>
      <w:r>
        <w:rPr>
          <w:spacing w:val="-6"/>
        </w:rPr>
        <w:t> </w:t>
      </w:r>
      <w:r>
        <w:rPr/>
        <w:t>must</w:t>
      </w:r>
      <w:r>
        <w:rPr>
          <w:spacing w:val="-5"/>
        </w:rPr>
        <w:t> </w:t>
      </w:r>
      <w:r>
        <w:rPr/>
        <w:t>comply</w:t>
      </w:r>
      <w:r>
        <w:rPr>
          <w:spacing w:val="-6"/>
        </w:rPr>
        <w:t> </w:t>
      </w:r>
      <w:r>
        <w:rPr/>
        <w:t>with</w:t>
      </w:r>
      <w:r>
        <w:rPr>
          <w:spacing w:val="-6"/>
        </w:rPr>
        <w:t> </w:t>
      </w:r>
      <w:r>
        <w:rPr/>
        <w:t>all</w:t>
      </w:r>
      <w:r>
        <w:rPr>
          <w:spacing w:val="-7"/>
        </w:rPr>
        <w:t> </w:t>
      </w:r>
      <w:r>
        <w:rPr/>
        <w:t>the</w:t>
      </w:r>
      <w:r>
        <w:rPr>
          <w:spacing w:val="-6"/>
        </w:rPr>
        <w:t> </w:t>
      </w:r>
      <w:r>
        <w:rPr/>
        <w:t>terms</w:t>
      </w:r>
      <w:r>
        <w:rPr>
          <w:spacing w:val="-8"/>
        </w:rPr>
        <w:t> </w:t>
      </w:r>
      <w:r>
        <w:rPr/>
        <w:t>of</w:t>
      </w:r>
      <w:r>
        <w:rPr>
          <w:spacing w:val="-7"/>
        </w:rPr>
        <w:t> </w:t>
      </w:r>
      <w:r>
        <w:rPr/>
        <w:t>the</w:t>
      </w:r>
      <w:r>
        <w:rPr>
          <w:spacing w:val="-7"/>
        </w:rPr>
        <w:t> </w:t>
      </w:r>
      <w:r>
        <w:rPr/>
        <w:t>Mixed Income Housing Program as set forth in Chapter 20A of the Dallas City Code, as amended, if applicable. Such exemptions will be clearly set forth in the development agreement.</w:t>
      </w:r>
    </w:p>
    <w:p>
      <w:pPr>
        <w:pStyle w:val="BodyText"/>
      </w:pPr>
    </w:p>
    <w:p>
      <w:pPr>
        <w:pStyle w:val="Heading5"/>
        <w:spacing w:before="1"/>
        <w:ind w:left="121"/>
      </w:pPr>
      <w:r>
        <w:rPr/>
        <w:t>Sales</w:t>
      </w:r>
      <w:r>
        <w:rPr>
          <w:spacing w:val="-4"/>
        </w:rPr>
        <w:t> </w:t>
      </w:r>
      <w:r>
        <w:rPr/>
        <w:t>Price</w:t>
      </w:r>
      <w:r>
        <w:rPr>
          <w:spacing w:val="-3"/>
        </w:rPr>
        <w:t> </w:t>
      </w:r>
      <w:r>
        <w:rPr/>
        <w:t>of</w:t>
      </w:r>
      <w:r>
        <w:rPr>
          <w:spacing w:val="-1"/>
        </w:rPr>
        <w:t> </w:t>
      </w:r>
      <w:r>
        <w:rPr/>
        <w:t>Parcels</w:t>
      </w:r>
      <w:r>
        <w:rPr>
          <w:spacing w:val="-7"/>
        </w:rPr>
        <w:t> </w:t>
      </w:r>
      <w:r>
        <w:rPr/>
        <w:t>of</w:t>
      </w:r>
      <w:r>
        <w:rPr>
          <w:spacing w:val="-2"/>
        </w:rPr>
        <w:t> </w:t>
      </w:r>
      <w:r>
        <w:rPr/>
        <w:t>Real</w:t>
      </w:r>
      <w:r>
        <w:rPr>
          <w:spacing w:val="-4"/>
        </w:rPr>
        <w:t> </w:t>
      </w:r>
      <w:r>
        <w:rPr/>
        <w:t>Property</w:t>
      </w:r>
      <w:r>
        <w:rPr>
          <w:spacing w:val="-3"/>
        </w:rPr>
        <w:t> </w:t>
      </w:r>
      <w:r>
        <w:rPr/>
        <w:t>Sold</w:t>
      </w:r>
      <w:r>
        <w:rPr>
          <w:spacing w:val="-3"/>
        </w:rPr>
        <w:t> </w:t>
      </w:r>
      <w:r>
        <w:rPr/>
        <w:t>via</w:t>
      </w:r>
      <w:r>
        <w:rPr>
          <w:spacing w:val="-5"/>
        </w:rPr>
        <w:t> </w:t>
      </w:r>
      <w:r>
        <w:rPr/>
        <w:t>the</w:t>
      </w:r>
      <w:r>
        <w:rPr>
          <w:spacing w:val="-2"/>
        </w:rPr>
        <w:t> </w:t>
      </w:r>
      <w:r>
        <w:rPr/>
        <w:t>Land</w:t>
      </w:r>
      <w:r>
        <w:rPr>
          <w:spacing w:val="-8"/>
        </w:rPr>
        <w:t> </w:t>
      </w:r>
      <w:r>
        <w:rPr/>
        <w:t>Transfer</w:t>
      </w:r>
      <w:r>
        <w:rPr>
          <w:spacing w:val="-2"/>
        </w:rPr>
        <w:t> Program</w:t>
      </w:r>
    </w:p>
    <w:p>
      <w:pPr>
        <w:pStyle w:val="BodyText"/>
        <w:spacing w:before="51"/>
        <w:ind w:left="121" w:right="151"/>
        <w:jc w:val="both"/>
      </w:pPr>
      <w:r>
        <w:rPr/>
        <w:t>City-owned real property: Properties will be initially offered at fair market value (“FMV”), as determined by</w:t>
      </w:r>
      <w:r>
        <w:rPr>
          <w:spacing w:val="-2"/>
        </w:rPr>
        <w:t> </w:t>
      </w:r>
      <w:r>
        <w:rPr/>
        <w:t>a comparative</w:t>
      </w:r>
      <w:r>
        <w:rPr>
          <w:spacing w:val="-3"/>
        </w:rPr>
        <w:t> </w:t>
      </w:r>
      <w:r>
        <w:rPr/>
        <w:t>market analysis. A</w:t>
      </w:r>
      <w:r>
        <w:rPr>
          <w:spacing w:val="-5"/>
        </w:rPr>
        <w:t> </w:t>
      </w:r>
      <w:r>
        <w:rPr/>
        <w:t>discount will</w:t>
      </w:r>
      <w:r>
        <w:rPr>
          <w:spacing w:val="-1"/>
        </w:rPr>
        <w:t> </w:t>
      </w:r>
      <w:r>
        <w:rPr/>
        <w:t>be available if project</w:t>
      </w:r>
      <w:r>
        <w:rPr>
          <w:spacing w:val="-1"/>
        </w:rPr>
        <w:t> </w:t>
      </w:r>
      <w:r>
        <w:rPr/>
        <w:t>underwriting indicates that the</w:t>
      </w:r>
      <w:r>
        <w:rPr>
          <w:spacing w:val="-2"/>
        </w:rPr>
        <w:t> </w:t>
      </w:r>
      <w:r>
        <w:rPr/>
        <w:t>discount is</w:t>
      </w:r>
      <w:r>
        <w:rPr>
          <w:spacing w:val="-1"/>
        </w:rPr>
        <w:t> </w:t>
      </w:r>
      <w:r>
        <w:rPr/>
        <w:t>needed</w:t>
      </w:r>
      <w:r>
        <w:rPr>
          <w:spacing w:val="-2"/>
        </w:rPr>
        <w:t> </w:t>
      </w:r>
      <w:r>
        <w:rPr/>
        <w:t>either</w:t>
      </w:r>
      <w:r>
        <w:rPr>
          <w:spacing w:val="-3"/>
        </w:rPr>
        <w:t> </w:t>
      </w:r>
      <w:r>
        <w:rPr/>
        <w:t>to ensure</w:t>
      </w:r>
      <w:r>
        <w:rPr>
          <w:spacing w:val="-2"/>
        </w:rPr>
        <w:t> </w:t>
      </w:r>
      <w:r>
        <w:rPr/>
        <w:t>the</w:t>
      </w:r>
      <w:r>
        <w:rPr>
          <w:spacing w:val="-2"/>
        </w:rPr>
        <w:t> </w:t>
      </w:r>
      <w:r>
        <w:rPr/>
        <w:t>viable sale, lease or lease-purchase</w:t>
      </w:r>
      <w:r>
        <w:rPr>
          <w:spacing w:val="-2"/>
        </w:rPr>
        <w:t> </w:t>
      </w:r>
      <w:r>
        <w:rPr/>
        <w:t>to an</w:t>
      </w:r>
      <w:r>
        <w:rPr>
          <w:spacing w:val="-12"/>
        </w:rPr>
        <w:t> </w:t>
      </w:r>
      <w:r>
        <w:rPr/>
        <w:t>income-qualified</w:t>
      </w:r>
      <w:r>
        <w:rPr>
          <w:spacing w:val="-12"/>
        </w:rPr>
        <w:t> </w:t>
      </w:r>
      <w:r>
        <w:rPr/>
        <w:t>buyer</w:t>
      </w:r>
      <w:r>
        <w:rPr>
          <w:spacing w:val="-11"/>
        </w:rPr>
        <w:t> </w:t>
      </w:r>
      <w:r>
        <w:rPr/>
        <w:t>or</w:t>
      </w:r>
      <w:r>
        <w:rPr>
          <w:spacing w:val="-13"/>
        </w:rPr>
        <w:t> </w:t>
      </w:r>
      <w:r>
        <w:rPr/>
        <w:t>the</w:t>
      </w:r>
      <w:r>
        <w:rPr>
          <w:spacing w:val="-15"/>
        </w:rPr>
        <w:t> </w:t>
      </w:r>
      <w:r>
        <w:rPr/>
        <w:t>viable</w:t>
      </w:r>
      <w:r>
        <w:rPr>
          <w:spacing w:val="-12"/>
        </w:rPr>
        <w:t> </w:t>
      </w:r>
      <w:r>
        <w:rPr/>
        <w:t>development</w:t>
      </w:r>
      <w:r>
        <w:rPr>
          <w:spacing w:val="-11"/>
        </w:rPr>
        <w:t> </w:t>
      </w:r>
      <w:r>
        <w:rPr/>
        <w:t>of</w:t>
      </w:r>
      <w:r>
        <w:rPr>
          <w:spacing w:val="-13"/>
        </w:rPr>
        <w:t> </w:t>
      </w:r>
      <w:r>
        <w:rPr/>
        <w:t>a</w:t>
      </w:r>
      <w:r>
        <w:rPr>
          <w:spacing w:val="-12"/>
        </w:rPr>
        <w:t> </w:t>
      </w:r>
      <w:r>
        <w:rPr/>
        <w:t>commercial</w:t>
      </w:r>
      <w:r>
        <w:rPr>
          <w:spacing w:val="-13"/>
        </w:rPr>
        <w:t> </w:t>
      </w:r>
      <w:r>
        <w:rPr/>
        <w:t>use.</w:t>
      </w:r>
      <w:r>
        <w:rPr>
          <w:spacing w:val="-11"/>
        </w:rPr>
        <w:t> </w:t>
      </w:r>
      <w:r>
        <w:rPr/>
        <w:t>The</w:t>
      </w:r>
      <w:r>
        <w:rPr>
          <w:spacing w:val="-12"/>
        </w:rPr>
        <w:t> </w:t>
      </w:r>
      <w:r>
        <w:rPr/>
        <w:t>discount</w:t>
      </w:r>
      <w:r>
        <w:rPr>
          <w:spacing w:val="-11"/>
        </w:rPr>
        <w:t> </w:t>
      </w:r>
      <w:r>
        <w:rPr/>
        <w:t>is</w:t>
      </w:r>
      <w:r>
        <w:rPr>
          <w:spacing w:val="-14"/>
        </w:rPr>
        <w:t> </w:t>
      </w:r>
      <w:r>
        <w:rPr/>
        <w:t>subject to City Council approval.</w:t>
      </w:r>
    </w:p>
    <w:p>
      <w:pPr>
        <w:pStyle w:val="BodyText"/>
        <w:spacing w:before="10"/>
        <w:rPr>
          <w:sz w:val="21"/>
        </w:rPr>
      </w:pPr>
    </w:p>
    <w:p>
      <w:pPr>
        <w:pStyle w:val="BodyText"/>
        <w:ind w:left="121" w:right="155"/>
        <w:jc w:val="both"/>
      </w:pPr>
      <w:r>
        <w:rPr/>
        <w:t>Tax-foreclosed</w:t>
      </w:r>
      <w:r>
        <w:rPr>
          <w:spacing w:val="-14"/>
        </w:rPr>
        <w:t> </w:t>
      </w:r>
      <w:r>
        <w:rPr/>
        <w:t>real</w:t>
      </w:r>
      <w:r>
        <w:rPr>
          <w:spacing w:val="-12"/>
        </w:rPr>
        <w:t> </w:t>
      </w:r>
      <w:r>
        <w:rPr/>
        <w:t>property:</w:t>
      </w:r>
      <w:r>
        <w:rPr>
          <w:spacing w:val="-10"/>
        </w:rPr>
        <w:t> </w:t>
      </w:r>
      <w:r>
        <w:rPr/>
        <w:t>A</w:t>
      </w:r>
      <w:r>
        <w:rPr>
          <w:spacing w:val="-14"/>
        </w:rPr>
        <w:t> </w:t>
      </w:r>
      <w:r>
        <w:rPr/>
        <w:t>fixed</w:t>
      </w:r>
      <w:r>
        <w:rPr>
          <w:spacing w:val="-14"/>
        </w:rPr>
        <w:t> </w:t>
      </w:r>
      <w:r>
        <w:rPr/>
        <w:t>price</w:t>
      </w:r>
      <w:r>
        <w:rPr>
          <w:spacing w:val="-11"/>
        </w:rPr>
        <w:t> </w:t>
      </w:r>
      <w:r>
        <w:rPr/>
        <w:t>of</w:t>
      </w:r>
      <w:r>
        <w:rPr>
          <w:spacing w:val="-12"/>
        </w:rPr>
        <w:t> </w:t>
      </w:r>
      <w:r>
        <w:rPr/>
        <w:t>$1,000</w:t>
      </w:r>
      <w:r>
        <w:rPr>
          <w:spacing w:val="-11"/>
        </w:rPr>
        <w:t> </w:t>
      </w:r>
      <w:r>
        <w:rPr/>
        <w:t>for</w:t>
      </w:r>
      <w:r>
        <w:rPr>
          <w:spacing w:val="-10"/>
        </w:rPr>
        <w:t> </w:t>
      </w:r>
      <w:r>
        <w:rPr/>
        <w:t>up</w:t>
      </w:r>
      <w:r>
        <w:rPr>
          <w:spacing w:val="-14"/>
        </w:rPr>
        <w:t> </w:t>
      </w:r>
      <w:r>
        <w:rPr/>
        <w:t>to</w:t>
      </w:r>
      <w:r>
        <w:rPr>
          <w:spacing w:val="-14"/>
        </w:rPr>
        <w:t> </w:t>
      </w:r>
      <w:r>
        <w:rPr/>
        <w:t>7,500</w:t>
      </w:r>
      <w:r>
        <w:rPr>
          <w:spacing w:val="-14"/>
        </w:rPr>
        <w:t> </w:t>
      </w:r>
      <w:r>
        <w:rPr/>
        <w:t>square</w:t>
      </w:r>
      <w:r>
        <w:rPr>
          <w:spacing w:val="-14"/>
        </w:rPr>
        <w:t> </w:t>
      </w:r>
      <w:r>
        <w:rPr/>
        <w:t>feet</w:t>
      </w:r>
      <w:r>
        <w:rPr>
          <w:spacing w:val="-10"/>
        </w:rPr>
        <w:t> </w:t>
      </w:r>
      <w:r>
        <w:rPr/>
        <w:t>of</w:t>
      </w:r>
      <w:r>
        <w:rPr>
          <w:spacing w:val="-10"/>
        </w:rPr>
        <w:t> </w:t>
      </w:r>
      <w:r>
        <w:rPr/>
        <w:t>land</w:t>
      </w:r>
      <w:r>
        <w:rPr>
          <w:spacing w:val="-14"/>
        </w:rPr>
        <w:t> </w:t>
      </w:r>
      <w:r>
        <w:rPr/>
        <w:t>purchased under</w:t>
      </w:r>
      <w:r>
        <w:rPr>
          <w:spacing w:val="-1"/>
        </w:rPr>
        <w:t> </w:t>
      </w:r>
      <w:r>
        <w:rPr/>
        <w:t>a</w:t>
      </w:r>
      <w:r>
        <w:rPr>
          <w:spacing w:val="-4"/>
        </w:rPr>
        <w:t> </w:t>
      </w:r>
      <w:r>
        <w:rPr/>
        <w:t>single</w:t>
      </w:r>
      <w:r>
        <w:rPr>
          <w:spacing w:val="-3"/>
        </w:rPr>
        <w:t> </w:t>
      </w:r>
      <w:r>
        <w:rPr/>
        <w:t>proposal,</w:t>
      </w:r>
      <w:r>
        <w:rPr>
          <w:spacing w:val="-5"/>
        </w:rPr>
        <w:t> </w:t>
      </w:r>
      <w:r>
        <w:rPr/>
        <w:t>plus</w:t>
      </w:r>
      <w:r>
        <w:rPr>
          <w:spacing w:val="-2"/>
        </w:rPr>
        <w:t> </w:t>
      </w:r>
      <w:r>
        <w:rPr/>
        <w:t>$0.133</w:t>
      </w:r>
      <w:r>
        <w:rPr>
          <w:spacing w:val="-6"/>
        </w:rPr>
        <w:t> </w:t>
      </w:r>
      <w:r>
        <w:rPr/>
        <w:t>for</w:t>
      </w:r>
      <w:r>
        <w:rPr>
          <w:spacing w:val="-3"/>
        </w:rPr>
        <w:t> </w:t>
      </w:r>
      <w:r>
        <w:rPr/>
        <w:t>each</w:t>
      </w:r>
      <w:r>
        <w:rPr>
          <w:spacing w:val="-4"/>
        </w:rPr>
        <w:t> </w:t>
      </w:r>
      <w:r>
        <w:rPr/>
        <w:t>additional</w:t>
      </w:r>
      <w:r>
        <w:rPr>
          <w:spacing w:val="-3"/>
        </w:rPr>
        <w:t> </w:t>
      </w:r>
      <w:r>
        <w:rPr/>
        <w:t>square</w:t>
      </w:r>
      <w:r>
        <w:rPr>
          <w:spacing w:val="-4"/>
        </w:rPr>
        <w:t> </w:t>
      </w:r>
      <w:r>
        <w:rPr/>
        <w:t>foot</w:t>
      </w:r>
      <w:r>
        <w:rPr>
          <w:spacing w:val="-3"/>
        </w:rPr>
        <w:t> </w:t>
      </w:r>
      <w:r>
        <w:rPr/>
        <w:t>of</w:t>
      </w:r>
      <w:r>
        <w:rPr>
          <w:spacing w:val="-3"/>
        </w:rPr>
        <w:t> </w:t>
      </w:r>
      <w:r>
        <w:rPr/>
        <w:t>land</w:t>
      </w:r>
      <w:r>
        <w:rPr>
          <w:spacing w:val="-4"/>
        </w:rPr>
        <w:t> </w:t>
      </w:r>
      <w:r>
        <w:rPr/>
        <w:t>purchased</w:t>
      </w:r>
      <w:r>
        <w:rPr>
          <w:spacing w:val="-3"/>
        </w:rPr>
        <w:t> </w:t>
      </w:r>
      <w:r>
        <w:rPr/>
        <w:t>under</w:t>
      </w:r>
      <w:r>
        <w:rPr>
          <w:spacing w:val="-3"/>
        </w:rPr>
        <w:t> </w:t>
      </w:r>
      <w:r>
        <w:rPr/>
        <w:t>the proposal. If land is sold pursuant to Dallas City Code Section 2-26.4, the sales price set forth in the ordinance applies.</w:t>
      </w:r>
    </w:p>
    <w:p>
      <w:pPr>
        <w:pStyle w:val="BodyText"/>
      </w:pPr>
    </w:p>
    <w:p>
      <w:pPr>
        <w:pStyle w:val="Heading5"/>
        <w:ind w:left="121"/>
      </w:pPr>
      <w:r>
        <w:rPr/>
        <w:t>Sales</w:t>
      </w:r>
      <w:r>
        <w:rPr>
          <w:spacing w:val="-7"/>
        </w:rPr>
        <w:t> </w:t>
      </w:r>
      <w:r>
        <w:rPr/>
        <w:t>Price</w:t>
      </w:r>
      <w:r>
        <w:rPr>
          <w:spacing w:val="-4"/>
        </w:rPr>
        <w:t> </w:t>
      </w:r>
      <w:r>
        <w:rPr/>
        <w:t>of</w:t>
      </w:r>
      <w:r>
        <w:rPr>
          <w:spacing w:val="-3"/>
        </w:rPr>
        <w:t> </w:t>
      </w:r>
      <w:r>
        <w:rPr/>
        <w:t>For-Sale</w:t>
      </w:r>
      <w:r>
        <w:rPr>
          <w:spacing w:val="-8"/>
        </w:rPr>
        <w:t> </w:t>
      </w:r>
      <w:r>
        <w:rPr/>
        <w:t>Housing</w:t>
      </w:r>
      <w:r>
        <w:rPr>
          <w:spacing w:val="-3"/>
        </w:rPr>
        <w:t> </w:t>
      </w:r>
      <w:r>
        <w:rPr/>
        <w:t>Units</w:t>
      </w:r>
      <w:r>
        <w:rPr>
          <w:spacing w:val="-4"/>
        </w:rPr>
        <w:t> </w:t>
      </w:r>
      <w:r>
        <w:rPr/>
        <w:t>Developed</w:t>
      </w:r>
      <w:r>
        <w:rPr>
          <w:spacing w:val="-5"/>
        </w:rPr>
        <w:t> </w:t>
      </w:r>
      <w:r>
        <w:rPr/>
        <w:t>via</w:t>
      </w:r>
      <w:r>
        <w:rPr>
          <w:spacing w:val="-6"/>
        </w:rPr>
        <w:t> </w:t>
      </w:r>
      <w:r>
        <w:rPr/>
        <w:t>the</w:t>
      </w:r>
      <w:r>
        <w:rPr>
          <w:spacing w:val="-6"/>
        </w:rPr>
        <w:t> </w:t>
      </w:r>
      <w:r>
        <w:rPr/>
        <w:t>Land</w:t>
      </w:r>
      <w:r>
        <w:rPr>
          <w:spacing w:val="-6"/>
        </w:rPr>
        <w:t> </w:t>
      </w:r>
      <w:r>
        <w:rPr/>
        <w:t>Transfer</w:t>
      </w:r>
      <w:r>
        <w:rPr>
          <w:spacing w:val="-3"/>
        </w:rPr>
        <w:t> </w:t>
      </w:r>
      <w:r>
        <w:rPr>
          <w:spacing w:val="-2"/>
        </w:rPr>
        <w:t>Program</w:t>
      </w:r>
    </w:p>
    <w:p>
      <w:pPr>
        <w:pStyle w:val="BodyText"/>
        <w:spacing w:before="52"/>
        <w:ind w:left="121" w:right="156"/>
        <w:jc w:val="both"/>
      </w:pPr>
      <w:r>
        <w:rPr/>
        <w:t>For-sale units produced under the Land Transfer Program must be sold at the fair market value as</w:t>
      </w:r>
      <w:r>
        <w:rPr>
          <w:spacing w:val="40"/>
        </w:rPr>
        <w:t> </w:t>
      </w:r>
      <w:r>
        <w:rPr/>
        <w:t>determined</w:t>
      </w:r>
      <w:r>
        <w:rPr>
          <w:spacing w:val="40"/>
        </w:rPr>
        <w:t> </w:t>
      </w:r>
      <w:r>
        <w:rPr/>
        <w:t>by</w:t>
      </w:r>
      <w:r>
        <w:rPr>
          <w:spacing w:val="40"/>
        </w:rPr>
        <w:t> </w:t>
      </w:r>
      <w:r>
        <w:rPr/>
        <w:t>an</w:t>
      </w:r>
      <w:r>
        <w:rPr>
          <w:spacing w:val="40"/>
        </w:rPr>
        <w:t> </w:t>
      </w:r>
      <w:r>
        <w:rPr/>
        <w:t>“as-completed”</w:t>
      </w:r>
      <w:r>
        <w:rPr>
          <w:spacing w:val="40"/>
        </w:rPr>
        <w:t> </w:t>
      </w:r>
      <w:r>
        <w:rPr/>
        <w:t>or</w:t>
      </w:r>
      <w:r>
        <w:rPr>
          <w:spacing w:val="40"/>
        </w:rPr>
        <w:t> </w:t>
      </w:r>
      <w:r>
        <w:rPr/>
        <w:t>“subject</w:t>
      </w:r>
      <w:r>
        <w:rPr>
          <w:spacing w:val="40"/>
        </w:rPr>
        <w:t> </w:t>
      </w:r>
      <w:r>
        <w:rPr/>
        <w:t>to</w:t>
      </w:r>
      <w:r>
        <w:rPr>
          <w:spacing w:val="40"/>
        </w:rPr>
        <w:t> </w:t>
      </w:r>
      <w:r>
        <w:rPr/>
        <w:t>completion”</w:t>
      </w:r>
      <w:r>
        <w:rPr>
          <w:spacing w:val="40"/>
        </w:rPr>
        <w:t> </w:t>
      </w:r>
      <w:r>
        <w:rPr/>
        <w:t>appraisal</w:t>
      </w:r>
      <w:r>
        <w:rPr>
          <w:spacing w:val="40"/>
        </w:rPr>
        <w:t> </w:t>
      </w:r>
      <w:r>
        <w:rPr/>
        <w:t>completed</w:t>
      </w:r>
      <w:r>
        <w:rPr>
          <w:spacing w:val="40"/>
        </w:rPr>
        <w:t> </w:t>
      </w:r>
      <w:r>
        <w:rPr/>
        <w:t>by</w:t>
      </w:r>
      <w:r>
        <w:rPr>
          <w:spacing w:val="40"/>
        </w:rPr>
        <w:t> </w:t>
      </w:r>
      <w:r>
        <w:rPr/>
        <w:t>an</w:t>
      </w:r>
    </w:p>
    <w:p>
      <w:pPr>
        <w:spacing w:after="0"/>
        <w:jc w:val="both"/>
        <w:sectPr>
          <w:pgSz w:w="12240" w:h="15840"/>
          <w:pgMar w:header="0" w:footer="1176" w:top="1360" w:bottom="1360" w:left="1320" w:right="1280"/>
        </w:sectPr>
      </w:pPr>
    </w:p>
    <w:p>
      <w:pPr>
        <w:pStyle w:val="BodyText"/>
        <w:spacing w:before="80"/>
        <w:ind w:left="119" w:right="155"/>
        <w:jc w:val="both"/>
      </w:pPr>
      <w:r>
        <w:rPr/>
        <w:t>independent state-licensed appraiser. However, the terms of the development agreement for each parcel of real property purchased pursuant to the Program will include any seller-discount that must be</w:t>
      </w:r>
      <w:r>
        <w:rPr>
          <w:spacing w:val="-2"/>
        </w:rPr>
        <w:t> </w:t>
      </w:r>
      <w:r>
        <w:rPr/>
        <w:t>provided to</w:t>
      </w:r>
      <w:r>
        <w:rPr>
          <w:spacing w:val="-4"/>
        </w:rPr>
        <w:t> </w:t>
      </w:r>
      <w:r>
        <w:rPr/>
        <w:t>the eligible purchaser so</w:t>
      </w:r>
      <w:r>
        <w:rPr>
          <w:spacing w:val="-4"/>
        </w:rPr>
        <w:t> </w:t>
      </w:r>
      <w:r>
        <w:rPr/>
        <w:t>that the</w:t>
      </w:r>
      <w:r>
        <w:rPr>
          <w:spacing w:val="-2"/>
        </w:rPr>
        <w:t> </w:t>
      </w:r>
      <w:r>
        <w:rPr/>
        <w:t>amount paid by</w:t>
      </w:r>
      <w:r>
        <w:rPr>
          <w:spacing w:val="-1"/>
        </w:rPr>
        <w:t> </w:t>
      </w:r>
      <w:r>
        <w:rPr/>
        <w:t>the eligible purchaser is affordable based on their income.</w:t>
      </w:r>
    </w:p>
    <w:p>
      <w:pPr>
        <w:pStyle w:val="BodyText"/>
        <w:spacing w:before="11"/>
        <w:rPr>
          <w:sz w:val="21"/>
        </w:rPr>
      </w:pPr>
    </w:p>
    <w:p>
      <w:pPr>
        <w:pStyle w:val="Heading5"/>
        <w:ind w:left="119"/>
      </w:pPr>
      <w:r>
        <w:rPr/>
        <w:t>Rental</w:t>
      </w:r>
      <w:r>
        <w:rPr>
          <w:spacing w:val="-5"/>
        </w:rPr>
        <w:t> </w:t>
      </w:r>
      <w:r>
        <w:rPr/>
        <w:t>Rates</w:t>
      </w:r>
      <w:r>
        <w:rPr>
          <w:spacing w:val="-6"/>
        </w:rPr>
        <w:t> </w:t>
      </w:r>
      <w:r>
        <w:rPr/>
        <w:t>for</w:t>
      </w:r>
      <w:r>
        <w:rPr>
          <w:spacing w:val="-6"/>
        </w:rPr>
        <w:t> </w:t>
      </w:r>
      <w:r>
        <w:rPr/>
        <w:t>Rental</w:t>
      </w:r>
      <w:r>
        <w:rPr>
          <w:spacing w:val="-5"/>
        </w:rPr>
        <w:t> </w:t>
      </w:r>
      <w:r>
        <w:rPr/>
        <w:t>Housing</w:t>
      </w:r>
      <w:r>
        <w:rPr>
          <w:spacing w:val="-3"/>
        </w:rPr>
        <w:t> </w:t>
      </w:r>
      <w:r>
        <w:rPr/>
        <w:t>Units</w:t>
      </w:r>
      <w:r>
        <w:rPr>
          <w:spacing w:val="-7"/>
        </w:rPr>
        <w:t> </w:t>
      </w:r>
      <w:r>
        <w:rPr/>
        <w:t>Developed</w:t>
      </w:r>
      <w:r>
        <w:rPr>
          <w:spacing w:val="-3"/>
        </w:rPr>
        <w:t> </w:t>
      </w:r>
      <w:r>
        <w:rPr/>
        <w:t>via</w:t>
      </w:r>
      <w:r>
        <w:rPr>
          <w:spacing w:val="-6"/>
        </w:rPr>
        <w:t> </w:t>
      </w:r>
      <w:r>
        <w:rPr/>
        <w:t>the</w:t>
      </w:r>
      <w:r>
        <w:rPr>
          <w:spacing w:val="-7"/>
        </w:rPr>
        <w:t> </w:t>
      </w:r>
      <w:r>
        <w:rPr/>
        <w:t>Land</w:t>
      </w:r>
      <w:r>
        <w:rPr>
          <w:spacing w:val="-6"/>
        </w:rPr>
        <w:t> </w:t>
      </w:r>
      <w:r>
        <w:rPr/>
        <w:t>Transfer</w:t>
      </w:r>
      <w:r>
        <w:rPr>
          <w:spacing w:val="-3"/>
        </w:rPr>
        <w:t> </w:t>
      </w:r>
      <w:r>
        <w:rPr>
          <w:spacing w:val="-2"/>
        </w:rPr>
        <w:t>Program</w:t>
      </w:r>
    </w:p>
    <w:p>
      <w:pPr>
        <w:pStyle w:val="BodyText"/>
        <w:spacing w:before="52"/>
        <w:ind w:left="119" w:right="157"/>
        <w:jc w:val="both"/>
      </w:pPr>
      <w:r>
        <w:rPr/>
        <w:pict>
          <v:shape style="position:absolute;margin-left:90.065002pt;margin-top:38.601376pt;width:395.3pt;height:419pt;mso-position-horizontal-relative:page;mso-position-vertical-relative:paragraph;z-index:-17700864" id="docshape88" coordorigin="1801,772" coordsize="7906,8380" path="m4498,8036l4492,7962,4477,7884,4455,7801,4432,7732,4403,7660,4367,7585,4325,7507,4276,7427,4237,7368,4200,7317,4200,8002,4197,8059,4186,8116,4167,8173,4138,8233,4097,8295,4044,8361,3979,8431,3674,8736,2216,7279,2517,6978,2598,6902,2672,6842,2740,6798,2801,6772,2868,6757,2941,6753,3020,6760,3105,6778,3195,6807,3255,6833,3317,6865,3380,6904,3446,6949,3514,7000,3584,7058,3656,7123,3729,7194,3789,7256,3845,7316,3896,7375,3943,7433,3986,7489,4025,7545,4059,7599,4101,7673,4136,7746,4163,7815,4183,7882,4196,7946,4200,8002,4200,7317,4194,7308,4148,7248,4098,7187,4045,7126,3989,7065,3929,7003,3865,6941,3801,6882,3737,6827,3673,6776,3643,6753,3609,6728,3546,6683,3482,6642,3419,6604,3346,6567,3274,6534,3203,6507,3132,6485,3062,6468,2992,6456,2923,6449,2850,6447,2779,6454,2709,6469,2642,6492,2577,6522,2528,6551,2476,6588,2420,6633,2359,6687,2294,6750,1801,7243,3710,9151,4124,8736,4226,8635,4287,8569,4341,8504,4386,8438,4424,8372,4454,8305,4476,8239,4491,8172,4498,8104,4498,8036xm6418,6443l6056,6315,5650,6172,5561,6143,5475,6119,5393,6100,5365,6095,5314,6086,5239,6075,5193,6074,5143,6077,5089,6084,5030,6095,5073,6025,5109,5956,5136,5886,5154,5817,5164,5749,5165,5681,5157,5613,5139,5535,5111,5459,5075,5384,5030,5312,4976,5241,4956,5218,4913,5172,4872,5134,4872,5691,4868,5747,4854,5802,4830,5858,4794,5917,4747,5978,4687,6041,4280,6448,3649,5817,4102,5364,4166,5307,4229,5264,4293,5235,4358,5219,4422,5218,4501,5233,4577,5263,4649,5308,4718,5367,4761,5415,4797,5466,4827,5519,4851,5576,4867,5634,4872,5691,4872,5134,4849,5112,4782,5060,4713,5015,4641,4976,4566,4944,4474,4916,4386,4903,4303,4905,4225,4921,4163,4946,4098,4982,4030,5030,3958,5090,3883,5161,3248,5796,5157,7704,5346,7515,4499,6667,4718,6448,4753,6414,4783,6387,4810,6366,4833,6351,4863,6337,4896,6327,4932,6319,4971,6315,5014,6315,5066,6320,5125,6331,5194,6347,5256,6364,5328,6385,5407,6410,5496,6439,6180,6681,6418,6443xm7780,5080l7415,4885,6555,4431,6555,4738,6070,5223,6030,5152,5989,5080,5748,4650,5708,4578,5668,4506,5629,4441,5590,4376,5550,4312,5509,4249,5467,4187,5424,4125,5380,4065,5436,4101,5498,4138,5564,4178,5635,4220,5792,4311,6555,4738,6555,4431,5862,4065,5286,3758,5082,3962,5277,4313,5316,4383,5701,5080,6207,5999,6441,6420,6642,6219,6565,6085,6298,5617,6221,5484,6481,5223,6820,4885,7173,5080,7565,5296,7780,5080xm8131,4730l7264,3863,7936,3191,7711,2966,7039,3638,6448,3047,7224,2271,6999,2045,6033,3011,7941,4919,8131,4730xm9707,3154l8024,1471,8497,997,8272,772,7138,1907,7363,2132,7834,1660,9517,3343,9707,3154xe" filled="true" fillcolor="#c0c0c0" stroked="false">
            <v:path arrowok="t"/>
            <v:fill opacity="32896f" type="solid"/>
            <w10:wrap type="none"/>
          </v:shape>
        </w:pict>
      </w:r>
      <w:r>
        <w:rPr/>
        <w:t>Rental</w:t>
      </w:r>
      <w:r>
        <w:rPr>
          <w:spacing w:val="-10"/>
        </w:rPr>
        <w:t> </w:t>
      </w:r>
      <w:r>
        <w:rPr/>
        <w:t>units</w:t>
      </w:r>
      <w:r>
        <w:rPr>
          <w:spacing w:val="-12"/>
        </w:rPr>
        <w:t> </w:t>
      </w:r>
      <w:r>
        <w:rPr/>
        <w:t>produced</w:t>
      </w:r>
      <w:r>
        <w:rPr>
          <w:spacing w:val="-12"/>
        </w:rPr>
        <w:t> </w:t>
      </w:r>
      <w:r>
        <w:rPr/>
        <w:t>under</w:t>
      </w:r>
      <w:r>
        <w:rPr>
          <w:spacing w:val="-11"/>
        </w:rPr>
        <w:t> </w:t>
      </w:r>
      <w:r>
        <w:rPr/>
        <w:t>the</w:t>
      </w:r>
      <w:r>
        <w:rPr>
          <w:spacing w:val="-10"/>
        </w:rPr>
        <w:t> </w:t>
      </w:r>
      <w:r>
        <w:rPr/>
        <w:t>Land</w:t>
      </w:r>
      <w:r>
        <w:rPr>
          <w:spacing w:val="-12"/>
        </w:rPr>
        <w:t> </w:t>
      </w:r>
      <w:r>
        <w:rPr/>
        <w:t>Transfer</w:t>
      </w:r>
      <w:r>
        <w:rPr>
          <w:spacing w:val="-9"/>
        </w:rPr>
        <w:t> </w:t>
      </w:r>
      <w:r>
        <w:rPr/>
        <w:t>Program</w:t>
      </w:r>
      <w:r>
        <w:rPr>
          <w:spacing w:val="-11"/>
        </w:rPr>
        <w:t> </w:t>
      </w:r>
      <w:r>
        <w:rPr/>
        <w:t>must</w:t>
      </w:r>
      <w:r>
        <w:rPr>
          <w:spacing w:val="-11"/>
        </w:rPr>
        <w:t> </w:t>
      </w:r>
      <w:r>
        <w:rPr/>
        <w:t>be</w:t>
      </w:r>
      <w:r>
        <w:rPr>
          <w:spacing w:val="-12"/>
        </w:rPr>
        <w:t> </w:t>
      </w:r>
      <w:r>
        <w:rPr/>
        <w:t>leased</w:t>
      </w:r>
      <w:r>
        <w:rPr>
          <w:spacing w:val="-10"/>
        </w:rPr>
        <w:t> </w:t>
      </w:r>
      <w:r>
        <w:rPr/>
        <w:t>at</w:t>
      </w:r>
      <w:r>
        <w:rPr>
          <w:spacing w:val="-11"/>
        </w:rPr>
        <w:t> </w:t>
      </w:r>
      <w:r>
        <w:rPr/>
        <w:t>affordable</w:t>
      </w:r>
      <w:r>
        <w:rPr>
          <w:spacing w:val="-10"/>
        </w:rPr>
        <w:t> </w:t>
      </w:r>
      <w:r>
        <w:rPr/>
        <w:t>rental</w:t>
      </w:r>
      <w:r>
        <w:rPr>
          <w:spacing w:val="-13"/>
        </w:rPr>
        <w:t> </w:t>
      </w:r>
      <w:r>
        <w:rPr/>
        <w:t>rates in accordance with the approved development agreement and Chapter 20A of the Dallas City Code, as amended. If land is sold pursuant to Dallas City Code Section 2-26.4, the rental rates set forth in the ordinance applies.</w:t>
      </w:r>
    </w:p>
    <w:p>
      <w:pPr>
        <w:pStyle w:val="BodyText"/>
        <w:spacing w:before="10"/>
        <w:rPr>
          <w:sz w:val="21"/>
        </w:rPr>
      </w:pPr>
    </w:p>
    <w:p>
      <w:pPr>
        <w:pStyle w:val="Heading5"/>
        <w:spacing w:before="1"/>
        <w:ind w:left="119"/>
      </w:pPr>
      <w:r>
        <w:rPr/>
        <w:t>Term</w:t>
      </w:r>
      <w:r>
        <w:rPr>
          <w:spacing w:val="-2"/>
        </w:rPr>
        <w:t> </w:t>
      </w:r>
      <w:r>
        <w:rPr/>
        <w:t>of</w:t>
      </w:r>
      <w:r>
        <w:rPr>
          <w:spacing w:val="-3"/>
        </w:rPr>
        <w:t> </w:t>
      </w:r>
      <w:r>
        <w:rPr>
          <w:spacing w:val="-2"/>
        </w:rPr>
        <w:t>Affordability</w:t>
      </w:r>
    </w:p>
    <w:p>
      <w:pPr>
        <w:pStyle w:val="BodyText"/>
        <w:spacing w:before="49"/>
        <w:ind w:left="119" w:right="158"/>
        <w:jc w:val="both"/>
      </w:pPr>
      <w:r>
        <w:rPr/>
        <w:t>The term of affordability for for-sale housing units is 5 years from the filing date of the deed transferring the unit from developer to homebuyer.</w:t>
      </w:r>
    </w:p>
    <w:p>
      <w:pPr>
        <w:pStyle w:val="BodyText"/>
        <w:spacing w:before="11"/>
        <w:rPr>
          <w:sz w:val="21"/>
        </w:rPr>
      </w:pPr>
    </w:p>
    <w:p>
      <w:pPr>
        <w:pStyle w:val="BodyText"/>
        <w:ind w:left="119" w:right="156"/>
        <w:jc w:val="both"/>
      </w:pPr>
      <w:r>
        <w:rPr/>
        <w:t>The term of affordability for rental units and commercial uses is 20 years from the date that the first unit is occupied by an eligible tenant.</w:t>
      </w:r>
    </w:p>
    <w:p>
      <w:pPr>
        <w:pStyle w:val="BodyText"/>
        <w:spacing w:before="1"/>
      </w:pPr>
    </w:p>
    <w:p>
      <w:pPr>
        <w:pStyle w:val="BodyText"/>
        <w:spacing w:before="1"/>
        <w:ind w:left="119" w:right="155"/>
        <w:jc w:val="both"/>
      </w:pPr>
      <w:r>
        <w:rPr/>
        <w:t>The term of affordability for lease-purchase units will be negotiated on a case-by-case basis in accordance with the goals of this Program.</w:t>
      </w:r>
    </w:p>
    <w:p>
      <w:pPr>
        <w:pStyle w:val="BodyText"/>
        <w:spacing w:before="10"/>
        <w:rPr>
          <w:sz w:val="21"/>
        </w:rPr>
      </w:pPr>
    </w:p>
    <w:p>
      <w:pPr>
        <w:pStyle w:val="BodyText"/>
        <w:ind w:left="119" w:right="154"/>
        <w:jc w:val="both"/>
      </w:pPr>
      <w:r>
        <w:rPr/>
        <w:t>If</w:t>
      </w:r>
      <w:r>
        <w:rPr>
          <w:spacing w:val="-5"/>
        </w:rPr>
        <w:t> </w:t>
      </w:r>
      <w:r>
        <w:rPr/>
        <w:t>land</w:t>
      </w:r>
      <w:r>
        <w:rPr>
          <w:spacing w:val="-9"/>
        </w:rPr>
        <w:t> </w:t>
      </w:r>
      <w:r>
        <w:rPr/>
        <w:t>is</w:t>
      </w:r>
      <w:r>
        <w:rPr>
          <w:spacing w:val="-6"/>
        </w:rPr>
        <w:t> </w:t>
      </w:r>
      <w:r>
        <w:rPr/>
        <w:t>sold</w:t>
      </w:r>
      <w:r>
        <w:rPr>
          <w:spacing w:val="-6"/>
        </w:rPr>
        <w:t> </w:t>
      </w:r>
      <w:r>
        <w:rPr/>
        <w:t>pursuant</w:t>
      </w:r>
      <w:r>
        <w:rPr>
          <w:spacing w:val="-7"/>
        </w:rPr>
        <w:t> </w:t>
      </w:r>
      <w:r>
        <w:rPr/>
        <w:t>to</w:t>
      </w:r>
      <w:r>
        <w:rPr>
          <w:spacing w:val="-9"/>
        </w:rPr>
        <w:t> </w:t>
      </w:r>
      <w:r>
        <w:rPr/>
        <w:t>Dallas</w:t>
      </w:r>
      <w:r>
        <w:rPr>
          <w:spacing w:val="-6"/>
        </w:rPr>
        <w:t> </w:t>
      </w:r>
      <w:r>
        <w:rPr/>
        <w:t>City</w:t>
      </w:r>
      <w:r>
        <w:rPr>
          <w:spacing w:val="-6"/>
        </w:rPr>
        <w:t> </w:t>
      </w:r>
      <w:r>
        <w:rPr/>
        <w:t>Code</w:t>
      </w:r>
      <w:r>
        <w:rPr>
          <w:spacing w:val="-6"/>
        </w:rPr>
        <w:t> </w:t>
      </w:r>
      <w:r>
        <w:rPr/>
        <w:t>Section</w:t>
      </w:r>
      <w:r>
        <w:rPr>
          <w:spacing w:val="-6"/>
        </w:rPr>
        <w:t> </w:t>
      </w:r>
      <w:r>
        <w:rPr/>
        <w:t>2-26.4,</w:t>
      </w:r>
      <w:r>
        <w:rPr>
          <w:spacing w:val="-7"/>
        </w:rPr>
        <w:t> </w:t>
      </w:r>
      <w:r>
        <w:rPr/>
        <w:t>the</w:t>
      </w:r>
      <w:r>
        <w:rPr>
          <w:spacing w:val="-9"/>
        </w:rPr>
        <w:t> </w:t>
      </w:r>
      <w:r>
        <w:rPr/>
        <w:t>term</w:t>
      </w:r>
      <w:r>
        <w:rPr>
          <w:spacing w:val="-5"/>
        </w:rPr>
        <w:t> </w:t>
      </w:r>
      <w:r>
        <w:rPr/>
        <w:t>of</w:t>
      </w:r>
      <w:r>
        <w:rPr>
          <w:spacing w:val="-5"/>
        </w:rPr>
        <w:t> </w:t>
      </w:r>
      <w:r>
        <w:rPr/>
        <w:t>affordability</w:t>
      </w:r>
      <w:r>
        <w:rPr>
          <w:spacing w:val="-6"/>
        </w:rPr>
        <w:t> </w:t>
      </w:r>
      <w:r>
        <w:rPr/>
        <w:t>set</w:t>
      </w:r>
      <w:r>
        <w:rPr>
          <w:spacing w:val="-7"/>
        </w:rPr>
        <w:t> </w:t>
      </w:r>
      <w:r>
        <w:rPr/>
        <w:t>forth</w:t>
      </w:r>
      <w:r>
        <w:rPr>
          <w:spacing w:val="-9"/>
        </w:rPr>
        <w:t> </w:t>
      </w:r>
      <w:r>
        <w:rPr/>
        <w:t>in</w:t>
      </w:r>
      <w:r>
        <w:rPr>
          <w:spacing w:val="-6"/>
        </w:rPr>
        <w:t> </w:t>
      </w:r>
      <w:r>
        <w:rPr/>
        <w:t>the ordinance applies.</w:t>
      </w:r>
    </w:p>
    <w:p>
      <w:pPr>
        <w:pStyle w:val="BodyText"/>
      </w:pPr>
    </w:p>
    <w:p>
      <w:pPr>
        <w:pStyle w:val="Heading5"/>
        <w:ind w:left="119"/>
      </w:pPr>
      <w:r>
        <w:rPr/>
        <w:t>Deed</w:t>
      </w:r>
      <w:r>
        <w:rPr>
          <w:spacing w:val="-5"/>
        </w:rPr>
        <w:t> </w:t>
      </w:r>
      <w:r>
        <w:rPr/>
        <w:t>Restrictions</w:t>
      </w:r>
      <w:r>
        <w:rPr>
          <w:spacing w:val="-3"/>
        </w:rPr>
        <w:t> </w:t>
      </w:r>
      <w:r>
        <w:rPr/>
        <w:t>and</w:t>
      </w:r>
      <w:r>
        <w:rPr>
          <w:spacing w:val="-9"/>
        </w:rPr>
        <w:t> </w:t>
      </w:r>
      <w:r>
        <w:rPr/>
        <w:t>Right</w:t>
      </w:r>
      <w:r>
        <w:rPr>
          <w:spacing w:val="-2"/>
        </w:rPr>
        <w:t> </w:t>
      </w:r>
      <w:r>
        <w:rPr/>
        <w:t>of</w:t>
      </w:r>
      <w:r>
        <w:rPr>
          <w:spacing w:val="-2"/>
        </w:rPr>
        <w:t> Reverter</w:t>
      </w:r>
    </w:p>
    <w:p>
      <w:pPr>
        <w:pStyle w:val="BodyText"/>
        <w:spacing w:before="49"/>
        <w:ind w:left="119" w:right="154"/>
        <w:jc w:val="both"/>
      </w:pPr>
      <w:r>
        <w:rPr/>
        <w:t>The City will impose restrictive covenants on all parcels of real property its sells pursuant to the Land Transfer Program. If land is sold pursuant to Dallas City Code Section 2-26.4, the deed restrictions and right of reverter requirements set forth in the ordinance applies.</w:t>
      </w:r>
    </w:p>
    <w:p>
      <w:pPr>
        <w:pStyle w:val="BodyText"/>
        <w:spacing w:before="1"/>
      </w:pPr>
    </w:p>
    <w:p>
      <w:pPr>
        <w:pStyle w:val="BodyText"/>
        <w:ind w:left="119" w:right="156"/>
        <w:jc w:val="both"/>
      </w:pPr>
      <w:r>
        <w:rPr/>
        <w:t>The</w:t>
      </w:r>
      <w:r>
        <w:rPr>
          <w:spacing w:val="-7"/>
        </w:rPr>
        <w:t> </w:t>
      </w:r>
      <w:r>
        <w:rPr/>
        <w:t>restrictive</w:t>
      </w:r>
      <w:r>
        <w:rPr>
          <w:spacing w:val="-7"/>
        </w:rPr>
        <w:t> </w:t>
      </w:r>
      <w:r>
        <w:rPr/>
        <w:t>covenants</w:t>
      </w:r>
      <w:r>
        <w:rPr>
          <w:spacing w:val="-9"/>
        </w:rPr>
        <w:t> </w:t>
      </w:r>
      <w:r>
        <w:rPr/>
        <w:t>will</w:t>
      </w:r>
      <w:r>
        <w:rPr>
          <w:spacing w:val="-8"/>
        </w:rPr>
        <w:t> </w:t>
      </w:r>
      <w:r>
        <w:rPr/>
        <w:t>require</w:t>
      </w:r>
      <w:r>
        <w:rPr>
          <w:spacing w:val="-10"/>
        </w:rPr>
        <w:t> </w:t>
      </w:r>
      <w:r>
        <w:rPr/>
        <w:t>the</w:t>
      </w:r>
      <w:r>
        <w:rPr>
          <w:spacing w:val="-7"/>
        </w:rPr>
        <w:t> </w:t>
      </w:r>
      <w:r>
        <w:rPr/>
        <w:t>parcels</w:t>
      </w:r>
      <w:r>
        <w:rPr>
          <w:spacing w:val="-7"/>
        </w:rPr>
        <w:t> </w:t>
      </w:r>
      <w:r>
        <w:rPr/>
        <w:t>of</w:t>
      </w:r>
      <w:r>
        <w:rPr>
          <w:spacing w:val="-8"/>
        </w:rPr>
        <w:t> </w:t>
      </w:r>
      <w:r>
        <w:rPr/>
        <w:t>real</w:t>
      </w:r>
      <w:r>
        <w:rPr>
          <w:spacing w:val="-8"/>
        </w:rPr>
        <w:t> </w:t>
      </w:r>
      <w:r>
        <w:rPr/>
        <w:t>property</w:t>
      </w:r>
      <w:r>
        <w:rPr>
          <w:spacing w:val="-9"/>
        </w:rPr>
        <w:t> </w:t>
      </w:r>
      <w:r>
        <w:rPr/>
        <w:t>to</w:t>
      </w:r>
      <w:r>
        <w:rPr>
          <w:spacing w:val="-7"/>
        </w:rPr>
        <w:t> </w:t>
      </w:r>
      <w:r>
        <w:rPr/>
        <w:t>be</w:t>
      </w:r>
      <w:r>
        <w:rPr>
          <w:spacing w:val="-10"/>
        </w:rPr>
        <w:t> </w:t>
      </w:r>
      <w:r>
        <w:rPr/>
        <w:t>developed</w:t>
      </w:r>
      <w:r>
        <w:rPr>
          <w:spacing w:val="-7"/>
        </w:rPr>
        <w:t> </w:t>
      </w:r>
      <w:r>
        <w:rPr/>
        <w:t>and</w:t>
      </w:r>
      <w:r>
        <w:rPr>
          <w:spacing w:val="-10"/>
        </w:rPr>
        <w:t> </w:t>
      </w:r>
      <w:r>
        <w:rPr/>
        <w:t>maintained in accordance with the development agreement and all applicable city, state and federal laws. These restrictions will include that housing units developed on the parcels of real property be offered for sale, lease or lease-purchase to low- and moderate-income households and be occupied by low- and/or moderate-income households for the entire term of the affordability </w:t>
      </w:r>
      <w:r>
        <w:rPr>
          <w:spacing w:val="-2"/>
        </w:rPr>
        <w:t>period.</w:t>
      </w:r>
    </w:p>
    <w:p>
      <w:pPr>
        <w:pStyle w:val="BodyText"/>
      </w:pPr>
    </w:p>
    <w:p>
      <w:pPr>
        <w:pStyle w:val="BodyText"/>
        <w:ind w:left="120" w:right="156"/>
        <w:jc w:val="both"/>
      </w:pPr>
      <w:r>
        <w:rPr/>
        <w:t>Land</w:t>
      </w:r>
      <w:r>
        <w:rPr>
          <w:spacing w:val="-6"/>
        </w:rPr>
        <w:t> </w:t>
      </w:r>
      <w:r>
        <w:rPr/>
        <w:t>acquired</w:t>
      </w:r>
      <w:r>
        <w:rPr>
          <w:spacing w:val="-9"/>
        </w:rPr>
        <w:t> </w:t>
      </w:r>
      <w:r>
        <w:rPr/>
        <w:t>by</w:t>
      </w:r>
      <w:r>
        <w:rPr>
          <w:spacing w:val="-8"/>
        </w:rPr>
        <w:t> </w:t>
      </w:r>
      <w:r>
        <w:rPr/>
        <w:t>a</w:t>
      </w:r>
      <w:r>
        <w:rPr>
          <w:spacing w:val="-9"/>
        </w:rPr>
        <w:t> </w:t>
      </w:r>
      <w:r>
        <w:rPr/>
        <w:t>developer</w:t>
      </w:r>
      <w:r>
        <w:rPr>
          <w:spacing w:val="-5"/>
        </w:rPr>
        <w:t> </w:t>
      </w:r>
      <w:r>
        <w:rPr/>
        <w:t>pursuant</w:t>
      </w:r>
      <w:r>
        <w:rPr>
          <w:spacing w:val="-7"/>
        </w:rPr>
        <w:t> </w:t>
      </w:r>
      <w:r>
        <w:rPr/>
        <w:t>to</w:t>
      </w:r>
      <w:r>
        <w:rPr>
          <w:spacing w:val="-9"/>
        </w:rPr>
        <w:t> </w:t>
      </w:r>
      <w:r>
        <w:rPr/>
        <w:t>the</w:t>
      </w:r>
      <w:r>
        <w:rPr>
          <w:spacing w:val="-9"/>
        </w:rPr>
        <w:t> </w:t>
      </w:r>
      <w:r>
        <w:rPr/>
        <w:t>Land</w:t>
      </w:r>
      <w:r>
        <w:rPr>
          <w:spacing w:val="-6"/>
        </w:rPr>
        <w:t> </w:t>
      </w:r>
      <w:r>
        <w:rPr/>
        <w:t>Transfer</w:t>
      </w:r>
      <w:r>
        <w:rPr>
          <w:spacing w:val="-5"/>
        </w:rPr>
        <w:t> </w:t>
      </w:r>
      <w:r>
        <w:rPr/>
        <w:t>Program</w:t>
      </w:r>
      <w:r>
        <w:rPr>
          <w:spacing w:val="-8"/>
        </w:rPr>
        <w:t> </w:t>
      </w:r>
      <w:r>
        <w:rPr/>
        <w:t>may</w:t>
      </w:r>
      <w:r>
        <w:rPr>
          <w:spacing w:val="-11"/>
        </w:rPr>
        <w:t> </w:t>
      </w:r>
      <w:r>
        <w:rPr/>
        <w:t>revert</w:t>
      </w:r>
      <w:r>
        <w:rPr>
          <w:spacing w:val="-7"/>
        </w:rPr>
        <w:t> </w:t>
      </w:r>
      <w:r>
        <w:rPr/>
        <w:t>to</w:t>
      </w:r>
      <w:r>
        <w:rPr>
          <w:spacing w:val="-9"/>
        </w:rPr>
        <w:t> </w:t>
      </w:r>
      <w:r>
        <w:rPr/>
        <w:t>the</w:t>
      </w:r>
      <w:r>
        <w:rPr>
          <w:spacing w:val="-9"/>
        </w:rPr>
        <w:t> </w:t>
      </w:r>
      <w:r>
        <w:rPr/>
        <w:t>City</w:t>
      </w:r>
      <w:r>
        <w:rPr>
          <w:spacing w:val="-8"/>
        </w:rPr>
        <w:t> </w:t>
      </w:r>
      <w:r>
        <w:rPr/>
        <w:t>if</w:t>
      </w:r>
      <w:r>
        <w:rPr>
          <w:spacing w:val="-10"/>
        </w:rPr>
        <w:t> </w:t>
      </w:r>
      <w:r>
        <w:rPr/>
        <w:t>the City Manager or his/her designee determines that the developer has:</w:t>
      </w:r>
    </w:p>
    <w:p>
      <w:pPr>
        <w:pStyle w:val="ListParagraph"/>
        <w:numPr>
          <w:ilvl w:val="1"/>
          <w:numId w:val="16"/>
        </w:numPr>
        <w:tabs>
          <w:tab w:pos="841" w:val="left" w:leader="none"/>
        </w:tabs>
        <w:spacing w:line="237" w:lineRule="auto" w:before="2" w:after="0"/>
        <w:ind w:left="840" w:right="156" w:hanging="361"/>
        <w:jc w:val="both"/>
        <w:rPr>
          <w:rFonts w:ascii="Symbol" w:hAnsi="Symbol"/>
          <w:sz w:val="22"/>
        </w:rPr>
      </w:pPr>
      <w:r>
        <w:rPr>
          <w:sz w:val="22"/>
        </w:rPr>
        <w:t>failed to take possession of the land within 90 calendar days after receiving the deed to the parcels of real property;</w:t>
      </w:r>
    </w:p>
    <w:p>
      <w:pPr>
        <w:pStyle w:val="ListParagraph"/>
        <w:numPr>
          <w:ilvl w:val="1"/>
          <w:numId w:val="16"/>
        </w:numPr>
        <w:tabs>
          <w:tab w:pos="841" w:val="left" w:leader="none"/>
        </w:tabs>
        <w:spacing w:line="240" w:lineRule="auto" w:before="1" w:after="0"/>
        <w:ind w:left="840" w:right="158" w:hanging="361"/>
        <w:jc w:val="both"/>
        <w:rPr>
          <w:rFonts w:ascii="Symbol" w:hAnsi="Symbol"/>
          <w:sz w:val="22"/>
        </w:rPr>
      </w:pPr>
      <w:r>
        <w:rPr>
          <w:sz w:val="22"/>
        </w:rPr>
        <w:t>failed</w:t>
      </w:r>
      <w:r>
        <w:rPr>
          <w:spacing w:val="-10"/>
          <w:sz w:val="22"/>
        </w:rPr>
        <w:t> </w:t>
      </w:r>
      <w:r>
        <w:rPr>
          <w:sz w:val="22"/>
        </w:rPr>
        <w:t>to</w:t>
      </w:r>
      <w:r>
        <w:rPr>
          <w:spacing w:val="-12"/>
          <w:sz w:val="22"/>
        </w:rPr>
        <w:t> </w:t>
      </w:r>
      <w:r>
        <w:rPr>
          <w:sz w:val="22"/>
        </w:rPr>
        <w:t>complete</w:t>
      </w:r>
      <w:r>
        <w:rPr>
          <w:spacing w:val="-12"/>
          <w:sz w:val="22"/>
        </w:rPr>
        <w:t> </w:t>
      </w:r>
      <w:r>
        <w:rPr>
          <w:sz w:val="22"/>
        </w:rPr>
        <w:t>construction</w:t>
      </w:r>
      <w:r>
        <w:rPr>
          <w:spacing w:val="-10"/>
          <w:sz w:val="22"/>
        </w:rPr>
        <w:t> </w:t>
      </w:r>
      <w:r>
        <w:rPr>
          <w:sz w:val="22"/>
        </w:rPr>
        <w:t>of</w:t>
      </w:r>
      <w:r>
        <w:rPr>
          <w:spacing w:val="-9"/>
          <w:sz w:val="22"/>
        </w:rPr>
        <w:t> </w:t>
      </w:r>
      <w:r>
        <w:rPr>
          <w:sz w:val="22"/>
        </w:rPr>
        <w:t>all</w:t>
      </w:r>
      <w:r>
        <w:rPr>
          <w:spacing w:val="-13"/>
          <w:sz w:val="22"/>
        </w:rPr>
        <w:t> </w:t>
      </w:r>
      <w:r>
        <w:rPr>
          <w:sz w:val="22"/>
        </w:rPr>
        <w:t>required</w:t>
      </w:r>
      <w:r>
        <w:rPr>
          <w:spacing w:val="-12"/>
          <w:sz w:val="22"/>
        </w:rPr>
        <w:t> </w:t>
      </w:r>
      <w:r>
        <w:rPr>
          <w:sz w:val="22"/>
        </w:rPr>
        <w:t>housing</w:t>
      </w:r>
      <w:r>
        <w:rPr>
          <w:spacing w:val="-10"/>
          <w:sz w:val="22"/>
        </w:rPr>
        <w:t> </w:t>
      </w:r>
      <w:r>
        <w:rPr>
          <w:sz w:val="22"/>
        </w:rPr>
        <w:t>units</w:t>
      </w:r>
      <w:r>
        <w:rPr>
          <w:spacing w:val="-12"/>
          <w:sz w:val="22"/>
        </w:rPr>
        <w:t> </w:t>
      </w:r>
      <w:r>
        <w:rPr>
          <w:sz w:val="22"/>
        </w:rPr>
        <w:t>or</w:t>
      </w:r>
      <w:r>
        <w:rPr>
          <w:spacing w:val="-11"/>
          <w:sz w:val="22"/>
        </w:rPr>
        <w:t> </w:t>
      </w:r>
      <w:r>
        <w:rPr>
          <w:sz w:val="22"/>
        </w:rPr>
        <w:t>other</w:t>
      </w:r>
      <w:r>
        <w:rPr>
          <w:spacing w:val="-11"/>
          <w:sz w:val="22"/>
        </w:rPr>
        <w:t> </w:t>
      </w:r>
      <w:r>
        <w:rPr>
          <w:sz w:val="22"/>
        </w:rPr>
        <w:t>required</w:t>
      </w:r>
      <w:r>
        <w:rPr>
          <w:spacing w:val="-10"/>
          <w:sz w:val="22"/>
        </w:rPr>
        <w:t> </w:t>
      </w:r>
      <w:r>
        <w:rPr>
          <w:sz w:val="22"/>
        </w:rPr>
        <w:t>development on the real property, or failed to ensure occupancy by eligible households within the development timeframe set forth in the development agreement;</w:t>
      </w:r>
    </w:p>
    <w:p>
      <w:pPr>
        <w:pStyle w:val="ListParagraph"/>
        <w:numPr>
          <w:ilvl w:val="1"/>
          <w:numId w:val="16"/>
        </w:numPr>
        <w:tabs>
          <w:tab w:pos="841" w:val="left" w:leader="none"/>
        </w:tabs>
        <w:spacing w:line="237" w:lineRule="auto" w:before="2" w:after="0"/>
        <w:ind w:left="840" w:right="159" w:hanging="361"/>
        <w:jc w:val="both"/>
        <w:rPr>
          <w:rFonts w:ascii="Symbol" w:hAnsi="Symbol"/>
          <w:sz w:val="22"/>
        </w:rPr>
      </w:pPr>
      <w:r>
        <w:rPr>
          <w:sz w:val="22"/>
        </w:rPr>
        <w:t>incurred a lien on the property because of violations of city ordinances and failed to fully pay off the lien within 180 days of the City’s recording of the lien; or</w:t>
      </w:r>
    </w:p>
    <w:p>
      <w:pPr>
        <w:pStyle w:val="ListParagraph"/>
        <w:numPr>
          <w:ilvl w:val="1"/>
          <w:numId w:val="16"/>
        </w:numPr>
        <w:tabs>
          <w:tab w:pos="841" w:val="left" w:leader="none"/>
        </w:tabs>
        <w:spacing w:line="240" w:lineRule="auto" w:before="1" w:after="0"/>
        <w:ind w:left="840" w:right="0" w:hanging="361"/>
        <w:jc w:val="both"/>
        <w:rPr>
          <w:rFonts w:ascii="Symbol" w:hAnsi="Symbol"/>
          <w:sz w:val="22"/>
        </w:rPr>
      </w:pPr>
      <w:r>
        <w:rPr>
          <w:sz w:val="22"/>
        </w:rPr>
        <w:t>sold,</w:t>
      </w:r>
      <w:r>
        <w:rPr>
          <w:spacing w:val="-5"/>
          <w:sz w:val="22"/>
        </w:rPr>
        <w:t> </w:t>
      </w:r>
      <w:r>
        <w:rPr>
          <w:sz w:val="22"/>
        </w:rPr>
        <w:t>conveyed,</w:t>
      </w:r>
      <w:r>
        <w:rPr>
          <w:spacing w:val="-4"/>
          <w:sz w:val="22"/>
        </w:rPr>
        <w:t> </w:t>
      </w:r>
      <w:r>
        <w:rPr>
          <w:sz w:val="22"/>
        </w:rPr>
        <w:t>or</w:t>
      </w:r>
      <w:r>
        <w:rPr>
          <w:spacing w:val="-4"/>
          <w:sz w:val="22"/>
        </w:rPr>
        <w:t> </w:t>
      </w:r>
      <w:r>
        <w:rPr>
          <w:sz w:val="22"/>
        </w:rPr>
        <w:t>transferred</w:t>
      </w:r>
      <w:r>
        <w:rPr>
          <w:spacing w:val="-6"/>
          <w:sz w:val="22"/>
        </w:rPr>
        <w:t> </w:t>
      </w:r>
      <w:r>
        <w:rPr>
          <w:sz w:val="22"/>
        </w:rPr>
        <w:t>the</w:t>
      </w:r>
      <w:r>
        <w:rPr>
          <w:spacing w:val="-6"/>
          <w:sz w:val="22"/>
        </w:rPr>
        <w:t> </w:t>
      </w:r>
      <w:r>
        <w:rPr>
          <w:sz w:val="22"/>
        </w:rPr>
        <w:t>land</w:t>
      </w:r>
      <w:r>
        <w:rPr>
          <w:spacing w:val="-4"/>
          <w:sz w:val="22"/>
        </w:rPr>
        <w:t> </w:t>
      </w:r>
      <w:r>
        <w:rPr>
          <w:sz w:val="22"/>
        </w:rPr>
        <w:t>without</w:t>
      </w:r>
      <w:r>
        <w:rPr>
          <w:spacing w:val="-5"/>
          <w:sz w:val="22"/>
        </w:rPr>
        <w:t> </w:t>
      </w:r>
      <w:r>
        <w:rPr>
          <w:sz w:val="22"/>
        </w:rPr>
        <w:t>the</w:t>
      </w:r>
      <w:r>
        <w:rPr>
          <w:spacing w:val="-4"/>
          <w:sz w:val="22"/>
        </w:rPr>
        <w:t> </w:t>
      </w:r>
      <w:r>
        <w:rPr>
          <w:sz w:val="22"/>
        </w:rPr>
        <w:t>consent</w:t>
      </w:r>
      <w:r>
        <w:rPr>
          <w:spacing w:val="-5"/>
          <w:sz w:val="22"/>
        </w:rPr>
        <w:t> </w:t>
      </w:r>
      <w:r>
        <w:rPr>
          <w:sz w:val="22"/>
        </w:rPr>
        <w:t>of</w:t>
      </w:r>
      <w:r>
        <w:rPr>
          <w:spacing w:val="-5"/>
          <w:sz w:val="22"/>
        </w:rPr>
        <w:t> </w:t>
      </w:r>
      <w:r>
        <w:rPr>
          <w:sz w:val="22"/>
        </w:rPr>
        <w:t>the</w:t>
      </w:r>
      <w:r>
        <w:rPr>
          <w:spacing w:val="-3"/>
          <w:sz w:val="22"/>
        </w:rPr>
        <w:t> </w:t>
      </w:r>
      <w:r>
        <w:rPr>
          <w:spacing w:val="-2"/>
          <w:sz w:val="22"/>
        </w:rPr>
        <w:t>City.</w:t>
      </w:r>
    </w:p>
    <w:p>
      <w:pPr>
        <w:pStyle w:val="BodyText"/>
        <w:spacing w:before="8"/>
        <w:rPr>
          <w:sz w:val="21"/>
        </w:rPr>
      </w:pPr>
    </w:p>
    <w:p>
      <w:pPr>
        <w:pStyle w:val="BodyText"/>
        <w:ind w:left="120" w:right="156"/>
        <w:jc w:val="both"/>
      </w:pPr>
      <w:r>
        <w:rPr/>
        <w:t>Upon determination by the City Manager or his/her designee that a condition described above has occurred, the City Manager or his/her designee is authorized to execute an instrument, approved</w:t>
      </w:r>
      <w:r>
        <w:rPr>
          <w:spacing w:val="-2"/>
        </w:rPr>
        <w:t> </w:t>
      </w:r>
      <w:r>
        <w:rPr/>
        <w:t>as</w:t>
      </w:r>
      <w:r>
        <w:rPr>
          <w:spacing w:val="-4"/>
        </w:rPr>
        <w:t> </w:t>
      </w:r>
      <w:r>
        <w:rPr/>
        <w:t>to</w:t>
      </w:r>
      <w:r>
        <w:rPr>
          <w:spacing w:val="-4"/>
        </w:rPr>
        <w:t> </w:t>
      </w:r>
      <w:r>
        <w:rPr/>
        <w:t>form</w:t>
      </w:r>
      <w:r>
        <w:rPr>
          <w:spacing w:val="-3"/>
        </w:rPr>
        <w:t> </w:t>
      </w:r>
      <w:r>
        <w:rPr/>
        <w:t>by</w:t>
      </w:r>
      <w:r>
        <w:rPr>
          <w:spacing w:val="-4"/>
        </w:rPr>
        <w:t> </w:t>
      </w:r>
      <w:r>
        <w:rPr/>
        <w:t>the</w:t>
      </w:r>
      <w:r>
        <w:rPr>
          <w:spacing w:val="-2"/>
        </w:rPr>
        <w:t> </w:t>
      </w:r>
      <w:r>
        <w:rPr/>
        <w:t>City</w:t>
      </w:r>
      <w:r>
        <w:rPr>
          <w:spacing w:val="-1"/>
        </w:rPr>
        <w:t> </w:t>
      </w:r>
      <w:r>
        <w:rPr/>
        <w:t>Attorney, exercising</w:t>
      </w:r>
      <w:r>
        <w:rPr>
          <w:spacing w:val="-2"/>
        </w:rPr>
        <w:t> </w:t>
      </w:r>
      <w:r>
        <w:rPr/>
        <w:t>against</w:t>
      </w:r>
      <w:r>
        <w:rPr>
          <w:spacing w:val="-3"/>
        </w:rPr>
        <w:t> </w:t>
      </w:r>
      <w:r>
        <w:rPr/>
        <w:t>the</w:t>
      </w:r>
      <w:r>
        <w:rPr>
          <w:spacing w:val="-2"/>
        </w:rPr>
        <w:t> </w:t>
      </w:r>
      <w:r>
        <w:rPr/>
        <w:t>parcel</w:t>
      </w:r>
      <w:r>
        <w:rPr>
          <w:spacing w:val="-2"/>
        </w:rPr>
        <w:t> </w:t>
      </w:r>
      <w:r>
        <w:rPr/>
        <w:t>of</w:t>
      </w:r>
      <w:r>
        <w:rPr>
          <w:spacing w:val="-3"/>
        </w:rPr>
        <w:t> </w:t>
      </w:r>
      <w:r>
        <w:rPr/>
        <w:t>real</w:t>
      </w:r>
      <w:r>
        <w:rPr>
          <w:spacing w:val="-2"/>
        </w:rPr>
        <w:t> </w:t>
      </w:r>
      <w:r>
        <w:rPr/>
        <w:t>property</w:t>
      </w:r>
      <w:r>
        <w:rPr>
          <w:spacing w:val="-4"/>
        </w:rPr>
        <w:t> </w:t>
      </w:r>
      <w:r>
        <w:rPr/>
        <w:t>the</w:t>
      </w:r>
      <w:r>
        <w:rPr>
          <w:spacing w:val="-2"/>
        </w:rPr>
        <w:t> </w:t>
      </w:r>
      <w:r>
        <w:rPr/>
        <w:t>City’s</w:t>
      </w:r>
    </w:p>
    <w:p>
      <w:pPr>
        <w:spacing w:after="0"/>
        <w:jc w:val="both"/>
        <w:sectPr>
          <w:pgSz w:w="12240" w:h="15840"/>
          <w:pgMar w:header="0" w:footer="1176" w:top="1360" w:bottom="1420" w:left="1320" w:right="1280"/>
        </w:sectPr>
      </w:pPr>
    </w:p>
    <w:p>
      <w:pPr>
        <w:pStyle w:val="BodyText"/>
        <w:spacing w:before="80"/>
        <w:ind w:left="119" w:right="157"/>
        <w:jc w:val="both"/>
      </w:pPr>
      <w:r>
        <w:rPr/>
        <w:t>possibility of reverter with right to reentry. The City Manager or his/her designee shall file notice of the reverter and reentry of the land by the City in the real property records of the county in which</w:t>
      </w:r>
      <w:r>
        <w:rPr>
          <w:spacing w:val="-2"/>
        </w:rPr>
        <w:t> </w:t>
      </w:r>
      <w:r>
        <w:rPr/>
        <w:t>the</w:t>
      </w:r>
      <w:r>
        <w:rPr>
          <w:spacing w:val="-2"/>
        </w:rPr>
        <w:t> </w:t>
      </w:r>
      <w:r>
        <w:rPr/>
        <w:t>parcel</w:t>
      </w:r>
      <w:r>
        <w:rPr>
          <w:spacing w:val="-2"/>
        </w:rPr>
        <w:t> </w:t>
      </w:r>
      <w:r>
        <w:rPr/>
        <w:t>of</w:t>
      </w:r>
      <w:r>
        <w:rPr>
          <w:spacing w:val="-3"/>
        </w:rPr>
        <w:t> </w:t>
      </w:r>
      <w:r>
        <w:rPr/>
        <w:t>real</w:t>
      </w:r>
      <w:r>
        <w:rPr>
          <w:spacing w:val="-2"/>
        </w:rPr>
        <w:t> </w:t>
      </w:r>
      <w:r>
        <w:rPr/>
        <w:t>property</w:t>
      </w:r>
      <w:r>
        <w:rPr>
          <w:spacing w:val="-1"/>
        </w:rPr>
        <w:t> </w:t>
      </w:r>
      <w:r>
        <w:rPr/>
        <w:t>is</w:t>
      </w:r>
      <w:r>
        <w:rPr>
          <w:spacing w:val="-1"/>
        </w:rPr>
        <w:t> </w:t>
      </w:r>
      <w:r>
        <w:rPr/>
        <w:t>located, which</w:t>
      </w:r>
      <w:r>
        <w:rPr>
          <w:spacing w:val="-2"/>
        </w:rPr>
        <w:t> </w:t>
      </w:r>
      <w:r>
        <w:rPr/>
        <w:t>notice</w:t>
      </w:r>
      <w:r>
        <w:rPr>
          <w:spacing w:val="-2"/>
        </w:rPr>
        <w:t> </w:t>
      </w:r>
      <w:r>
        <w:rPr/>
        <w:t>must specify</w:t>
      </w:r>
      <w:r>
        <w:rPr>
          <w:spacing w:val="-1"/>
        </w:rPr>
        <w:t> </w:t>
      </w:r>
      <w:r>
        <w:rPr/>
        <w:t>the</w:t>
      </w:r>
      <w:r>
        <w:rPr>
          <w:spacing w:val="-4"/>
        </w:rPr>
        <w:t> </w:t>
      </w:r>
      <w:r>
        <w:rPr/>
        <w:t>reason</w:t>
      </w:r>
      <w:r>
        <w:rPr>
          <w:spacing w:val="-2"/>
        </w:rPr>
        <w:t> </w:t>
      </w:r>
      <w:r>
        <w:rPr/>
        <w:t>for</w:t>
      </w:r>
      <w:r>
        <w:rPr>
          <w:spacing w:val="-1"/>
        </w:rPr>
        <w:t> </w:t>
      </w:r>
      <w:r>
        <w:rPr/>
        <w:t>the</w:t>
      </w:r>
      <w:r>
        <w:rPr>
          <w:spacing w:val="-2"/>
        </w:rPr>
        <w:t> </w:t>
      </w:r>
      <w:r>
        <w:rPr/>
        <w:t>reverter and reentry. The City Manager or his/her designee shall provide a copy of the notice to the developer in person or by mailing the notice to the developer’s post office address as shown on the tax rolls of the City or of the county in which the land is located.</w:t>
      </w:r>
    </w:p>
    <w:p>
      <w:pPr>
        <w:pStyle w:val="BodyText"/>
        <w:spacing w:before="11"/>
        <w:rPr>
          <w:sz w:val="21"/>
        </w:rPr>
      </w:pPr>
    </w:p>
    <w:p>
      <w:pPr>
        <w:spacing w:line="264" w:lineRule="auto" w:before="0"/>
        <w:ind w:left="120" w:right="155" w:firstLine="0"/>
        <w:jc w:val="left"/>
        <w:rPr>
          <w:sz w:val="22"/>
        </w:rPr>
      </w:pPr>
      <w:r>
        <w:rPr/>
        <w:pict>
          <v:shape style="position:absolute;margin-left:90.065002pt;margin-top:25.921909pt;width:395.3pt;height:419pt;mso-position-horizontal-relative:page;mso-position-vertical-relative:paragraph;z-index:-17700352" id="docshape89" coordorigin="1801,518" coordsize="7906,8380" path="m4498,7782l4492,7709,4477,7631,4455,7548,4432,7479,4403,7407,4367,7332,4325,7254,4276,7173,4237,7114,4200,7063,4200,7749,4197,7805,4186,7862,4167,7919,4138,7979,4097,8042,4044,8108,3979,8177,3674,8483,2216,7025,2517,6724,2598,6648,2672,6588,2740,6545,2801,6518,2868,6504,2941,6500,3020,6506,3105,6524,3195,6553,3255,6579,3317,6611,3380,6650,3446,6695,3514,6747,3584,6805,3656,6869,3729,6941,3789,7002,3845,7062,3896,7121,3943,7179,3986,7236,4025,7291,4059,7345,4101,7420,4136,7492,4163,7562,4183,7628,4196,7693,4200,7749,4200,7063,4194,7054,4148,6994,4098,6934,4045,6873,3989,6811,3929,6750,3865,6687,3801,6629,3737,6574,3673,6522,3643,6500,3609,6474,3546,6430,3482,6389,3419,6351,3346,6313,3274,6281,3203,6254,3132,6232,3062,6215,2992,6203,2923,6195,2850,6194,2779,6201,2709,6215,2642,6238,2577,6269,2528,6297,2476,6334,2420,6380,2359,6434,2294,6496,1801,6989,3710,8898,4124,8483,4226,8381,4287,8316,4341,8251,4386,8185,4424,8118,4454,8052,4476,7985,4491,7918,4498,7851,4498,7782xm6418,6189l6056,6061,5650,5919,5561,5889,5475,5865,5393,5846,5365,5841,5314,5832,5239,5822,5193,5820,5143,5823,5089,5830,5030,5841,5073,5771,5109,5702,5136,5633,5154,5564,5164,5495,5165,5427,5157,5359,5139,5281,5111,5205,5075,5131,5030,5058,4976,4987,4956,4964,4913,4918,4872,4880,4872,5438,4868,5493,4854,5548,4830,5605,4794,5663,4747,5724,4687,5788,4280,6195,3649,5564,4102,5111,4166,5054,4229,5010,4293,4981,4358,4966,4422,4964,4501,4980,4577,5009,4649,5054,4718,5114,4761,5161,4797,5212,4827,5266,4851,5322,4867,5381,4872,5438,4872,4880,4849,4859,4782,4806,4713,4761,4641,4722,4566,4690,4474,4662,4386,4649,4303,4651,4225,4667,4163,4692,4098,4729,4030,4777,3958,4836,3883,4908,3248,5542,5157,7450,5346,7261,4499,6414,4718,6195,4753,6160,4783,6133,4810,6112,4833,6098,4863,6084,4896,6073,4932,6066,4971,6061,5014,6061,5066,6067,5125,6077,5194,6093,5256,6111,5328,6132,5407,6157,5496,6186,6180,6427,6418,6189xm7780,4827l7415,4632,6555,4178,6555,4485,6070,4970,6030,4898,5989,4827,5748,4396,5708,4324,5668,4253,5629,4187,5590,4123,5550,4059,5509,3996,5467,3933,5424,3872,5380,3811,5436,3847,5498,3885,5564,3925,5635,3967,5792,4057,6555,4485,6555,4178,5862,3811,5286,3504,5082,3708,5277,4059,5316,4129,5701,4827,6207,5746,6441,6166,6642,5965,6565,5832,6298,5364,6221,5230,6481,4970,6820,4632,7173,4827,7565,5043,7780,4827xm8131,4476l7264,3609,7936,2938,7711,2712,7039,3384,6448,2793,7224,2017,6999,1792,6033,2757,7941,4666,8131,4476xm9707,2900l8024,1217,8497,744,8272,518,7138,1653,7363,1878,7834,1407,9517,3090,9707,2900xe" filled="true" fillcolor="#c0c0c0" stroked="false">
            <v:path arrowok="t"/>
            <v:fill opacity="32896f" type="solid"/>
            <w10:wrap type="none"/>
          </v:shape>
        </w:pict>
      </w:r>
      <w:r>
        <w:rPr>
          <w:b/>
          <w:sz w:val="22"/>
        </w:rPr>
        <w:t>Release of Non-Tax Liens, Release of Restrictive Covenants and Right of Reverter </w:t>
      </w:r>
      <w:r>
        <w:rPr>
          <w:sz w:val="22"/>
        </w:rPr>
        <w:t>Pursuant to this Program and contingent upon City Council approval, and in consideration for</w:t>
      </w:r>
      <w:r>
        <w:rPr>
          <w:spacing w:val="80"/>
          <w:sz w:val="22"/>
        </w:rPr>
        <w:t> </w:t>
      </w:r>
      <w:r>
        <w:rPr>
          <w:sz w:val="22"/>
        </w:rPr>
        <w:t>developer</w:t>
      </w:r>
      <w:r>
        <w:rPr>
          <w:spacing w:val="3"/>
          <w:sz w:val="22"/>
        </w:rPr>
        <w:t> </w:t>
      </w:r>
      <w:r>
        <w:rPr>
          <w:sz w:val="22"/>
        </w:rPr>
        <w:t>agreeing</w:t>
      </w:r>
      <w:r>
        <w:rPr>
          <w:spacing w:val="1"/>
          <w:sz w:val="22"/>
        </w:rPr>
        <w:t> </w:t>
      </w:r>
      <w:r>
        <w:rPr>
          <w:sz w:val="22"/>
        </w:rPr>
        <w:t>to construct</w:t>
      </w:r>
      <w:r>
        <w:rPr>
          <w:spacing w:val="2"/>
          <w:sz w:val="22"/>
        </w:rPr>
        <w:t> </w:t>
      </w:r>
      <w:r>
        <w:rPr>
          <w:sz w:val="22"/>
        </w:rPr>
        <w:t>affordable</w:t>
      </w:r>
      <w:r>
        <w:rPr>
          <w:spacing w:val="1"/>
          <w:sz w:val="22"/>
        </w:rPr>
        <w:t> </w:t>
      </w:r>
      <w:r>
        <w:rPr>
          <w:sz w:val="22"/>
        </w:rPr>
        <w:t>housing</w:t>
      </w:r>
      <w:r>
        <w:rPr>
          <w:spacing w:val="2"/>
          <w:sz w:val="22"/>
        </w:rPr>
        <w:t> </w:t>
      </w:r>
      <w:r>
        <w:rPr>
          <w:sz w:val="22"/>
        </w:rPr>
        <w:t>units or</w:t>
      </w:r>
      <w:r>
        <w:rPr>
          <w:spacing w:val="1"/>
          <w:sz w:val="22"/>
        </w:rPr>
        <w:t> </w:t>
      </w:r>
      <w:r>
        <w:rPr>
          <w:sz w:val="22"/>
        </w:rPr>
        <w:t>other approved</w:t>
      </w:r>
      <w:r>
        <w:rPr>
          <w:spacing w:val="2"/>
          <w:sz w:val="22"/>
        </w:rPr>
        <w:t> </w:t>
      </w:r>
      <w:r>
        <w:rPr>
          <w:sz w:val="22"/>
        </w:rPr>
        <w:t>uses on</w:t>
      </w:r>
      <w:r>
        <w:rPr>
          <w:spacing w:val="1"/>
          <w:sz w:val="22"/>
        </w:rPr>
        <w:t> </w:t>
      </w:r>
      <w:r>
        <w:rPr>
          <w:sz w:val="22"/>
        </w:rPr>
        <w:t>parcel(s)</w:t>
      </w:r>
      <w:r>
        <w:rPr>
          <w:spacing w:val="4"/>
          <w:sz w:val="22"/>
        </w:rPr>
        <w:t> </w:t>
      </w:r>
      <w:r>
        <w:rPr>
          <w:spacing w:val="-7"/>
          <w:sz w:val="22"/>
        </w:rPr>
        <w:t>of</w:t>
      </w:r>
    </w:p>
    <w:p>
      <w:pPr>
        <w:pStyle w:val="BodyText"/>
        <w:spacing w:line="227" w:lineRule="exact"/>
        <w:ind w:left="120"/>
      </w:pPr>
      <w:r>
        <w:rPr/>
        <w:t>real</w:t>
      </w:r>
      <w:r>
        <w:rPr>
          <w:spacing w:val="58"/>
        </w:rPr>
        <w:t> </w:t>
      </w:r>
      <w:r>
        <w:rPr/>
        <w:t>property,</w:t>
      </w:r>
      <w:r>
        <w:rPr>
          <w:spacing w:val="58"/>
        </w:rPr>
        <w:t> </w:t>
      </w:r>
      <w:r>
        <w:rPr/>
        <w:t>the</w:t>
      </w:r>
      <w:r>
        <w:rPr>
          <w:spacing w:val="59"/>
        </w:rPr>
        <w:t> </w:t>
      </w:r>
      <w:r>
        <w:rPr/>
        <w:t>City</w:t>
      </w:r>
      <w:r>
        <w:rPr>
          <w:spacing w:val="54"/>
        </w:rPr>
        <w:t> </w:t>
      </w:r>
      <w:r>
        <w:rPr/>
        <w:t>Manager</w:t>
      </w:r>
      <w:r>
        <w:rPr>
          <w:spacing w:val="57"/>
        </w:rPr>
        <w:t> </w:t>
      </w:r>
      <w:r>
        <w:rPr/>
        <w:t>or</w:t>
      </w:r>
      <w:r>
        <w:rPr>
          <w:spacing w:val="58"/>
        </w:rPr>
        <w:t> </w:t>
      </w:r>
      <w:r>
        <w:rPr/>
        <w:t>his/her</w:t>
      </w:r>
      <w:r>
        <w:rPr>
          <w:spacing w:val="57"/>
        </w:rPr>
        <w:t> </w:t>
      </w:r>
      <w:r>
        <w:rPr/>
        <w:t>designee</w:t>
      </w:r>
      <w:r>
        <w:rPr>
          <w:spacing w:val="59"/>
        </w:rPr>
        <w:t> </w:t>
      </w:r>
      <w:r>
        <w:rPr/>
        <w:t>is</w:t>
      </w:r>
      <w:r>
        <w:rPr>
          <w:spacing w:val="59"/>
        </w:rPr>
        <w:t> </w:t>
      </w:r>
      <w:r>
        <w:rPr/>
        <w:t>authorized</w:t>
      </w:r>
      <w:r>
        <w:rPr>
          <w:spacing w:val="56"/>
        </w:rPr>
        <w:t> </w:t>
      </w:r>
      <w:r>
        <w:rPr/>
        <w:t>to</w:t>
      </w:r>
      <w:r>
        <w:rPr>
          <w:spacing w:val="55"/>
        </w:rPr>
        <w:t> </w:t>
      </w:r>
      <w:r>
        <w:rPr/>
        <w:t>execute</w:t>
      </w:r>
      <w:r>
        <w:rPr>
          <w:spacing w:val="59"/>
        </w:rPr>
        <w:t> </w:t>
      </w:r>
      <w:r>
        <w:rPr>
          <w:spacing w:val="-2"/>
        </w:rPr>
        <w:t>instruments,</w:t>
      </w:r>
    </w:p>
    <w:p>
      <w:pPr>
        <w:pStyle w:val="BodyText"/>
        <w:spacing w:before="2"/>
        <w:ind w:left="120" w:right="155"/>
      </w:pPr>
      <w:r>
        <w:rPr/>
        <w:t>approved as to form by the City Attorney, releasing any non-tax City liens that may have been filed by the City during the City’s ownership of the parcel(s) of real property.</w:t>
      </w:r>
    </w:p>
    <w:p>
      <w:pPr>
        <w:pStyle w:val="BodyText"/>
        <w:spacing w:before="10"/>
        <w:rPr>
          <w:sz w:val="21"/>
        </w:rPr>
      </w:pPr>
    </w:p>
    <w:p>
      <w:pPr>
        <w:pStyle w:val="BodyText"/>
        <w:ind w:left="120" w:right="154"/>
        <w:jc w:val="both"/>
      </w:pPr>
      <w:r>
        <w:rPr/>
        <w:t>Additionally,</w:t>
      </w:r>
      <w:r>
        <w:rPr>
          <w:spacing w:val="-12"/>
        </w:rPr>
        <w:t> </w:t>
      </w:r>
      <w:r>
        <w:rPr/>
        <w:t>the</w:t>
      </w:r>
      <w:r>
        <w:rPr>
          <w:spacing w:val="-13"/>
        </w:rPr>
        <w:t> </w:t>
      </w:r>
      <w:r>
        <w:rPr/>
        <w:t>City</w:t>
      </w:r>
      <w:r>
        <w:rPr>
          <w:spacing w:val="-14"/>
        </w:rPr>
        <w:t> </w:t>
      </w:r>
      <w:r>
        <w:rPr/>
        <w:t>Manager</w:t>
      </w:r>
      <w:r>
        <w:rPr>
          <w:spacing w:val="-12"/>
        </w:rPr>
        <w:t> </w:t>
      </w:r>
      <w:r>
        <w:rPr/>
        <w:t>or</w:t>
      </w:r>
      <w:r>
        <w:rPr>
          <w:spacing w:val="-12"/>
        </w:rPr>
        <w:t> </w:t>
      </w:r>
      <w:r>
        <w:rPr/>
        <w:t>his/her</w:t>
      </w:r>
      <w:r>
        <w:rPr>
          <w:spacing w:val="-14"/>
        </w:rPr>
        <w:t> </w:t>
      </w:r>
      <w:r>
        <w:rPr/>
        <w:t>designee</w:t>
      </w:r>
      <w:r>
        <w:rPr>
          <w:spacing w:val="-13"/>
        </w:rPr>
        <w:t> </w:t>
      </w:r>
      <w:r>
        <w:rPr/>
        <w:t>is</w:t>
      </w:r>
      <w:r>
        <w:rPr>
          <w:spacing w:val="-13"/>
        </w:rPr>
        <w:t> </w:t>
      </w:r>
      <w:r>
        <w:rPr/>
        <w:t>authorized</w:t>
      </w:r>
      <w:r>
        <w:rPr>
          <w:spacing w:val="-15"/>
        </w:rPr>
        <w:t> </w:t>
      </w:r>
      <w:r>
        <w:rPr/>
        <w:t>to</w:t>
      </w:r>
      <w:r>
        <w:rPr>
          <w:spacing w:val="-13"/>
        </w:rPr>
        <w:t> </w:t>
      </w:r>
      <w:r>
        <w:rPr/>
        <w:t>execute</w:t>
      </w:r>
      <w:r>
        <w:rPr>
          <w:spacing w:val="-15"/>
        </w:rPr>
        <w:t> </w:t>
      </w:r>
      <w:r>
        <w:rPr/>
        <w:t>instruments,</w:t>
      </w:r>
      <w:r>
        <w:rPr>
          <w:spacing w:val="-14"/>
        </w:rPr>
        <w:t> </w:t>
      </w:r>
      <w:r>
        <w:rPr/>
        <w:t>approved as</w:t>
      </w:r>
      <w:r>
        <w:rPr>
          <w:spacing w:val="-4"/>
        </w:rPr>
        <w:t> </w:t>
      </w:r>
      <w:r>
        <w:rPr/>
        <w:t>to</w:t>
      </w:r>
      <w:r>
        <w:rPr>
          <w:spacing w:val="-4"/>
        </w:rPr>
        <w:t> </w:t>
      </w:r>
      <w:r>
        <w:rPr/>
        <w:t>form</w:t>
      </w:r>
      <w:r>
        <w:rPr>
          <w:spacing w:val="-3"/>
        </w:rPr>
        <w:t> </w:t>
      </w:r>
      <w:r>
        <w:rPr/>
        <w:t>by</w:t>
      </w:r>
      <w:r>
        <w:rPr>
          <w:spacing w:val="-6"/>
        </w:rPr>
        <w:t> </w:t>
      </w:r>
      <w:r>
        <w:rPr/>
        <w:t>the</w:t>
      </w:r>
      <w:r>
        <w:rPr>
          <w:spacing w:val="-4"/>
        </w:rPr>
        <w:t> </w:t>
      </w:r>
      <w:r>
        <w:rPr/>
        <w:t>City</w:t>
      </w:r>
      <w:r>
        <w:rPr>
          <w:spacing w:val="-4"/>
        </w:rPr>
        <w:t> </w:t>
      </w:r>
      <w:r>
        <w:rPr/>
        <w:t>Attorney,</w:t>
      </w:r>
      <w:r>
        <w:rPr>
          <w:spacing w:val="-5"/>
        </w:rPr>
        <w:t> </w:t>
      </w:r>
      <w:r>
        <w:rPr/>
        <w:t>releasing</w:t>
      </w:r>
      <w:r>
        <w:rPr>
          <w:spacing w:val="-4"/>
        </w:rPr>
        <w:t> </w:t>
      </w:r>
      <w:r>
        <w:rPr/>
        <w:t>the</w:t>
      </w:r>
      <w:r>
        <w:rPr>
          <w:spacing w:val="-4"/>
        </w:rPr>
        <w:t> </w:t>
      </w:r>
      <w:r>
        <w:rPr/>
        <w:t>City’s</w:t>
      </w:r>
      <w:r>
        <w:rPr>
          <w:spacing w:val="-1"/>
        </w:rPr>
        <w:t> </w:t>
      </w:r>
      <w:r>
        <w:rPr/>
        <w:t>possibility</w:t>
      </w:r>
      <w:r>
        <w:rPr>
          <w:spacing w:val="-4"/>
        </w:rPr>
        <w:t> </w:t>
      </w:r>
      <w:r>
        <w:rPr/>
        <w:t>of</w:t>
      </w:r>
      <w:r>
        <w:rPr>
          <w:spacing w:val="-5"/>
        </w:rPr>
        <w:t> </w:t>
      </w:r>
      <w:r>
        <w:rPr/>
        <w:t>reverter</w:t>
      </w:r>
      <w:r>
        <w:rPr>
          <w:spacing w:val="-3"/>
        </w:rPr>
        <w:t> </w:t>
      </w:r>
      <w:r>
        <w:rPr/>
        <w:t>with</w:t>
      </w:r>
      <w:r>
        <w:rPr>
          <w:spacing w:val="-4"/>
        </w:rPr>
        <w:t> </w:t>
      </w:r>
      <w:r>
        <w:rPr/>
        <w:t>right</w:t>
      </w:r>
      <w:r>
        <w:rPr>
          <w:spacing w:val="-3"/>
        </w:rPr>
        <w:t> </w:t>
      </w:r>
      <w:r>
        <w:rPr/>
        <w:t>of</w:t>
      </w:r>
      <w:r>
        <w:rPr>
          <w:spacing w:val="-2"/>
        </w:rPr>
        <w:t> </w:t>
      </w:r>
      <w:r>
        <w:rPr/>
        <w:t>reentry</w:t>
      </w:r>
      <w:r>
        <w:rPr>
          <w:spacing w:val="-4"/>
        </w:rPr>
        <w:t> </w:t>
      </w:r>
      <w:r>
        <w:rPr/>
        <w:t>and terminating the restrictive covenants on the land upon compliance with all terms and conditions of the development agreement and this Program.</w:t>
      </w:r>
    </w:p>
    <w:p>
      <w:pPr>
        <w:pStyle w:val="BodyText"/>
      </w:pPr>
    </w:p>
    <w:p>
      <w:pPr>
        <w:pStyle w:val="Heading5"/>
        <w:jc w:val="left"/>
      </w:pPr>
      <w:r>
        <w:rPr/>
        <w:t>Type</w:t>
      </w:r>
      <w:r>
        <w:rPr>
          <w:spacing w:val="-3"/>
        </w:rPr>
        <w:t> </w:t>
      </w:r>
      <w:r>
        <w:rPr/>
        <w:t>of</w:t>
      </w:r>
      <w:r>
        <w:rPr>
          <w:spacing w:val="-4"/>
        </w:rPr>
        <w:t> </w:t>
      </w:r>
      <w:r>
        <w:rPr>
          <w:spacing w:val="-2"/>
        </w:rPr>
        <w:t>Transfer</w:t>
      </w:r>
    </w:p>
    <w:p>
      <w:pPr>
        <w:pStyle w:val="BodyText"/>
        <w:spacing w:line="256" w:lineRule="auto" w:before="49"/>
        <w:ind w:left="120" w:hanging="1"/>
      </w:pPr>
      <w:r>
        <w:rPr/>
        <w:t>The</w:t>
      </w:r>
      <w:r>
        <w:rPr>
          <w:spacing w:val="-16"/>
        </w:rPr>
        <w:t> </w:t>
      </w:r>
      <w:r>
        <w:rPr/>
        <w:t>City</w:t>
      </w:r>
      <w:r>
        <w:rPr>
          <w:spacing w:val="-15"/>
        </w:rPr>
        <w:t> </w:t>
      </w:r>
      <w:r>
        <w:rPr/>
        <w:t>will</w:t>
      </w:r>
      <w:r>
        <w:rPr>
          <w:spacing w:val="-15"/>
        </w:rPr>
        <w:t> </w:t>
      </w:r>
      <w:r>
        <w:rPr/>
        <w:t>transfer</w:t>
      </w:r>
      <w:r>
        <w:rPr>
          <w:spacing w:val="-16"/>
        </w:rPr>
        <w:t> </w:t>
      </w:r>
      <w:r>
        <w:rPr/>
        <w:t>all</w:t>
      </w:r>
      <w:r>
        <w:rPr>
          <w:spacing w:val="-15"/>
        </w:rPr>
        <w:t> </w:t>
      </w:r>
      <w:r>
        <w:rPr/>
        <w:t>City-owned</w:t>
      </w:r>
      <w:r>
        <w:rPr>
          <w:spacing w:val="-15"/>
        </w:rPr>
        <w:t> </w:t>
      </w:r>
      <w:r>
        <w:rPr/>
        <w:t>parcels</w:t>
      </w:r>
      <w:r>
        <w:rPr>
          <w:spacing w:val="-15"/>
        </w:rPr>
        <w:t> </w:t>
      </w:r>
      <w:r>
        <w:rPr/>
        <w:t>and</w:t>
      </w:r>
      <w:r>
        <w:rPr>
          <w:spacing w:val="-16"/>
        </w:rPr>
        <w:t> </w:t>
      </w:r>
      <w:r>
        <w:rPr/>
        <w:t>resell</w:t>
      </w:r>
      <w:r>
        <w:rPr>
          <w:spacing w:val="-15"/>
        </w:rPr>
        <w:t> </w:t>
      </w:r>
      <w:r>
        <w:rPr/>
        <w:t>all</w:t>
      </w:r>
      <w:r>
        <w:rPr>
          <w:spacing w:val="-15"/>
        </w:rPr>
        <w:t> </w:t>
      </w:r>
      <w:r>
        <w:rPr/>
        <w:t>tax-foreclosed</w:t>
      </w:r>
      <w:r>
        <w:rPr>
          <w:spacing w:val="-15"/>
        </w:rPr>
        <w:t> </w:t>
      </w:r>
      <w:r>
        <w:rPr/>
        <w:t>parcels</w:t>
      </w:r>
      <w:r>
        <w:rPr>
          <w:spacing w:val="-13"/>
        </w:rPr>
        <w:t> </w:t>
      </w:r>
      <w:r>
        <w:rPr/>
        <w:t>via</w:t>
      </w:r>
      <w:r>
        <w:rPr>
          <w:spacing w:val="-15"/>
        </w:rPr>
        <w:t> </w:t>
      </w:r>
      <w:r>
        <w:rPr/>
        <w:t>a</w:t>
      </w:r>
      <w:r>
        <w:rPr>
          <w:spacing w:val="-15"/>
        </w:rPr>
        <w:t> </w:t>
      </w:r>
      <w:r>
        <w:rPr/>
        <w:t>deed</w:t>
      </w:r>
      <w:r>
        <w:rPr>
          <w:spacing w:val="-16"/>
        </w:rPr>
        <w:t> </w:t>
      </w:r>
      <w:r>
        <w:rPr/>
        <w:t>without warranty, approved as to form by the City Attorney.</w:t>
      </w:r>
    </w:p>
    <w:p>
      <w:pPr>
        <w:spacing w:after="0" w:line="256" w:lineRule="auto"/>
        <w:sectPr>
          <w:pgSz w:w="12240" w:h="15840"/>
          <w:pgMar w:header="0" w:footer="1176" w:top="1360" w:bottom="1420" w:left="1320" w:right="1280"/>
        </w:sectPr>
      </w:pPr>
    </w:p>
    <w:p>
      <w:pPr>
        <w:pStyle w:val="Heading3"/>
        <w:jc w:val="both"/>
      </w:pPr>
      <w:bookmarkStart w:name="Community Land Trust Program Pillars 1, " w:id="57"/>
      <w:bookmarkEnd w:id="57"/>
      <w:r>
        <w:rPr/>
      </w:r>
      <w:bookmarkStart w:name="_bookmark22" w:id="58"/>
      <w:bookmarkEnd w:id="58"/>
      <w:r>
        <w:rPr/>
      </w:r>
      <w:r>
        <w:rPr>
          <w:color w:val="001F5F"/>
        </w:rPr>
        <w:t>Community</w:t>
      </w:r>
      <w:r>
        <w:rPr>
          <w:color w:val="001F5F"/>
          <w:spacing w:val="-8"/>
        </w:rPr>
        <w:t> </w:t>
      </w:r>
      <w:r>
        <w:rPr>
          <w:color w:val="001F5F"/>
        </w:rPr>
        <w:t>Land</w:t>
      </w:r>
      <w:r>
        <w:rPr>
          <w:color w:val="001F5F"/>
          <w:spacing w:val="-6"/>
        </w:rPr>
        <w:t> </w:t>
      </w:r>
      <w:r>
        <w:rPr>
          <w:color w:val="001F5F"/>
        </w:rPr>
        <w:t>Trust</w:t>
      </w:r>
      <w:r>
        <w:rPr>
          <w:color w:val="001F5F"/>
          <w:spacing w:val="-9"/>
        </w:rPr>
        <w:t> </w:t>
      </w:r>
      <w:r>
        <w:rPr>
          <w:color w:val="001F5F"/>
        </w:rPr>
        <w:t>Program</w:t>
      </w:r>
      <w:r>
        <w:rPr>
          <w:color w:val="001F5F"/>
          <w:spacing w:val="-7"/>
        </w:rPr>
        <w:t> </w:t>
      </w:r>
      <w:r>
        <w:rPr>
          <w:color w:val="FF0000"/>
        </w:rPr>
        <w:t>Pillars</w:t>
      </w:r>
      <w:r>
        <w:rPr>
          <w:color w:val="FF0000"/>
          <w:spacing w:val="-7"/>
        </w:rPr>
        <w:t> </w:t>
      </w:r>
      <w:r>
        <w:rPr>
          <w:color w:val="FF0000"/>
        </w:rPr>
        <w:t>1,</w:t>
      </w:r>
      <w:r>
        <w:rPr>
          <w:color w:val="FF0000"/>
          <w:spacing w:val="-9"/>
        </w:rPr>
        <w:t> </w:t>
      </w:r>
      <w:r>
        <w:rPr>
          <w:color w:val="FF0000"/>
        </w:rPr>
        <w:t>2,</w:t>
      </w:r>
      <w:r>
        <w:rPr>
          <w:color w:val="FF0000"/>
          <w:spacing w:val="-9"/>
        </w:rPr>
        <w:t> </w:t>
      </w:r>
      <w:r>
        <w:rPr>
          <w:color w:val="FF0000"/>
        </w:rPr>
        <w:t>5,</w:t>
      </w:r>
      <w:r>
        <w:rPr>
          <w:color w:val="FF0000"/>
          <w:spacing w:val="-9"/>
        </w:rPr>
        <w:t> </w:t>
      </w:r>
      <w:r>
        <w:rPr>
          <w:color w:val="FF0000"/>
        </w:rPr>
        <w:t>6,</w:t>
      </w:r>
      <w:r>
        <w:rPr>
          <w:color w:val="FF0000"/>
          <w:spacing w:val="-9"/>
        </w:rPr>
        <w:t> </w:t>
      </w:r>
      <w:r>
        <w:rPr>
          <w:color w:val="FF0000"/>
          <w:spacing w:val="-10"/>
        </w:rPr>
        <w:t>7</w:t>
      </w:r>
    </w:p>
    <w:p>
      <w:pPr>
        <w:pStyle w:val="BodyText"/>
        <w:spacing w:before="28"/>
        <w:ind w:left="120"/>
        <w:jc w:val="both"/>
      </w:pPr>
      <w:r>
        <w:rPr/>
        <w:t>Approved</w:t>
      </w:r>
      <w:r>
        <w:rPr>
          <w:spacing w:val="-8"/>
        </w:rPr>
        <w:t> </w:t>
      </w:r>
      <w:r>
        <w:rPr/>
        <w:t>December</w:t>
      </w:r>
      <w:r>
        <w:rPr>
          <w:spacing w:val="-7"/>
        </w:rPr>
        <w:t> </w:t>
      </w:r>
      <w:r>
        <w:rPr/>
        <w:t>11,</w:t>
      </w:r>
      <w:r>
        <w:rPr>
          <w:spacing w:val="-8"/>
        </w:rPr>
        <w:t> </w:t>
      </w:r>
      <w:r>
        <w:rPr>
          <w:spacing w:val="-4"/>
        </w:rPr>
        <w:t>2019</w:t>
      </w:r>
    </w:p>
    <w:p>
      <w:pPr>
        <w:pStyle w:val="BodyText"/>
      </w:pPr>
    </w:p>
    <w:p>
      <w:pPr>
        <w:pStyle w:val="BodyText"/>
        <w:ind w:left="120" w:right="154" w:hanging="1"/>
        <w:jc w:val="both"/>
      </w:pPr>
      <w:r>
        <w:rPr/>
        <w:t>This</w:t>
      </w:r>
      <w:r>
        <w:rPr>
          <w:spacing w:val="-6"/>
        </w:rPr>
        <w:t> </w:t>
      </w:r>
      <w:r>
        <w:rPr/>
        <w:t>Community</w:t>
      </w:r>
      <w:r>
        <w:rPr>
          <w:spacing w:val="-8"/>
        </w:rPr>
        <w:t> </w:t>
      </w:r>
      <w:r>
        <w:rPr/>
        <w:t>Land</w:t>
      </w:r>
      <w:r>
        <w:rPr>
          <w:spacing w:val="-8"/>
        </w:rPr>
        <w:t> </w:t>
      </w:r>
      <w:r>
        <w:rPr/>
        <w:t>Trust</w:t>
      </w:r>
      <w:r>
        <w:rPr>
          <w:spacing w:val="-7"/>
        </w:rPr>
        <w:t> </w:t>
      </w:r>
      <w:r>
        <w:rPr/>
        <w:t>Program</w:t>
      </w:r>
      <w:r>
        <w:rPr>
          <w:spacing w:val="-7"/>
        </w:rPr>
        <w:t> </w:t>
      </w:r>
      <w:r>
        <w:rPr/>
        <w:t>(Program)</w:t>
      </w:r>
      <w:r>
        <w:rPr>
          <w:spacing w:val="-4"/>
        </w:rPr>
        <w:t> </w:t>
      </w:r>
      <w:r>
        <w:rPr/>
        <w:t>identifies</w:t>
      </w:r>
      <w:r>
        <w:rPr>
          <w:spacing w:val="-6"/>
        </w:rPr>
        <w:t> </w:t>
      </w:r>
      <w:r>
        <w:rPr/>
        <w:t>Community</w:t>
      </w:r>
      <w:r>
        <w:rPr>
          <w:spacing w:val="-8"/>
        </w:rPr>
        <w:t> </w:t>
      </w:r>
      <w:r>
        <w:rPr/>
        <w:t>Land</w:t>
      </w:r>
      <w:r>
        <w:rPr>
          <w:spacing w:val="-6"/>
        </w:rPr>
        <w:t> </w:t>
      </w:r>
      <w:r>
        <w:rPr/>
        <w:t>Trust</w:t>
      </w:r>
      <w:r>
        <w:rPr>
          <w:spacing w:val="-7"/>
        </w:rPr>
        <w:t> </w:t>
      </w:r>
      <w:r>
        <w:rPr/>
        <w:t>(CLT)</w:t>
      </w:r>
      <w:r>
        <w:rPr>
          <w:spacing w:val="-2"/>
        </w:rPr>
        <w:t> </w:t>
      </w:r>
      <w:r>
        <w:rPr/>
        <w:t>eligibility and operation criteria under which the City Council may initially designate and revoke the re- designation of a</w:t>
      </w:r>
      <w:r>
        <w:rPr>
          <w:spacing w:val="-3"/>
        </w:rPr>
        <w:t> </w:t>
      </w:r>
      <w:r>
        <w:rPr/>
        <w:t>CLT, and under which the</w:t>
      </w:r>
      <w:r>
        <w:rPr>
          <w:spacing w:val="-1"/>
        </w:rPr>
        <w:t> </w:t>
      </w:r>
      <w:r>
        <w:rPr/>
        <w:t>City Manager, or their designee,</w:t>
      </w:r>
      <w:r>
        <w:rPr>
          <w:spacing w:val="-2"/>
        </w:rPr>
        <w:t> </w:t>
      </w:r>
      <w:r>
        <w:rPr/>
        <w:t>may renew or recommend City Council revocation of the designation of CLTs in the City of Dallas.</w:t>
      </w:r>
    </w:p>
    <w:p>
      <w:pPr>
        <w:pStyle w:val="BodyText"/>
        <w:spacing w:before="11"/>
        <w:rPr>
          <w:sz w:val="20"/>
        </w:rPr>
      </w:pPr>
    </w:p>
    <w:p>
      <w:pPr>
        <w:pStyle w:val="BodyText"/>
        <w:ind w:left="120" w:right="155" w:hanging="1"/>
        <w:jc w:val="both"/>
      </w:pPr>
      <w:r>
        <w:rPr/>
        <w:pict>
          <v:shape style="position:absolute;margin-left:90.065002pt;margin-top:6.698825pt;width:395.3pt;height:419pt;mso-position-horizontal-relative:page;mso-position-vertical-relative:paragraph;z-index:-17699840" id="docshape90" coordorigin="1801,134" coordsize="7906,8380" path="m4498,7398l4492,7324,4477,7246,4455,7163,4432,7094,4403,7022,4367,6947,4325,6869,4276,6788,4237,6729,4200,6679,4200,7364,4197,7421,4186,7477,4167,7535,4138,7595,4097,7657,4044,7723,3979,7793,3674,8098,2216,6641,2517,6340,2598,6264,2672,6204,2740,6160,2801,6134,2868,6119,2941,6115,3020,6122,3105,6140,3195,6169,3255,6195,3317,6227,3380,6265,3446,6311,3514,6362,3584,6420,3656,6485,3729,6556,3789,6618,3845,6678,3896,6737,3943,6795,3986,6851,4025,6907,4059,6961,4101,7035,4136,7107,4163,7177,4183,7244,4196,7308,4200,7364,4200,6679,4194,6670,4148,6610,4098,6549,4045,6488,3989,6427,3929,6365,3865,6303,3801,6244,3737,6189,3673,6138,3643,6115,3609,6090,3546,6045,3482,6004,3419,5966,3346,5929,3274,5896,3203,5869,3132,5847,3062,5830,2992,5818,2923,5811,2850,5809,2779,5816,2709,5831,2642,5854,2577,5884,2528,5912,2476,5949,2420,5995,2359,6049,2294,6112,1801,6605,3710,8513,4124,8098,4226,7997,4287,7931,4341,7866,4386,7800,4424,7734,4454,7667,4476,7601,4491,7534,4498,7466,4498,7398xm6418,5804l6056,5677,5650,5534,5561,5505,5475,5481,5393,5462,5365,5457,5314,5447,5239,5437,5193,5436,5143,5439,5089,5446,5030,5457,5073,5387,5109,5318,5136,5248,5154,5179,5164,5111,5165,5043,5157,4975,5139,4897,5111,4821,5075,4746,5030,4673,4976,4603,4956,4580,4913,4534,4872,4496,4872,5053,4868,5109,4854,5164,4830,5220,4794,5279,4747,5340,4687,5403,4280,5810,3649,5179,4102,4726,4166,4669,4229,4626,4293,4597,4358,4581,4422,4580,4501,4595,4577,4625,4649,4670,4718,4729,4761,4777,4797,4828,4827,4881,4851,4938,4867,4996,4872,5053,4872,4496,4849,4474,4782,4422,4713,4377,4641,4338,4566,4306,4474,4278,4386,4265,4303,4267,4225,4283,4163,4308,4098,4344,4030,4392,3958,4452,3883,4523,3248,5158,5157,7066,5346,6877,4499,6029,4718,5810,4753,5776,4783,5749,4810,5728,4833,5713,4863,5699,4896,5689,4932,5681,4971,5677,5014,5677,5066,5682,5125,5693,5194,5709,5256,5726,5328,5747,5407,5772,5496,5801,6180,6043,6418,5804xm7780,4442l7415,4247,6555,3793,6555,4100,6070,4585,6030,4514,5989,4442,5748,4012,5708,3940,5668,3868,5629,3803,5590,3738,5550,3674,5509,3611,5467,3549,5424,3487,5380,3427,5436,3463,5498,3500,5564,3540,5635,3582,5792,3673,6555,4100,6555,3793,5862,3427,5286,3120,5082,3324,5277,3674,5316,3745,5701,4442,6207,5361,6441,5782,6642,5581,6565,5447,6298,4979,6221,4846,6481,4585,6820,4247,7173,4442,7565,4658,7780,4442xm8131,4092l7264,3225,7936,2553,7711,2328,7039,3000,6448,2409,7224,1632,6999,1407,6033,2373,7941,4281,8131,4092xm9707,2516l8024,833,8497,359,8272,134,7138,1269,7363,1494,7834,1022,9517,2705,9707,2516xe" filled="true" fillcolor="#c0c0c0" stroked="false">
            <v:path arrowok="t"/>
            <v:fill opacity="32896f" type="solid"/>
            <w10:wrap type="none"/>
          </v:shape>
        </w:pict>
      </w:r>
      <w:r>
        <w:rPr/>
        <w:t>A CLT in general</w:t>
      </w:r>
      <w:r>
        <w:rPr>
          <w:spacing w:val="-1"/>
        </w:rPr>
        <w:t> </w:t>
      </w:r>
      <w:r>
        <w:rPr/>
        <w:t>is an organization that is</w:t>
      </w:r>
      <w:r>
        <w:rPr>
          <w:spacing w:val="-2"/>
        </w:rPr>
        <w:t> </w:t>
      </w:r>
      <w:r>
        <w:rPr/>
        <w:t>created to acquire and hold land for the benefit of developing</w:t>
      </w:r>
      <w:r>
        <w:rPr>
          <w:spacing w:val="-12"/>
        </w:rPr>
        <w:t> </w:t>
      </w:r>
      <w:r>
        <w:rPr/>
        <w:t>and</w:t>
      </w:r>
      <w:r>
        <w:rPr>
          <w:spacing w:val="-12"/>
        </w:rPr>
        <w:t> </w:t>
      </w:r>
      <w:r>
        <w:rPr/>
        <w:t>preserving</w:t>
      </w:r>
      <w:r>
        <w:rPr>
          <w:spacing w:val="-12"/>
        </w:rPr>
        <w:t> </w:t>
      </w:r>
      <w:r>
        <w:rPr/>
        <w:t>long-term</w:t>
      </w:r>
      <w:r>
        <w:rPr>
          <w:spacing w:val="-11"/>
        </w:rPr>
        <w:t> </w:t>
      </w:r>
      <w:r>
        <w:rPr/>
        <w:t>affordable</w:t>
      </w:r>
      <w:r>
        <w:rPr>
          <w:spacing w:val="-12"/>
        </w:rPr>
        <w:t> </w:t>
      </w:r>
      <w:r>
        <w:rPr/>
        <w:t>housing</w:t>
      </w:r>
      <w:r>
        <w:rPr>
          <w:spacing w:val="-3"/>
        </w:rPr>
        <w:t> </w:t>
      </w:r>
      <w:r>
        <w:rPr/>
        <w:t>by</w:t>
      </w:r>
      <w:r>
        <w:rPr>
          <w:spacing w:val="-3"/>
        </w:rPr>
        <w:t> </w:t>
      </w:r>
      <w:r>
        <w:rPr/>
        <w:t>separating</w:t>
      </w:r>
      <w:r>
        <w:rPr>
          <w:spacing w:val="-6"/>
        </w:rPr>
        <w:t> </w:t>
      </w:r>
      <w:r>
        <w:rPr/>
        <w:t>the</w:t>
      </w:r>
      <w:r>
        <w:rPr>
          <w:spacing w:val="-15"/>
        </w:rPr>
        <w:t> </w:t>
      </w:r>
      <w:r>
        <w:rPr/>
        <w:t>cost</w:t>
      </w:r>
      <w:r>
        <w:rPr>
          <w:spacing w:val="-11"/>
        </w:rPr>
        <w:t> </w:t>
      </w:r>
      <w:r>
        <w:rPr/>
        <w:t>of</w:t>
      </w:r>
      <w:r>
        <w:rPr>
          <w:spacing w:val="-11"/>
        </w:rPr>
        <w:t> </w:t>
      </w:r>
      <w:r>
        <w:rPr/>
        <w:t>land</w:t>
      </w:r>
      <w:r>
        <w:rPr>
          <w:spacing w:val="-12"/>
        </w:rPr>
        <w:t> </w:t>
      </w:r>
      <w:r>
        <w:rPr/>
        <w:t>ownership from the cost of home ownership with a 99-year ground lease and home resale formula. The homeowner</w:t>
      </w:r>
      <w:r>
        <w:rPr>
          <w:spacing w:val="-2"/>
        </w:rPr>
        <w:t> </w:t>
      </w:r>
      <w:r>
        <w:rPr/>
        <w:t>may build</w:t>
      </w:r>
      <w:r>
        <w:rPr>
          <w:spacing w:val="-1"/>
        </w:rPr>
        <w:t> </w:t>
      </w:r>
      <w:r>
        <w:rPr/>
        <w:t>equity at a pre-negotiated</w:t>
      </w:r>
      <w:r>
        <w:rPr>
          <w:spacing w:val="-4"/>
        </w:rPr>
        <w:t> </w:t>
      </w:r>
      <w:r>
        <w:rPr/>
        <w:t>maximum</w:t>
      </w:r>
      <w:r>
        <w:rPr>
          <w:spacing w:val="-3"/>
        </w:rPr>
        <w:t> </w:t>
      </w:r>
      <w:r>
        <w:rPr/>
        <w:t>rate (resale formula) over the tenure of the ground lease and be eligible for a property tax reduction based on the deed restriction, assuming</w:t>
      </w:r>
      <w:r>
        <w:rPr>
          <w:spacing w:val="-4"/>
        </w:rPr>
        <w:t> </w:t>
      </w:r>
      <w:r>
        <w:rPr/>
        <w:t>housing</w:t>
      </w:r>
      <w:r>
        <w:rPr>
          <w:spacing w:val="-7"/>
        </w:rPr>
        <w:t> </w:t>
      </w:r>
      <w:r>
        <w:rPr/>
        <w:t>market</w:t>
      </w:r>
      <w:r>
        <w:rPr>
          <w:spacing w:val="-3"/>
        </w:rPr>
        <w:t> </w:t>
      </w:r>
      <w:r>
        <w:rPr/>
        <w:t>appreciation. The</w:t>
      </w:r>
      <w:r>
        <w:rPr>
          <w:spacing w:val="-6"/>
        </w:rPr>
        <w:t> </w:t>
      </w:r>
      <w:r>
        <w:rPr/>
        <w:t>resale</w:t>
      </w:r>
      <w:r>
        <w:rPr>
          <w:spacing w:val="-4"/>
        </w:rPr>
        <w:t> </w:t>
      </w:r>
      <w:r>
        <w:rPr/>
        <w:t>formula</w:t>
      </w:r>
      <w:r>
        <w:rPr>
          <w:spacing w:val="-4"/>
        </w:rPr>
        <w:t> </w:t>
      </w:r>
      <w:r>
        <w:rPr/>
        <w:t>is</w:t>
      </w:r>
      <w:r>
        <w:rPr>
          <w:spacing w:val="-4"/>
        </w:rPr>
        <w:t> </w:t>
      </w:r>
      <w:r>
        <w:rPr/>
        <w:t>the</w:t>
      </w:r>
      <w:r>
        <w:rPr>
          <w:spacing w:val="-4"/>
        </w:rPr>
        <w:t> </w:t>
      </w:r>
      <w:r>
        <w:rPr/>
        <w:t>amount</w:t>
      </w:r>
      <w:r>
        <w:rPr>
          <w:spacing w:val="-5"/>
        </w:rPr>
        <w:t> </w:t>
      </w:r>
      <w:r>
        <w:rPr/>
        <w:t>a</w:t>
      </w:r>
      <w:r>
        <w:rPr>
          <w:spacing w:val="-4"/>
        </w:rPr>
        <w:t> </w:t>
      </w:r>
      <w:r>
        <w:rPr/>
        <w:t>person</w:t>
      </w:r>
      <w:r>
        <w:rPr>
          <w:spacing w:val="-7"/>
        </w:rPr>
        <w:t> </w:t>
      </w:r>
      <w:r>
        <w:rPr/>
        <w:t>may</w:t>
      </w:r>
      <w:r>
        <w:rPr>
          <w:spacing w:val="-4"/>
        </w:rPr>
        <w:t> </w:t>
      </w:r>
      <w:r>
        <w:rPr/>
        <w:t>sell</w:t>
      </w:r>
      <w:r>
        <w:rPr>
          <w:spacing w:val="-3"/>
        </w:rPr>
        <w:t> </w:t>
      </w:r>
      <w:r>
        <w:rPr/>
        <w:t>their home for at any given</w:t>
      </w:r>
      <w:r>
        <w:rPr>
          <w:spacing w:val="-1"/>
        </w:rPr>
        <w:t> </w:t>
      </w:r>
      <w:r>
        <w:rPr/>
        <w:t>point. The application process will establish all applicable guidelines in accordance</w:t>
      </w:r>
      <w:r>
        <w:rPr>
          <w:spacing w:val="-15"/>
        </w:rPr>
        <w:t> </w:t>
      </w:r>
      <w:r>
        <w:rPr/>
        <w:t>with</w:t>
      </w:r>
      <w:r>
        <w:rPr>
          <w:spacing w:val="-15"/>
        </w:rPr>
        <w:t> </w:t>
      </w:r>
      <w:r>
        <w:rPr/>
        <w:t>those</w:t>
      </w:r>
      <w:r>
        <w:rPr>
          <w:spacing w:val="-15"/>
        </w:rPr>
        <w:t> </w:t>
      </w:r>
      <w:r>
        <w:rPr/>
        <w:t>described</w:t>
      </w:r>
      <w:r>
        <w:rPr>
          <w:spacing w:val="-12"/>
        </w:rPr>
        <w:t> </w:t>
      </w:r>
      <w:r>
        <w:rPr/>
        <w:t>herein. A</w:t>
      </w:r>
      <w:r>
        <w:rPr>
          <w:spacing w:val="-15"/>
        </w:rPr>
        <w:t> </w:t>
      </w:r>
      <w:r>
        <w:rPr/>
        <w:t>CLT</w:t>
      </w:r>
      <w:r>
        <w:rPr>
          <w:spacing w:val="-12"/>
        </w:rPr>
        <w:t> </w:t>
      </w:r>
      <w:r>
        <w:rPr/>
        <w:t>accomplishes</w:t>
      </w:r>
      <w:r>
        <w:rPr>
          <w:spacing w:val="-12"/>
        </w:rPr>
        <w:t> </w:t>
      </w:r>
      <w:r>
        <w:rPr/>
        <w:t>its</w:t>
      </w:r>
      <w:r>
        <w:rPr>
          <w:spacing w:val="-12"/>
        </w:rPr>
        <w:t> </w:t>
      </w:r>
      <w:r>
        <w:rPr/>
        <w:t>purposes</w:t>
      </w:r>
      <w:r>
        <w:rPr>
          <w:spacing w:val="-14"/>
        </w:rPr>
        <w:t> </w:t>
      </w:r>
      <w:r>
        <w:rPr/>
        <w:t>by</w:t>
      </w:r>
      <w:r>
        <w:rPr>
          <w:spacing w:val="-14"/>
        </w:rPr>
        <w:t> </w:t>
      </w:r>
      <w:r>
        <w:rPr/>
        <w:t>separating</w:t>
      </w:r>
      <w:r>
        <w:rPr>
          <w:spacing w:val="-12"/>
        </w:rPr>
        <w:t> </w:t>
      </w:r>
      <w:r>
        <w:rPr/>
        <w:t>the</w:t>
      </w:r>
      <w:r>
        <w:rPr>
          <w:spacing w:val="-15"/>
        </w:rPr>
        <w:t> </w:t>
      </w:r>
      <w:r>
        <w:rPr/>
        <w:t>cost of land ownership from the cost of home ownership. Specifically, a CLT retains long-term ownership of land, while either selling or leasing the residential structure built or existing on the CLT-owned land in order to create or maintain affordable housing.</w:t>
      </w:r>
    </w:p>
    <w:p>
      <w:pPr>
        <w:pStyle w:val="BodyText"/>
      </w:pPr>
    </w:p>
    <w:p>
      <w:pPr>
        <w:pStyle w:val="BodyText"/>
        <w:ind w:left="120"/>
      </w:pPr>
      <w:r>
        <w:rPr/>
        <w:t>The</w:t>
      </w:r>
      <w:r>
        <w:rPr>
          <w:spacing w:val="-2"/>
        </w:rPr>
        <w:t> </w:t>
      </w:r>
      <w:r>
        <w:rPr/>
        <w:t>purpose</w:t>
      </w:r>
      <w:r>
        <w:rPr>
          <w:spacing w:val="-4"/>
        </w:rPr>
        <w:t> </w:t>
      </w:r>
      <w:r>
        <w:rPr/>
        <w:t>of</w:t>
      </w:r>
      <w:r>
        <w:rPr>
          <w:spacing w:val="-3"/>
        </w:rPr>
        <w:t> </w:t>
      </w:r>
      <w:r>
        <w:rPr/>
        <w:t>a</w:t>
      </w:r>
      <w:r>
        <w:rPr>
          <w:spacing w:val="-2"/>
        </w:rPr>
        <w:t> </w:t>
      </w:r>
      <w:r>
        <w:rPr/>
        <w:t>CLT</w:t>
      </w:r>
      <w:r>
        <w:rPr>
          <w:spacing w:val="-4"/>
        </w:rPr>
        <w:t> </w:t>
      </w:r>
      <w:r>
        <w:rPr/>
        <w:t>is</w:t>
      </w:r>
      <w:r>
        <w:rPr>
          <w:spacing w:val="-4"/>
        </w:rPr>
        <w:t> </w:t>
      </w:r>
      <w:r>
        <w:rPr>
          <w:spacing w:val="-5"/>
        </w:rPr>
        <w:t>to:</w:t>
      </w:r>
    </w:p>
    <w:p>
      <w:pPr>
        <w:pStyle w:val="ListParagraph"/>
        <w:numPr>
          <w:ilvl w:val="1"/>
          <w:numId w:val="16"/>
        </w:numPr>
        <w:tabs>
          <w:tab w:pos="840" w:val="left" w:leader="none"/>
          <w:tab w:pos="841" w:val="left" w:leader="none"/>
        </w:tabs>
        <w:spacing w:line="237" w:lineRule="auto" w:before="3" w:after="0"/>
        <w:ind w:left="840" w:right="158" w:hanging="361"/>
        <w:jc w:val="left"/>
        <w:rPr>
          <w:rFonts w:ascii="Symbol" w:hAnsi="Symbol"/>
          <w:sz w:val="22"/>
        </w:rPr>
      </w:pPr>
      <w:r>
        <w:rPr>
          <w:sz w:val="22"/>
        </w:rPr>
        <w:t>provide</w:t>
      </w:r>
      <w:r>
        <w:rPr>
          <w:spacing w:val="80"/>
          <w:sz w:val="22"/>
        </w:rPr>
        <w:t> </w:t>
      </w:r>
      <w:r>
        <w:rPr>
          <w:sz w:val="22"/>
        </w:rPr>
        <w:t>affordable</w:t>
      </w:r>
      <w:r>
        <w:rPr>
          <w:spacing w:val="80"/>
          <w:sz w:val="22"/>
        </w:rPr>
        <w:t> </w:t>
      </w:r>
      <w:r>
        <w:rPr>
          <w:sz w:val="22"/>
        </w:rPr>
        <w:t>housing</w:t>
      </w:r>
      <w:r>
        <w:rPr>
          <w:spacing w:val="80"/>
          <w:sz w:val="22"/>
        </w:rPr>
        <w:t> </w:t>
      </w:r>
      <w:r>
        <w:rPr>
          <w:sz w:val="22"/>
        </w:rPr>
        <w:t>for</w:t>
      </w:r>
      <w:r>
        <w:rPr>
          <w:spacing w:val="80"/>
          <w:sz w:val="22"/>
        </w:rPr>
        <w:t> </w:t>
      </w:r>
      <w:r>
        <w:rPr>
          <w:sz w:val="22"/>
        </w:rPr>
        <w:t>low-income</w:t>
      </w:r>
      <w:r>
        <w:rPr>
          <w:spacing w:val="80"/>
          <w:sz w:val="22"/>
        </w:rPr>
        <w:t> </w:t>
      </w:r>
      <w:r>
        <w:rPr>
          <w:sz w:val="22"/>
        </w:rPr>
        <w:t>and</w:t>
      </w:r>
      <w:r>
        <w:rPr>
          <w:spacing w:val="80"/>
          <w:sz w:val="22"/>
        </w:rPr>
        <w:t> </w:t>
      </w:r>
      <w:r>
        <w:rPr>
          <w:sz w:val="22"/>
        </w:rPr>
        <w:t>moderate-income</w:t>
      </w:r>
      <w:r>
        <w:rPr>
          <w:spacing w:val="80"/>
          <w:sz w:val="22"/>
        </w:rPr>
        <w:t> </w:t>
      </w:r>
      <w:r>
        <w:rPr>
          <w:sz w:val="22"/>
        </w:rPr>
        <w:t>residents</w:t>
      </w:r>
      <w:r>
        <w:rPr>
          <w:spacing w:val="80"/>
          <w:sz w:val="22"/>
        </w:rPr>
        <w:t> </w:t>
      </w:r>
      <w:r>
        <w:rPr>
          <w:sz w:val="22"/>
        </w:rPr>
        <w:t>in</w:t>
      </w:r>
      <w:r>
        <w:rPr>
          <w:spacing w:val="80"/>
          <w:sz w:val="22"/>
        </w:rPr>
        <w:t> </w:t>
      </w:r>
      <w:r>
        <w:rPr>
          <w:sz w:val="22"/>
        </w:rPr>
        <w:t>the </w:t>
      </w:r>
      <w:r>
        <w:rPr>
          <w:spacing w:val="-2"/>
          <w:sz w:val="22"/>
        </w:rPr>
        <w:t>community;</w:t>
      </w:r>
    </w:p>
    <w:p>
      <w:pPr>
        <w:pStyle w:val="ListParagraph"/>
        <w:numPr>
          <w:ilvl w:val="1"/>
          <w:numId w:val="16"/>
        </w:numPr>
        <w:tabs>
          <w:tab w:pos="840" w:val="left" w:leader="none"/>
          <w:tab w:pos="841" w:val="left" w:leader="none"/>
        </w:tabs>
        <w:spacing w:line="268" w:lineRule="exact" w:before="1" w:after="0"/>
        <w:ind w:left="840" w:right="0" w:hanging="361"/>
        <w:jc w:val="left"/>
        <w:rPr>
          <w:rFonts w:ascii="Symbol" w:hAnsi="Symbol"/>
          <w:sz w:val="22"/>
        </w:rPr>
      </w:pPr>
      <w:r>
        <w:rPr>
          <w:sz w:val="22"/>
        </w:rPr>
        <w:t>promote</w:t>
      </w:r>
      <w:r>
        <w:rPr>
          <w:spacing w:val="-8"/>
          <w:sz w:val="22"/>
        </w:rPr>
        <w:t> </w:t>
      </w:r>
      <w:r>
        <w:rPr>
          <w:sz w:val="22"/>
        </w:rPr>
        <w:t>resident</w:t>
      </w:r>
      <w:r>
        <w:rPr>
          <w:spacing w:val="-7"/>
          <w:sz w:val="22"/>
        </w:rPr>
        <w:t> </w:t>
      </w:r>
      <w:r>
        <w:rPr>
          <w:sz w:val="22"/>
        </w:rPr>
        <w:t>ownership</w:t>
      </w:r>
      <w:r>
        <w:rPr>
          <w:spacing w:val="-6"/>
          <w:sz w:val="22"/>
        </w:rPr>
        <w:t> </w:t>
      </w:r>
      <w:r>
        <w:rPr>
          <w:sz w:val="22"/>
        </w:rPr>
        <w:t>of</w:t>
      </w:r>
      <w:r>
        <w:rPr>
          <w:spacing w:val="-3"/>
          <w:sz w:val="22"/>
        </w:rPr>
        <w:t> </w:t>
      </w:r>
      <w:r>
        <w:rPr>
          <w:spacing w:val="-2"/>
          <w:sz w:val="22"/>
        </w:rPr>
        <w:t>housing;</w:t>
      </w:r>
    </w:p>
    <w:p>
      <w:pPr>
        <w:pStyle w:val="ListParagraph"/>
        <w:numPr>
          <w:ilvl w:val="1"/>
          <w:numId w:val="16"/>
        </w:numPr>
        <w:tabs>
          <w:tab w:pos="841" w:val="left" w:leader="none"/>
          <w:tab w:pos="842" w:val="left" w:leader="none"/>
        </w:tabs>
        <w:spacing w:line="268" w:lineRule="exact" w:before="0" w:after="0"/>
        <w:ind w:left="841" w:right="0" w:hanging="361"/>
        <w:jc w:val="left"/>
        <w:rPr>
          <w:rFonts w:ascii="Symbol" w:hAnsi="Symbol"/>
          <w:sz w:val="22"/>
        </w:rPr>
      </w:pPr>
      <w:r>
        <w:rPr>
          <w:sz w:val="22"/>
        </w:rPr>
        <w:t>keep</w:t>
      </w:r>
      <w:r>
        <w:rPr>
          <w:spacing w:val="-5"/>
          <w:sz w:val="22"/>
        </w:rPr>
        <w:t> </w:t>
      </w:r>
      <w:r>
        <w:rPr>
          <w:sz w:val="22"/>
        </w:rPr>
        <w:t>housing</w:t>
      </w:r>
      <w:r>
        <w:rPr>
          <w:spacing w:val="-5"/>
          <w:sz w:val="22"/>
        </w:rPr>
        <w:t> </w:t>
      </w:r>
      <w:r>
        <w:rPr>
          <w:sz w:val="22"/>
        </w:rPr>
        <w:t>affordable</w:t>
      </w:r>
      <w:r>
        <w:rPr>
          <w:spacing w:val="-7"/>
          <w:sz w:val="22"/>
        </w:rPr>
        <w:t> </w:t>
      </w:r>
      <w:r>
        <w:rPr>
          <w:sz w:val="22"/>
        </w:rPr>
        <w:t>for</w:t>
      </w:r>
      <w:r>
        <w:rPr>
          <w:spacing w:val="-5"/>
          <w:sz w:val="22"/>
        </w:rPr>
        <w:t> </w:t>
      </w:r>
      <w:r>
        <w:rPr>
          <w:sz w:val="22"/>
        </w:rPr>
        <w:t>future</w:t>
      </w:r>
      <w:r>
        <w:rPr>
          <w:spacing w:val="-7"/>
          <w:sz w:val="22"/>
        </w:rPr>
        <w:t> </w:t>
      </w:r>
      <w:r>
        <w:rPr>
          <w:sz w:val="22"/>
        </w:rPr>
        <w:t>residents;</w:t>
      </w:r>
      <w:r>
        <w:rPr>
          <w:spacing w:val="-4"/>
          <w:sz w:val="22"/>
        </w:rPr>
        <w:t> </w:t>
      </w:r>
      <w:r>
        <w:rPr>
          <w:spacing w:val="-5"/>
          <w:sz w:val="22"/>
        </w:rPr>
        <w:t>and</w:t>
      </w:r>
    </w:p>
    <w:p>
      <w:pPr>
        <w:pStyle w:val="ListParagraph"/>
        <w:numPr>
          <w:ilvl w:val="1"/>
          <w:numId w:val="16"/>
        </w:numPr>
        <w:tabs>
          <w:tab w:pos="841" w:val="left" w:leader="none"/>
          <w:tab w:pos="842" w:val="left" w:leader="none"/>
        </w:tabs>
        <w:spacing w:line="269" w:lineRule="exact" w:before="0" w:after="0"/>
        <w:ind w:left="841" w:right="0" w:hanging="361"/>
        <w:jc w:val="left"/>
        <w:rPr>
          <w:rFonts w:ascii="Symbol" w:hAnsi="Symbol"/>
          <w:sz w:val="22"/>
        </w:rPr>
      </w:pPr>
      <w:r>
        <w:rPr>
          <w:sz w:val="22"/>
        </w:rPr>
        <w:t>capture</w:t>
      </w:r>
      <w:r>
        <w:rPr>
          <w:spacing w:val="-9"/>
          <w:sz w:val="22"/>
        </w:rPr>
        <w:t> </w:t>
      </w:r>
      <w:r>
        <w:rPr>
          <w:sz w:val="22"/>
        </w:rPr>
        <w:t>the</w:t>
      </w:r>
      <w:r>
        <w:rPr>
          <w:spacing w:val="-7"/>
          <w:sz w:val="22"/>
        </w:rPr>
        <w:t> </w:t>
      </w:r>
      <w:r>
        <w:rPr>
          <w:sz w:val="22"/>
        </w:rPr>
        <w:t>value</w:t>
      </w:r>
      <w:r>
        <w:rPr>
          <w:spacing w:val="-5"/>
          <w:sz w:val="22"/>
        </w:rPr>
        <w:t> </w:t>
      </w:r>
      <w:r>
        <w:rPr>
          <w:sz w:val="22"/>
        </w:rPr>
        <w:t>of</w:t>
      </w:r>
      <w:r>
        <w:rPr>
          <w:spacing w:val="-4"/>
          <w:sz w:val="22"/>
        </w:rPr>
        <w:t> </w:t>
      </w:r>
      <w:r>
        <w:rPr>
          <w:sz w:val="22"/>
        </w:rPr>
        <w:t>public</w:t>
      </w:r>
      <w:r>
        <w:rPr>
          <w:spacing w:val="-4"/>
          <w:sz w:val="22"/>
        </w:rPr>
        <w:t> </w:t>
      </w:r>
      <w:r>
        <w:rPr>
          <w:sz w:val="22"/>
        </w:rPr>
        <w:t>investment</w:t>
      </w:r>
      <w:r>
        <w:rPr>
          <w:spacing w:val="-6"/>
          <w:sz w:val="22"/>
        </w:rPr>
        <w:t> </w:t>
      </w:r>
      <w:r>
        <w:rPr>
          <w:sz w:val="22"/>
        </w:rPr>
        <w:t>for</w:t>
      </w:r>
      <w:r>
        <w:rPr>
          <w:spacing w:val="-3"/>
          <w:sz w:val="22"/>
        </w:rPr>
        <w:t> </w:t>
      </w:r>
      <w:r>
        <w:rPr>
          <w:sz w:val="22"/>
        </w:rPr>
        <w:t>long-term</w:t>
      </w:r>
      <w:r>
        <w:rPr>
          <w:spacing w:val="-4"/>
          <w:sz w:val="22"/>
        </w:rPr>
        <w:t> </w:t>
      </w:r>
      <w:r>
        <w:rPr>
          <w:sz w:val="22"/>
        </w:rPr>
        <w:t>community</w:t>
      </w:r>
      <w:r>
        <w:rPr>
          <w:spacing w:val="-6"/>
          <w:sz w:val="22"/>
        </w:rPr>
        <w:t> </w:t>
      </w:r>
      <w:r>
        <w:rPr>
          <w:spacing w:val="-2"/>
          <w:sz w:val="22"/>
        </w:rPr>
        <w:t>benefit.</w:t>
      </w:r>
    </w:p>
    <w:p>
      <w:pPr>
        <w:pStyle w:val="BodyText"/>
        <w:spacing w:before="7"/>
        <w:rPr>
          <w:sz w:val="21"/>
        </w:rPr>
      </w:pPr>
    </w:p>
    <w:p>
      <w:pPr>
        <w:pStyle w:val="BodyText"/>
        <w:spacing w:before="1"/>
        <w:ind w:left="121" w:right="155" w:hanging="1"/>
        <w:jc w:val="both"/>
      </w:pPr>
      <w:r>
        <w:rPr/>
        <w:t>In addition to the statutory eligibility criteria, a</w:t>
      </w:r>
      <w:r>
        <w:rPr>
          <w:spacing w:val="-1"/>
        </w:rPr>
        <w:t> </w:t>
      </w:r>
      <w:r>
        <w:rPr/>
        <w:t>CLT</w:t>
      </w:r>
      <w:r>
        <w:rPr>
          <w:spacing w:val="-1"/>
        </w:rPr>
        <w:t> </w:t>
      </w:r>
      <w:r>
        <w:rPr/>
        <w:t>organization seeking to be designated or re- designated</w:t>
      </w:r>
      <w:r>
        <w:rPr>
          <w:spacing w:val="-10"/>
        </w:rPr>
        <w:t> </w:t>
      </w:r>
      <w:r>
        <w:rPr/>
        <w:t>by</w:t>
      </w:r>
      <w:r>
        <w:rPr>
          <w:spacing w:val="-11"/>
        </w:rPr>
        <w:t> </w:t>
      </w:r>
      <w:r>
        <w:rPr/>
        <w:t>the</w:t>
      </w:r>
      <w:r>
        <w:rPr>
          <w:spacing w:val="-11"/>
        </w:rPr>
        <w:t> </w:t>
      </w:r>
      <w:r>
        <w:rPr/>
        <w:t>City</w:t>
      </w:r>
      <w:r>
        <w:rPr>
          <w:spacing w:val="-11"/>
        </w:rPr>
        <w:t> </w:t>
      </w:r>
      <w:r>
        <w:rPr/>
        <w:t>of</w:t>
      </w:r>
      <w:r>
        <w:rPr>
          <w:spacing w:val="-12"/>
        </w:rPr>
        <w:t> </w:t>
      </w:r>
      <w:r>
        <w:rPr/>
        <w:t>Dallas</w:t>
      </w:r>
      <w:r>
        <w:rPr>
          <w:spacing w:val="-9"/>
        </w:rPr>
        <w:t> </w:t>
      </w:r>
      <w:r>
        <w:rPr/>
        <w:t>as</w:t>
      </w:r>
      <w:r>
        <w:rPr>
          <w:spacing w:val="-9"/>
        </w:rPr>
        <w:t> </w:t>
      </w:r>
      <w:r>
        <w:rPr/>
        <w:t>a</w:t>
      </w:r>
      <w:r>
        <w:rPr>
          <w:spacing w:val="-11"/>
        </w:rPr>
        <w:t> </w:t>
      </w:r>
      <w:r>
        <w:rPr/>
        <w:t>CLT</w:t>
      </w:r>
      <w:r>
        <w:rPr>
          <w:spacing w:val="-14"/>
        </w:rPr>
        <w:t> </w:t>
      </w:r>
      <w:r>
        <w:rPr/>
        <w:t>must</w:t>
      </w:r>
      <w:r>
        <w:rPr>
          <w:spacing w:val="-11"/>
        </w:rPr>
        <w:t> </w:t>
      </w:r>
      <w:r>
        <w:rPr/>
        <w:t>meet</w:t>
      </w:r>
      <w:r>
        <w:rPr>
          <w:spacing w:val="-11"/>
        </w:rPr>
        <w:t> </w:t>
      </w:r>
      <w:r>
        <w:rPr/>
        <w:t>the</w:t>
      </w:r>
      <w:r>
        <w:rPr>
          <w:spacing w:val="-11"/>
        </w:rPr>
        <w:t> </w:t>
      </w:r>
      <w:r>
        <w:rPr/>
        <w:t>Eligibility</w:t>
      </w:r>
      <w:r>
        <w:rPr>
          <w:spacing w:val="-9"/>
        </w:rPr>
        <w:t> </w:t>
      </w:r>
      <w:r>
        <w:rPr/>
        <w:t>and</w:t>
      </w:r>
      <w:r>
        <w:rPr>
          <w:spacing w:val="-11"/>
        </w:rPr>
        <w:t> </w:t>
      </w:r>
      <w:r>
        <w:rPr/>
        <w:t>Operation</w:t>
      </w:r>
      <w:r>
        <w:rPr>
          <w:spacing w:val="-10"/>
        </w:rPr>
        <w:t> </w:t>
      </w:r>
      <w:r>
        <w:rPr/>
        <w:t>Criteria</w:t>
      </w:r>
      <w:r>
        <w:rPr>
          <w:spacing w:val="-11"/>
        </w:rPr>
        <w:t> </w:t>
      </w:r>
      <w:r>
        <w:rPr/>
        <w:t>set</w:t>
      </w:r>
      <w:r>
        <w:rPr>
          <w:spacing w:val="-12"/>
        </w:rPr>
        <w:t> </w:t>
      </w:r>
      <w:r>
        <w:rPr/>
        <w:t>forth is this policy.</w:t>
      </w:r>
    </w:p>
    <w:p>
      <w:pPr>
        <w:pStyle w:val="BodyText"/>
        <w:spacing w:before="6"/>
        <w:rPr>
          <w:sz w:val="26"/>
        </w:rPr>
      </w:pPr>
    </w:p>
    <w:p>
      <w:pPr>
        <w:pStyle w:val="Heading5"/>
      </w:pPr>
      <w:r>
        <w:rPr/>
        <w:t>Consistency</w:t>
      </w:r>
      <w:r>
        <w:rPr>
          <w:spacing w:val="-8"/>
        </w:rPr>
        <w:t> </w:t>
      </w:r>
      <w:r>
        <w:rPr/>
        <w:t>with</w:t>
      </w:r>
      <w:r>
        <w:rPr>
          <w:spacing w:val="-7"/>
        </w:rPr>
        <w:t> </w:t>
      </w:r>
      <w:r>
        <w:rPr/>
        <w:t>City’s</w:t>
      </w:r>
      <w:r>
        <w:rPr>
          <w:spacing w:val="-6"/>
        </w:rPr>
        <w:t> </w:t>
      </w:r>
      <w:r>
        <w:rPr/>
        <w:t>Affordable</w:t>
      </w:r>
      <w:r>
        <w:rPr>
          <w:spacing w:val="-7"/>
        </w:rPr>
        <w:t> </w:t>
      </w:r>
      <w:r>
        <w:rPr/>
        <w:t>Housing</w:t>
      </w:r>
      <w:r>
        <w:rPr>
          <w:spacing w:val="-9"/>
        </w:rPr>
        <w:t> </w:t>
      </w:r>
      <w:r>
        <w:rPr>
          <w:spacing w:val="-2"/>
        </w:rPr>
        <w:t>Goals</w:t>
      </w:r>
    </w:p>
    <w:p>
      <w:pPr>
        <w:pStyle w:val="BodyText"/>
        <w:spacing w:before="49"/>
        <w:ind w:left="120" w:right="156"/>
        <w:jc w:val="both"/>
      </w:pPr>
      <w:r>
        <w:rPr/>
        <w:t>The operation of CLTs shall align with the Comprehensive Housing Policy. This CLT Program is designed to work in conjunction with other City programs, and the City’s existing affordable housing</w:t>
      </w:r>
      <w:r>
        <w:rPr>
          <w:spacing w:val="-10"/>
        </w:rPr>
        <w:t> </w:t>
      </w:r>
      <w:r>
        <w:rPr/>
        <w:t>production</w:t>
      </w:r>
      <w:r>
        <w:rPr>
          <w:spacing w:val="-10"/>
        </w:rPr>
        <w:t> </w:t>
      </w:r>
      <w:r>
        <w:rPr/>
        <w:t>goals.</w:t>
      </w:r>
      <w:r>
        <w:rPr>
          <w:spacing w:val="-11"/>
        </w:rPr>
        <w:t> </w:t>
      </w:r>
      <w:r>
        <w:rPr/>
        <w:t>On</w:t>
      </w:r>
      <w:r>
        <w:rPr>
          <w:spacing w:val="-10"/>
        </w:rPr>
        <w:t> </w:t>
      </w:r>
      <w:r>
        <w:rPr/>
        <w:t>an</w:t>
      </w:r>
      <w:r>
        <w:rPr>
          <w:spacing w:val="-11"/>
        </w:rPr>
        <w:t> </w:t>
      </w:r>
      <w:r>
        <w:rPr/>
        <w:t>annual</w:t>
      </w:r>
      <w:r>
        <w:rPr>
          <w:spacing w:val="-10"/>
        </w:rPr>
        <w:t> </w:t>
      </w:r>
      <w:r>
        <w:rPr/>
        <w:t>basis,</w:t>
      </w:r>
      <w:r>
        <w:rPr>
          <w:spacing w:val="-11"/>
        </w:rPr>
        <w:t> </w:t>
      </w:r>
      <w:r>
        <w:rPr/>
        <w:t>the</w:t>
      </w:r>
      <w:r>
        <w:rPr>
          <w:spacing w:val="-11"/>
        </w:rPr>
        <w:t> </w:t>
      </w:r>
      <w:r>
        <w:rPr/>
        <w:t>Department</w:t>
      </w:r>
      <w:r>
        <w:rPr>
          <w:spacing w:val="-8"/>
        </w:rPr>
        <w:t> </w:t>
      </w:r>
      <w:r>
        <w:rPr/>
        <w:t>shall</w:t>
      </w:r>
      <w:r>
        <w:rPr>
          <w:spacing w:val="-10"/>
        </w:rPr>
        <w:t> </w:t>
      </w:r>
      <w:r>
        <w:rPr/>
        <w:t>report</w:t>
      </w:r>
      <w:r>
        <w:rPr>
          <w:spacing w:val="-11"/>
        </w:rPr>
        <w:t> </w:t>
      </w:r>
      <w:r>
        <w:rPr/>
        <w:t>to</w:t>
      </w:r>
      <w:r>
        <w:rPr>
          <w:spacing w:val="-10"/>
        </w:rPr>
        <w:t> </w:t>
      </w:r>
      <w:r>
        <w:rPr/>
        <w:t>the</w:t>
      </w:r>
      <w:r>
        <w:rPr>
          <w:spacing w:val="-11"/>
        </w:rPr>
        <w:t> </w:t>
      </w:r>
      <w:r>
        <w:rPr/>
        <w:t>City</w:t>
      </w:r>
      <w:r>
        <w:rPr>
          <w:spacing w:val="-9"/>
        </w:rPr>
        <w:t> </w:t>
      </w:r>
      <w:r>
        <w:rPr/>
        <w:t>Council</w:t>
      </w:r>
      <w:r>
        <w:rPr>
          <w:spacing w:val="-10"/>
        </w:rPr>
        <w:t> </w:t>
      </w:r>
      <w:r>
        <w:rPr/>
        <w:t>the year-to-date production data for the program.</w:t>
      </w:r>
    </w:p>
    <w:p>
      <w:pPr>
        <w:pStyle w:val="BodyText"/>
        <w:spacing w:before="4"/>
        <w:rPr>
          <w:sz w:val="26"/>
        </w:rPr>
      </w:pPr>
    </w:p>
    <w:p>
      <w:pPr>
        <w:pStyle w:val="Heading5"/>
        <w:spacing w:before="1"/>
      </w:pPr>
      <w:r>
        <w:rPr/>
        <w:t>Consistency</w:t>
      </w:r>
      <w:r>
        <w:rPr>
          <w:spacing w:val="-7"/>
        </w:rPr>
        <w:t> </w:t>
      </w:r>
      <w:r>
        <w:rPr/>
        <w:t>with</w:t>
      </w:r>
      <w:r>
        <w:rPr>
          <w:spacing w:val="-6"/>
        </w:rPr>
        <w:t> </w:t>
      </w:r>
      <w:r>
        <w:rPr/>
        <w:t>Fair</w:t>
      </w:r>
      <w:r>
        <w:rPr>
          <w:spacing w:val="-6"/>
        </w:rPr>
        <w:t> </w:t>
      </w:r>
      <w:r>
        <w:rPr/>
        <w:t>Housing</w:t>
      </w:r>
      <w:r>
        <w:rPr>
          <w:spacing w:val="-4"/>
        </w:rPr>
        <w:t> Laws</w:t>
      </w:r>
    </w:p>
    <w:p>
      <w:pPr>
        <w:pStyle w:val="BodyText"/>
        <w:spacing w:before="51"/>
        <w:ind w:left="120" w:right="155"/>
        <w:jc w:val="both"/>
      </w:pPr>
      <w:r>
        <w:rPr/>
        <w:t>On an annual basis, the Program will be reviewed by the Office of Equity and Human Rights, or its successor department, to ensure that the Program is being operated in a manner that is consistent</w:t>
      </w:r>
      <w:r>
        <w:rPr>
          <w:spacing w:val="-4"/>
        </w:rPr>
        <w:t> </w:t>
      </w:r>
      <w:r>
        <w:rPr/>
        <w:t>with</w:t>
      </w:r>
      <w:r>
        <w:rPr>
          <w:spacing w:val="-5"/>
        </w:rPr>
        <w:t> </w:t>
      </w:r>
      <w:r>
        <w:rPr/>
        <w:t>fair</w:t>
      </w:r>
      <w:r>
        <w:rPr>
          <w:spacing w:val="-4"/>
        </w:rPr>
        <w:t> </w:t>
      </w:r>
      <w:r>
        <w:rPr/>
        <w:t>housing</w:t>
      </w:r>
      <w:r>
        <w:rPr>
          <w:spacing w:val="-3"/>
        </w:rPr>
        <w:t> </w:t>
      </w:r>
      <w:r>
        <w:rPr/>
        <w:t>laws.</w:t>
      </w:r>
      <w:r>
        <w:rPr>
          <w:spacing w:val="-3"/>
        </w:rPr>
        <w:t> </w:t>
      </w:r>
      <w:r>
        <w:rPr/>
        <w:t>The</w:t>
      </w:r>
      <w:r>
        <w:rPr>
          <w:spacing w:val="-2"/>
        </w:rPr>
        <w:t> </w:t>
      </w:r>
      <w:r>
        <w:rPr/>
        <w:t>City</w:t>
      </w:r>
      <w:r>
        <w:rPr>
          <w:spacing w:val="-2"/>
        </w:rPr>
        <w:t> </w:t>
      </w:r>
      <w:r>
        <w:rPr/>
        <w:t>will</w:t>
      </w:r>
      <w:r>
        <w:rPr>
          <w:spacing w:val="-3"/>
        </w:rPr>
        <w:t> </w:t>
      </w:r>
      <w:r>
        <w:rPr/>
        <w:t>collect</w:t>
      </w:r>
      <w:r>
        <w:rPr>
          <w:spacing w:val="-1"/>
        </w:rPr>
        <w:t> </w:t>
      </w:r>
      <w:r>
        <w:rPr/>
        <w:t>and</w:t>
      </w:r>
      <w:r>
        <w:rPr>
          <w:spacing w:val="-7"/>
        </w:rPr>
        <w:t> </w:t>
      </w:r>
      <w:r>
        <w:rPr/>
        <w:t>maintain</w:t>
      </w:r>
      <w:r>
        <w:rPr>
          <w:spacing w:val="-3"/>
        </w:rPr>
        <w:t> </w:t>
      </w:r>
      <w:r>
        <w:rPr/>
        <w:t>data</w:t>
      </w:r>
      <w:r>
        <w:rPr>
          <w:spacing w:val="-5"/>
        </w:rPr>
        <w:t> </w:t>
      </w:r>
      <w:r>
        <w:rPr/>
        <w:t>regarding</w:t>
      </w:r>
      <w:r>
        <w:rPr>
          <w:spacing w:val="-3"/>
        </w:rPr>
        <w:t> </w:t>
      </w:r>
      <w:r>
        <w:rPr/>
        <w:t>the</w:t>
      </w:r>
      <w:r>
        <w:rPr>
          <w:spacing w:val="-5"/>
        </w:rPr>
        <w:t> </w:t>
      </w:r>
      <w:r>
        <w:rPr/>
        <w:t>location</w:t>
      </w:r>
      <w:r>
        <w:rPr>
          <w:spacing w:val="-3"/>
        </w:rPr>
        <w:t> </w:t>
      </w:r>
      <w:r>
        <w:rPr/>
        <w:t>of parcels of real property in CLTs. In addition, the City will collect program evaluation data</w:t>
      </w:r>
      <w:r>
        <w:rPr>
          <w:spacing w:val="-4"/>
        </w:rPr>
        <w:t> </w:t>
      </w:r>
      <w:r>
        <w:rPr/>
        <w:t>and demographic information regarding the eligible households who occupy housing units in CLTs.</w:t>
      </w:r>
    </w:p>
    <w:p>
      <w:pPr>
        <w:pStyle w:val="BodyText"/>
        <w:spacing w:before="10"/>
        <w:rPr>
          <w:sz w:val="21"/>
        </w:rPr>
      </w:pPr>
    </w:p>
    <w:p>
      <w:pPr>
        <w:pStyle w:val="Heading5"/>
      </w:pPr>
      <w:r>
        <w:rPr/>
        <w:t>Application</w:t>
      </w:r>
      <w:r>
        <w:rPr>
          <w:spacing w:val="-5"/>
        </w:rPr>
        <w:t> </w:t>
      </w:r>
      <w:r>
        <w:rPr>
          <w:spacing w:val="-2"/>
        </w:rPr>
        <w:t>Process</w:t>
      </w:r>
    </w:p>
    <w:p>
      <w:pPr>
        <w:pStyle w:val="BodyText"/>
        <w:spacing w:before="52"/>
        <w:ind w:left="120" w:right="158"/>
        <w:jc w:val="both"/>
      </w:pPr>
      <w:r>
        <w:rPr/>
        <w:t>Prior</w:t>
      </w:r>
      <w:r>
        <w:rPr>
          <w:spacing w:val="-13"/>
        </w:rPr>
        <w:t> </w:t>
      </w:r>
      <w:r>
        <w:rPr/>
        <w:t>to</w:t>
      </w:r>
      <w:r>
        <w:rPr>
          <w:spacing w:val="-14"/>
        </w:rPr>
        <w:t> </w:t>
      </w:r>
      <w:r>
        <w:rPr/>
        <w:t>submitting</w:t>
      </w:r>
      <w:r>
        <w:rPr>
          <w:spacing w:val="-12"/>
        </w:rPr>
        <w:t> </w:t>
      </w:r>
      <w:r>
        <w:rPr/>
        <w:t>a</w:t>
      </w:r>
      <w:r>
        <w:rPr>
          <w:spacing w:val="-14"/>
        </w:rPr>
        <w:t> </w:t>
      </w:r>
      <w:r>
        <w:rPr/>
        <w:t>written</w:t>
      </w:r>
      <w:r>
        <w:rPr>
          <w:spacing w:val="-12"/>
        </w:rPr>
        <w:t> </w:t>
      </w:r>
      <w:r>
        <w:rPr/>
        <w:t>application,</w:t>
      </w:r>
      <w:r>
        <w:rPr>
          <w:spacing w:val="-12"/>
        </w:rPr>
        <w:t> </w:t>
      </w:r>
      <w:r>
        <w:rPr/>
        <w:t>the</w:t>
      </w:r>
      <w:r>
        <w:rPr>
          <w:spacing w:val="-14"/>
        </w:rPr>
        <w:t> </w:t>
      </w:r>
      <w:r>
        <w:rPr/>
        <w:t>CLT</w:t>
      </w:r>
      <w:r>
        <w:rPr>
          <w:spacing w:val="-16"/>
        </w:rPr>
        <w:t> </w:t>
      </w:r>
      <w:r>
        <w:rPr/>
        <w:t>must</w:t>
      </w:r>
      <w:r>
        <w:rPr>
          <w:spacing w:val="-12"/>
        </w:rPr>
        <w:t> </w:t>
      </w:r>
      <w:r>
        <w:rPr/>
        <w:t>attend</w:t>
      </w:r>
      <w:r>
        <w:rPr>
          <w:spacing w:val="-14"/>
        </w:rPr>
        <w:t> </w:t>
      </w:r>
      <w:r>
        <w:rPr/>
        <w:t>a</w:t>
      </w:r>
      <w:r>
        <w:rPr>
          <w:spacing w:val="-14"/>
        </w:rPr>
        <w:t> </w:t>
      </w:r>
      <w:r>
        <w:rPr/>
        <w:t>CLT</w:t>
      </w:r>
      <w:r>
        <w:rPr>
          <w:spacing w:val="-12"/>
        </w:rPr>
        <w:t> </w:t>
      </w:r>
      <w:r>
        <w:rPr/>
        <w:t>information</w:t>
      </w:r>
      <w:r>
        <w:rPr>
          <w:spacing w:val="-12"/>
        </w:rPr>
        <w:t> </w:t>
      </w:r>
      <w:r>
        <w:rPr/>
        <w:t>session</w:t>
      </w:r>
      <w:r>
        <w:rPr>
          <w:spacing w:val="-14"/>
        </w:rPr>
        <w:t> </w:t>
      </w:r>
      <w:r>
        <w:rPr/>
        <w:t>facilitated by the Department and receive information about the Program, designation process, and re- designation process.</w:t>
      </w:r>
    </w:p>
    <w:p>
      <w:pPr>
        <w:spacing w:after="0"/>
        <w:jc w:val="both"/>
        <w:sectPr>
          <w:pgSz w:w="12240" w:h="15840"/>
          <w:pgMar w:header="0" w:footer="1176" w:top="1380" w:bottom="1420" w:left="1320" w:right="1280"/>
        </w:sectPr>
      </w:pPr>
    </w:p>
    <w:p>
      <w:pPr>
        <w:pStyle w:val="BodyText"/>
        <w:spacing w:before="80"/>
        <w:ind w:left="120" w:right="159" w:hanging="1"/>
        <w:jc w:val="both"/>
      </w:pPr>
      <w:r>
        <w:rPr/>
        <w:t>The City Manager, or</w:t>
      </w:r>
      <w:r>
        <w:rPr>
          <w:spacing w:val="-2"/>
        </w:rPr>
        <w:t> </w:t>
      </w:r>
      <w:r>
        <w:rPr/>
        <w:t>their designee, is authorized to create and periodically update an </w:t>
      </w:r>
      <w:r>
        <w:rPr>
          <w:spacing w:val="-2"/>
        </w:rPr>
        <w:t>application.</w:t>
      </w:r>
    </w:p>
    <w:p>
      <w:pPr>
        <w:pStyle w:val="BodyText"/>
        <w:spacing w:before="10"/>
        <w:rPr>
          <w:sz w:val="21"/>
        </w:rPr>
      </w:pPr>
    </w:p>
    <w:p>
      <w:pPr>
        <w:pStyle w:val="Heading5"/>
      </w:pPr>
      <w:r>
        <w:rPr/>
        <w:t>Eligibility</w:t>
      </w:r>
      <w:r>
        <w:rPr>
          <w:spacing w:val="-5"/>
        </w:rPr>
        <w:t> </w:t>
      </w:r>
      <w:r>
        <w:rPr>
          <w:spacing w:val="-2"/>
        </w:rPr>
        <w:t>Criteria</w:t>
      </w:r>
    </w:p>
    <w:p>
      <w:pPr>
        <w:pStyle w:val="BodyText"/>
        <w:spacing w:before="52"/>
        <w:ind w:left="120" w:right="157"/>
        <w:jc w:val="both"/>
      </w:pPr>
      <w:r>
        <w:rPr/>
        <w:t>In its application to the City of Dallas, a non-profit CLT organization must demonstrate that the </w:t>
      </w:r>
      <w:r>
        <w:rPr>
          <w:spacing w:val="-2"/>
        </w:rPr>
        <w:t>organization:</w:t>
      </w:r>
    </w:p>
    <w:p>
      <w:pPr>
        <w:pStyle w:val="ListParagraph"/>
        <w:numPr>
          <w:ilvl w:val="1"/>
          <w:numId w:val="16"/>
        </w:numPr>
        <w:tabs>
          <w:tab w:pos="841" w:val="left" w:leader="none"/>
        </w:tabs>
        <w:spacing w:line="237" w:lineRule="auto" w:before="2" w:after="0"/>
        <w:ind w:left="840" w:right="158" w:hanging="361"/>
        <w:jc w:val="both"/>
        <w:rPr>
          <w:rFonts w:ascii="Symbol" w:hAnsi="Symbol"/>
          <w:sz w:val="22"/>
        </w:rPr>
      </w:pPr>
      <w:r>
        <w:rPr>
          <w:sz w:val="22"/>
        </w:rPr>
        <w:t>has been created to acquire and hold land for the benefit of developing and preserving long-term affordable housing in the City of Dallas;</w:t>
      </w:r>
    </w:p>
    <w:p>
      <w:pPr>
        <w:pStyle w:val="ListParagraph"/>
        <w:numPr>
          <w:ilvl w:val="1"/>
          <w:numId w:val="16"/>
        </w:numPr>
        <w:tabs>
          <w:tab w:pos="841" w:val="left" w:leader="none"/>
        </w:tabs>
        <w:spacing w:line="268" w:lineRule="exact" w:before="1" w:after="0"/>
        <w:ind w:left="840" w:right="0" w:hanging="361"/>
        <w:jc w:val="both"/>
        <w:rPr>
          <w:rFonts w:ascii="Symbol" w:hAnsi="Symbol"/>
          <w:sz w:val="22"/>
        </w:rPr>
      </w:pPr>
      <w:r>
        <w:rPr/>
        <w:pict>
          <v:shape style="position:absolute;margin-left:90.065002pt;margin-top:10.042709pt;width:395.3pt;height:419pt;mso-position-horizontal-relative:page;mso-position-vertical-relative:paragraph;z-index:-17699328" id="docshape91" coordorigin="1801,201" coordsize="7906,8380" path="m4498,7464l4492,7391,4477,7313,4455,7230,4432,7161,4403,7089,4367,7014,4325,6936,4276,6855,4237,6796,4200,6746,4200,7431,4197,7488,4186,7544,4167,7602,4138,7661,4097,7724,4044,7790,3979,7860,3674,8165,2216,6707,2517,6407,2598,6331,2672,6271,2740,6227,2801,6201,2868,6186,2941,6182,3020,6189,3105,6207,3195,6236,3255,6262,3317,6294,3380,6332,3446,6377,3514,6429,3584,6487,3656,6552,3729,6623,3789,6685,3845,6745,3896,6804,3943,6862,3986,6918,4025,6974,4059,7028,4101,7102,4136,7174,4163,7244,4183,7311,4196,7375,4200,7431,4200,6746,4194,6737,4148,6677,4098,6616,4045,6555,3989,6494,3929,6432,3865,6370,3801,6311,3737,6256,3673,6205,3643,6182,3609,6157,3546,6112,3482,6071,3419,6033,3346,5996,3274,5963,3203,5936,3132,5914,3062,5897,2992,5885,2923,5878,2850,5876,2779,5883,2709,5898,2642,5921,2577,5951,2528,5979,2476,6016,2420,6062,2359,6116,2294,6179,1801,6672,3710,8580,4124,8165,4226,8063,4287,7998,4341,7933,4386,7867,4424,7800,4454,7734,4476,7668,4491,7601,4498,7533,4498,7464xm6418,5871l6056,5744,5650,5601,5561,5572,5475,5548,5393,5529,5365,5524,5314,5514,5239,5504,5193,5503,5143,5506,5089,5513,5030,5524,5073,5454,5109,5384,5136,5315,5154,5246,5164,5178,5165,5110,5157,5042,5139,4964,5111,4888,5075,4813,5030,4740,4976,4670,4956,4647,4913,4601,4872,4563,4872,5120,4868,5176,4854,5231,4830,5287,4794,5345,4747,5406,4687,5470,4280,5877,3649,5246,4102,4793,4166,4736,4229,4693,4293,4663,4358,4648,4422,4647,4501,4662,4577,4692,4649,4736,4718,4796,4761,4844,4797,4894,4827,4948,4851,5005,4867,5063,4872,5120,4872,4563,4849,4541,4782,4489,4713,4443,4641,4405,4566,4373,4474,4345,4386,4332,4303,4334,4225,4350,4163,4375,4098,4411,4030,4459,3958,4519,3883,4590,3248,5225,5157,7133,5346,6943,4499,6096,4718,5877,4753,5843,4783,5815,4810,5794,4833,5780,4863,5766,4896,5756,4932,5748,4971,5744,5014,5744,5066,5749,5125,5759,5194,5776,5256,5793,5328,5814,5407,5839,5496,5868,6180,6110,6418,5871xm7780,4509l7415,4314,6555,3860,6555,4167,6070,4652,6030,4581,5989,4509,5748,4078,5708,4007,5668,3935,5629,3870,5590,3805,5550,3741,5509,3678,5467,3616,5424,3554,5380,3494,5436,3529,5498,3567,5564,3607,5635,3649,5792,3739,6555,4167,6555,3860,5862,3494,5286,3187,5082,3391,5277,3741,5316,3812,5701,4509,6207,5428,6441,5849,6642,5648,6565,5514,6298,5046,6221,4913,6481,4652,6820,4314,7173,4509,7565,4725,7780,4509xm8131,4159l7264,3292,7936,2620,7711,2395,7039,3067,6448,2476,7224,1699,6999,1474,6033,2440,7941,4348,8131,4159xm9707,2583l8024,900,8497,426,8272,201,7138,1335,7363,1561,7834,1089,9517,2772,9707,2583xe" filled="true" fillcolor="#c0c0c0" stroked="false">
            <v:path arrowok="t"/>
            <v:fill opacity="32896f" type="solid"/>
            <w10:wrap type="none"/>
          </v:shape>
        </w:pict>
      </w:r>
      <w:r>
        <w:rPr>
          <w:sz w:val="22"/>
        </w:rPr>
        <w:t>is</w:t>
      </w:r>
      <w:r>
        <w:rPr>
          <w:spacing w:val="-2"/>
          <w:sz w:val="22"/>
        </w:rPr>
        <w:t> </w:t>
      </w:r>
      <w:r>
        <w:rPr>
          <w:sz w:val="22"/>
        </w:rPr>
        <w:t>organized</w:t>
      </w:r>
      <w:r>
        <w:rPr>
          <w:spacing w:val="-3"/>
          <w:sz w:val="22"/>
        </w:rPr>
        <w:t> </w:t>
      </w:r>
      <w:r>
        <w:rPr>
          <w:sz w:val="22"/>
        </w:rPr>
        <w:t>as</w:t>
      </w:r>
      <w:r>
        <w:rPr>
          <w:spacing w:val="-4"/>
          <w:sz w:val="22"/>
        </w:rPr>
        <w:t> </w:t>
      </w:r>
      <w:r>
        <w:rPr>
          <w:sz w:val="22"/>
        </w:rPr>
        <w:t>one</w:t>
      </w:r>
      <w:r>
        <w:rPr>
          <w:spacing w:val="-4"/>
          <w:sz w:val="22"/>
        </w:rPr>
        <w:t> </w:t>
      </w:r>
      <w:r>
        <w:rPr>
          <w:sz w:val="22"/>
        </w:rPr>
        <w:t>of</w:t>
      </w:r>
      <w:r>
        <w:rPr>
          <w:spacing w:val="-4"/>
          <w:sz w:val="22"/>
        </w:rPr>
        <w:t> </w:t>
      </w:r>
      <w:r>
        <w:rPr>
          <w:sz w:val="22"/>
        </w:rPr>
        <w:t>the</w:t>
      </w:r>
      <w:r>
        <w:rPr>
          <w:spacing w:val="-2"/>
          <w:sz w:val="22"/>
        </w:rPr>
        <w:t> following:</w:t>
      </w:r>
    </w:p>
    <w:p>
      <w:pPr>
        <w:pStyle w:val="ListParagraph"/>
        <w:numPr>
          <w:ilvl w:val="0"/>
          <w:numId w:val="19"/>
        </w:numPr>
        <w:tabs>
          <w:tab w:pos="1561" w:val="left" w:leader="none"/>
        </w:tabs>
        <w:spacing w:line="240" w:lineRule="auto" w:before="0" w:after="0"/>
        <w:ind w:left="1560" w:right="157" w:hanging="360"/>
        <w:jc w:val="both"/>
        <w:rPr>
          <w:sz w:val="22"/>
        </w:rPr>
      </w:pPr>
      <w:r>
        <w:rPr>
          <w:sz w:val="22"/>
        </w:rPr>
        <w:t>exempt</w:t>
      </w:r>
      <w:r>
        <w:rPr>
          <w:spacing w:val="-16"/>
          <w:sz w:val="22"/>
        </w:rPr>
        <w:t> </w:t>
      </w:r>
      <w:r>
        <w:rPr>
          <w:sz w:val="22"/>
        </w:rPr>
        <w:t>from</w:t>
      </w:r>
      <w:r>
        <w:rPr>
          <w:spacing w:val="-15"/>
          <w:sz w:val="22"/>
        </w:rPr>
        <w:t> </w:t>
      </w:r>
      <w:r>
        <w:rPr>
          <w:sz w:val="22"/>
        </w:rPr>
        <w:t>federal</w:t>
      </w:r>
      <w:r>
        <w:rPr>
          <w:spacing w:val="-15"/>
          <w:sz w:val="22"/>
        </w:rPr>
        <w:t> </w:t>
      </w:r>
      <w:r>
        <w:rPr>
          <w:sz w:val="22"/>
        </w:rPr>
        <w:t>income</w:t>
      </w:r>
      <w:r>
        <w:rPr>
          <w:spacing w:val="-16"/>
          <w:sz w:val="22"/>
        </w:rPr>
        <w:t> </w:t>
      </w:r>
      <w:r>
        <w:rPr>
          <w:sz w:val="22"/>
        </w:rPr>
        <w:t>taxation</w:t>
      </w:r>
      <w:r>
        <w:rPr>
          <w:spacing w:val="-15"/>
          <w:sz w:val="22"/>
        </w:rPr>
        <w:t> </w:t>
      </w:r>
      <w:r>
        <w:rPr>
          <w:sz w:val="22"/>
        </w:rPr>
        <w:t>under</w:t>
      </w:r>
      <w:r>
        <w:rPr>
          <w:spacing w:val="-15"/>
          <w:sz w:val="22"/>
        </w:rPr>
        <w:t> </w:t>
      </w:r>
      <w:r>
        <w:rPr>
          <w:sz w:val="22"/>
        </w:rPr>
        <w:t>Section</w:t>
      </w:r>
      <w:r>
        <w:rPr>
          <w:spacing w:val="-15"/>
          <w:sz w:val="22"/>
        </w:rPr>
        <w:t> </w:t>
      </w:r>
      <w:r>
        <w:rPr>
          <w:sz w:val="22"/>
        </w:rPr>
        <w:t>501(a),</w:t>
      </w:r>
      <w:r>
        <w:rPr>
          <w:spacing w:val="-16"/>
          <w:sz w:val="22"/>
        </w:rPr>
        <w:t> </w:t>
      </w:r>
      <w:r>
        <w:rPr>
          <w:sz w:val="22"/>
        </w:rPr>
        <w:t>Internal</w:t>
      </w:r>
      <w:r>
        <w:rPr>
          <w:spacing w:val="-15"/>
          <w:sz w:val="22"/>
        </w:rPr>
        <w:t> </w:t>
      </w:r>
      <w:r>
        <w:rPr>
          <w:sz w:val="22"/>
        </w:rPr>
        <w:t>Revenue</w:t>
      </w:r>
      <w:r>
        <w:rPr>
          <w:spacing w:val="-15"/>
          <w:sz w:val="22"/>
        </w:rPr>
        <w:t> </w:t>
      </w:r>
      <w:r>
        <w:rPr>
          <w:sz w:val="22"/>
        </w:rPr>
        <w:t>Code of</w:t>
      </w:r>
      <w:r>
        <w:rPr>
          <w:spacing w:val="-4"/>
          <w:sz w:val="22"/>
        </w:rPr>
        <w:t> </w:t>
      </w:r>
      <w:r>
        <w:rPr>
          <w:sz w:val="22"/>
        </w:rPr>
        <w:t>1986,</w:t>
      </w:r>
      <w:r>
        <w:rPr>
          <w:spacing w:val="-4"/>
          <w:sz w:val="22"/>
        </w:rPr>
        <w:t> </w:t>
      </w:r>
      <w:r>
        <w:rPr>
          <w:sz w:val="22"/>
        </w:rPr>
        <w:t>by</w:t>
      </w:r>
      <w:r>
        <w:rPr>
          <w:spacing w:val="-7"/>
          <w:sz w:val="22"/>
        </w:rPr>
        <w:t> </w:t>
      </w:r>
      <w:r>
        <w:rPr>
          <w:sz w:val="22"/>
        </w:rPr>
        <w:t>being</w:t>
      </w:r>
      <w:r>
        <w:rPr>
          <w:spacing w:val="-5"/>
          <w:sz w:val="22"/>
        </w:rPr>
        <w:t> </w:t>
      </w:r>
      <w:r>
        <w:rPr>
          <w:sz w:val="22"/>
        </w:rPr>
        <w:t>listed</w:t>
      </w:r>
      <w:r>
        <w:rPr>
          <w:spacing w:val="-5"/>
          <w:sz w:val="22"/>
        </w:rPr>
        <w:t> </w:t>
      </w:r>
      <w:r>
        <w:rPr>
          <w:sz w:val="22"/>
        </w:rPr>
        <w:t>as</w:t>
      </w:r>
      <w:r>
        <w:rPr>
          <w:spacing w:val="-5"/>
          <w:sz w:val="22"/>
        </w:rPr>
        <w:t> </w:t>
      </w:r>
      <w:r>
        <w:rPr>
          <w:sz w:val="22"/>
        </w:rPr>
        <w:t>an</w:t>
      </w:r>
      <w:r>
        <w:rPr>
          <w:spacing w:val="-5"/>
          <w:sz w:val="22"/>
        </w:rPr>
        <w:t> </w:t>
      </w:r>
      <w:r>
        <w:rPr>
          <w:sz w:val="22"/>
        </w:rPr>
        <w:t>exempt</w:t>
      </w:r>
      <w:r>
        <w:rPr>
          <w:spacing w:val="-4"/>
          <w:sz w:val="22"/>
        </w:rPr>
        <w:t> </w:t>
      </w:r>
      <w:r>
        <w:rPr>
          <w:sz w:val="22"/>
        </w:rPr>
        <w:t>organization</w:t>
      </w:r>
      <w:r>
        <w:rPr>
          <w:spacing w:val="-7"/>
          <w:sz w:val="22"/>
        </w:rPr>
        <w:t> </w:t>
      </w:r>
      <w:r>
        <w:rPr>
          <w:sz w:val="22"/>
        </w:rPr>
        <w:t>under</w:t>
      </w:r>
      <w:r>
        <w:rPr>
          <w:spacing w:val="-4"/>
          <w:sz w:val="22"/>
        </w:rPr>
        <w:t> </w:t>
      </w:r>
      <w:r>
        <w:rPr>
          <w:sz w:val="22"/>
        </w:rPr>
        <w:t>Section</w:t>
      </w:r>
      <w:r>
        <w:rPr>
          <w:spacing w:val="-5"/>
          <w:sz w:val="22"/>
        </w:rPr>
        <w:t> </w:t>
      </w:r>
      <w:r>
        <w:rPr>
          <w:sz w:val="22"/>
        </w:rPr>
        <w:t>501(c)(3)</w:t>
      </w:r>
      <w:r>
        <w:rPr>
          <w:spacing w:val="-9"/>
          <w:sz w:val="22"/>
        </w:rPr>
        <w:t> </w:t>
      </w:r>
      <w:r>
        <w:rPr>
          <w:sz w:val="22"/>
        </w:rPr>
        <w:t>of</w:t>
      </w:r>
      <w:r>
        <w:rPr>
          <w:spacing w:val="-6"/>
          <w:sz w:val="22"/>
        </w:rPr>
        <w:t> </w:t>
      </w:r>
      <w:r>
        <w:rPr>
          <w:sz w:val="22"/>
        </w:rPr>
        <w:t>that </w:t>
      </w:r>
      <w:r>
        <w:rPr>
          <w:spacing w:val="-2"/>
          <w:sz w:val="22"/>
        </w:rPr>
        <w:t>code;</w:t>
      </w:r>
    </w:p>
    <w:p>
      <w:pPr>
        <w:pStyle w:val="ListParagraph"/>
        <w:numPr>
          <w:ilvl w:val="0"/>
          <w:numId w:val="19"/>
        </w:numPr>
        <w:tabs>
          <w:tab w:pos="1561" w:val="left" w:leader="none"/>
        </w:tabs>
        <w:spacing w:line="240" w:lineRule="auto" w:before="0" w:after="0"/>
        <w:ind w:left="1560" w:right="159" w:hanging="360"/>
        <w:jc w:val="both"/>
        <w:rPr>
          <w:sz w:val="22"/>
        </w:rPr>
      </w:pPr>
      <w:r>
        <w:rPr>
          <w:sz w:val="22"/>
        </w:rPr>
        <w:t>a limited partnership of which a nonprofit</w:t>
      </w:r>
      <w:r>
        <w:rPr>
          <w:spacing w:val="-2"/>
          <w:sz w:val="22"/>
        </w:rPr>
        <w:t> </w:t>
      </w:r>
      <w:r>
        <w:rPr>
          <w:sz w:val="22"/>
        </w:rPr>
        <w:t>corporation described by paragraph (1) controls 100 percent of the general partner interest; or</w:t>
      </w:r>
    </w:p>
    <w:p>
      <w:pPr>
        <w:pStyle w:val="ListParagraph"/>
        <w:numPr>
          <w:ilvl w:val="0"/>
          <w:numId w:val="19"/>
        </w:numPr>
        <w:tabs>
          <w:tab w:pos="1623" w:val="left" w:leader="none"/>
        </w:tabs>
        <w:spacing w:line="240" w:lineRule="auto" w:before="0" w:after="0"/>
        <w:ind w:left="1560" w:right="159" w:hanging="361"/>
        <w:jc w:val="both"/>
        <w:rPr>
          <w:sz w:val="22"/>
        </w:rPr>
      </w:pPr>
      <w:r>
        <w:rPr/>
        <w:tab/>
      </w:r>
      <w:r>
        <w:rPr>
          <w:sz w:val="22"/>
        </w:rPr>
        <w:t>a limited liability company for which a</w:t>
      </w:r>
      <w:r>
        <w:rPr>
          <w:spacing w:val="-3"/>
          <w:sz w:val="22"/>
        </w:rPr>
        <w:t> </w:t>
      </w:r>
      <w:r>
        <w:rPr>
          <w:sz w:val="22"/>
        </w:rPr>
        <w:t>nonprofit corporation described by Paragraph (1) serves as the only member.</w:t>
      </w:r>
    </w:p>
    <w:p>
      <w:pPr>
        <w:pStyle w:val="ListParagraph"/>
        <w:numPr>
          <w:ilvl w:val="1"/>
          <w:numId w:val="16"/>
        </w:numPr>
        <w:tabs>
          <w:tab w:pos="841" w:val="left" w:leader="none"/>
        </w:tabs>
        <w:spacing w:line="237" w:lineRule="auto" w:before="3" w:after="0"/>
        <w:ind w:left="840" w:right="155" w:hanging="361"/>
        <w:jc w:val="both"/>
        <w:rPr>
          <w:rFonts w:ascii="Symbol" w:hAnsi="Symbol"/>
          <w:sz w:val="22"/>
        </w:rPr>
      </w:pPr>
      <w:r>
        <w:rPr>
          <w:sz w:val="22"/>
        </w:rPr>
        <w:t>has adopted articles of incorporation, or a similar governing document, stating that it has the purpose to acquire and hold land for the benefit of developing and preserving long- term affordable housing in the City of</w:t>
      </w:r>
      <w:r>
        <w:rPr>
          <w:spacing w:val="-1"/>
          <w:sz w:val="22"/>
        </w:rPr>
        <w:t> </w:t>
      </w:r>
      <w:r>
        <w:rPr>
          <w:sz w:val="22"/>
        </w:rPr>
        <w:t>Dallas, as required by Chapter 373B,</w:t>
      </w:r>
      <w:r>
        <w:rPr>
          <w:spacing w:val="-1"/>
          <w:sz w:val="22"/>
        </w:rPr>
        <w:t> </w:t>
      </w:r>
      <w:r>
        <w:rPr>
          <w:sz w:val="22"/>
        </w:rPr>
        <w:t>as amended;</w:t>
      </w:r>
    </w:p>
    <w:p>
      <w:pPr>
        <w:pStyle w:val="ListParagraph"/>
        <w:numPr>
          <w:ilvl w:val="1"/>
          <w:numId w:val="16"/>
        </w:numPr>
        <w:tabs>
          <w:tab w:pos="842" w:val="left" w:leader="none"/>
        </w:tabs>
        <w:spacing w:line="237" w:lineRule="auto" w:before="5" w:after="0"/>
        <w:ind w:left="841" w:right="157" w:hanging="361"/>
        <w:jc w:val="both"/>
        <w:rPr>
          <w:rFonts w:ascii="Symbol" w:hAnsi="Symbol"/>
          <w:sz w:val="22"/>
        </w:rPr>
      </w:pPr>
      <w:r>
        <w:rPr>
          <w:sz w:val="22"/>
        </w:rPr>
        <w:t>currently owns or intends to own land for the purpose of leasing the land and selling or leasing</w:t>
      </w:r>
      <w:r>
        <w:rPr>
          <w:spacing w:val="-3"/>
          <w:sz w:val="22"/>
        </w:rPr>
        <w:t> </w:t>
      </w:r>
      <w:r>
        <w:rPr>
          <w:sz w:val="22"/>
        </w:rPr>
        <w:t>the</w:t>
      </w:r>
      <w:r>
        <w:rPr>
          <w:spacing w:val="-3"/>
          <w:sz w:val="22"/>
        </w:rPr>
        <w:t> </w:t>
      </w:r>
      <w:r>
        <w:rPr>
          <w:sz w:val="22"/>
        </w:rPr>
        <w:t>housing</w:t>
      </w:r>
      <w:r>
        <w:rPr>
          <w:spacing w:val="-6"/>
          <w:sz w:val="22"/>
        </w:rPr>
        <w:t> </w:t>
      </w:r>
      <w:r>
        <w:rPr>
          <w:sz w:val="22"/>
        </w:rPr>
        <w:t>units</w:t>
      </w:r>
      <w:r>
        <w:rPr>
          <w:spacing w:val="-5"/>
          <w:sz w:val="22"/>
        </w:rPr>
        <w:t> </w:t>
      </w:r>
      <w:r>
        <w:rPr>
          <w:sz w:val="22"/>
        </w:rPr>
        <w:t>located</w:t>
      </w:r>
      <w:r>
        <w:rPr>
          <w:spacing w:val="-6"/>
          <w:sz w:val="22"/>
        </w:rPr>
        <w:t> </w:t>
      </w:r>
      <w:r>
        <w:rPr>
          <w:sz w:val="22"/>
        </w:rPr>
        <w:t>on</w:t>
      </w:r>
      <w:r>
        <w:rPr>
          <w:spacing w:val="-6"/>
          <w:sz w:val="22"/>
        </w:rPr>
        <w:t> </w:t>
      </w:r>
      <w:r>
        <w:rPr>
          <w:sz w:val="22"/>
        </w:rPr>
        <w:t>the</w:t>
      </w:r>
      <w:r>
        <w:rPr>
          <w:spacing w:val="-3"/>
          <w:sz w:val="22"/>
        </w:rPr>
        <w:t> </w:t>
      </w:r>
      <w:r>
        <w:rPr>
          <w:sz w:val="22"/>
        </w:rPr>
        <w:t>land</w:t>
      </w:r>
      <w:r>
        <w:rPr>
          <w:spacing w:val="-3"/>
          <w:sz w:val="22"/>
        </w:rPr>
        <w:t> </w:t>
      </w:r>
      <w:r>
        <w:rPr>
          <w:sz w:val="22"/>
        </w:rPr>
        <w:t>as</w:t>
      </w:r>
      <w:r>
        <w:rPr>
          <w:spacing w:val="-3"/>
          <w:sz w:val="22"/>
        </w:rPr>
        <w:t> </w:t>
      </w:r>
      <w:r>
        <w:rPr>
          <w:sz w:val="22"/>
        </w:rPr>
        <w:t>provided</w:t>
      </w:r>
      <w:r>
        <w:rPr>
          <w:spacing w:val="-3"/>
          <w:sz w:val="22"/>
        </w:rPr>
        <w:t> </w:t>
      </w:r>
      <w:r>
        <w:rPr>
          <w:sz w:val="22"/>
        </w:rPr>
        <w:t>by</w:t>
      </w:r>
      <w:r>
        <w:rPr>
          <w:spacing w:val="-3"/>
          <w:sz w:val="22"/>
        </w:rPr>
        <w:t> </w:t>
      </w:r>
      <w:r>
        <w:rPr>
          <w:sz w:val="22"/>
        </w:rPr>
        <w:t>Chapter</w:t>
      </w:r>
      <w:r>
        <w:rPr>
          <w:spacing w:val="-5"/>
          <w:sz w:val="22"/>
        </w:rPr>
        <w:t> </w:t>
      </w:r>
      <w:r>
        <w:rPr>
          <w:sz w:val="22"/>
        </w:rPr>
        <w:t>373B,</w:t>
      </w:r>
      <w:r>
        <w:rPr>
          <w:spacing w:val="-4"/>
          <w:sz w:val="22"/>
        </w:rPr>
        <w:t> </w:t>
      </w:r>
      <w:r>
        <w:rPr>
          <w:sz w:val="22"/>
        </w:rPr>
        <w:t>as</w:t>
      </w:r>
      <w:r>
        <w:rPr>
          <w:spacing w:val="-3"/>
          <w:sz w:val="22"/>
        </w:rPr>
        <w:t> </w:t>
      </w:r>
      <w:r>
        <w:rPr>
          <w:sz w:val="22"/>
        </w:rPr>
        <w:t>amended;</w:t>
      </w:r>
    </w:p>
    <w:p>
      <w:pPr>
        <w:pStyle w:val="ListParagraph"/>
        <w:numPr>
          <w:ilvl w:val="1"/>
          <w:numId w:val="16"/>
        </w:numPr>
        <w:tabs>
          <w:tab w:pos="842" w:val="left" w:leader="none"/>
        </w:tabs>
        <w:spacing w:line="240" w:lineRule="auto" w:before="1" w:after="0"/>
        <w:ind w:left="841" w:right="155" w:hanging="360"/>
        <w:jc w:val="both"/>
        <w:rPr>
          <w:rFonts w:ascii="Symbol" w:hAnsi="Symbol"/>
          <w:sz w:val="22"/>
        </w:rPr>
      </w:pPr>
      <w:r>
        <w:rPr>
          <w:sz w:val="22"/>
        </w:rPr>
        <w:t>has adopted articles of incorporation, or a similar governing document, stating that on discontinuance of the organization by dissolution or otherwise that the assets related to its</w:t>
      </w:r>
      <w:r>
        <w:rPr>
          <w:spacing w:val="-11"/>
          <w:sz w:val="22"/>
        </w:rPr>
        <w:t> </w:t>
      </w:r>
      <w:r>
        <w:rPr>
          <w:sz w:val="22"/>
        </w:rPr>
        <w:t>CLT</w:t>
      </w:r>
      <w:r>
        <w:rPr>
          <w:spacing w:val="-11"/>
          <w:sz w:val="22"/>
        </w:rPr>
        <w:t> </w:t>
      </w:r>
      <w:r>
        <w:rPr>
          <w:sz w:val="22"/>
        </w:rPr>
        <w:t>activities</w:t>
      </w:r>
      <w:r>
        <w:rPr>
          <w:spacing w:val="-11"/>
          <w:sz w:val="22"/>
        </w:rPr>
        <w:t> </w:t>
      </w:r>
      <w:r>
        <w:rPr>
          <w:sz w:val="22"/>
        </w:rPr>
        <w:t>be</w:t>
      </w:r>
      <w:r>
        <w:rPr>
          <w:spacing w:val="-14"/>
          <w:sz w:val="22"/>
        </w:rPr>
        <w:t> </w:t>
      </w:r>
      <w:r>
        <w:rPr>
          <w:sz w:val="22"/>
        </w:rPr>
        <w:t>transferred</w:t>
      </w:r>
      <w:r>
        <w:rPr>
          <w:spacing w:val="-11"/>
          <w:sz w:val="22"/>
        </w:rPr>
        <w:t> </w:t>
      </w:r>
      <w:r>
        <w:rPr>
          <w:sz w:val="22"/>
        </w:rPr>
        <w:t>to</w:t>
      </w:r>
      <w:r>
        <w:rPr>
          <w:spacing w:val="-14"/>
          <w:sz w:val="22"/>
        </w:rPr>
        <w:t> </w:t>
      </w:r>
      <w:r>
        <w:rPr>
          <w:sz w:val="22"/>
        </w:rPr>
        <w:t>the</w:t>
      </w:r>
      <w:r>
        <w:rPr>
          <w:spacing w:val="-11"/>
          <w:sz w:val="22"/>
        </w:rPr>
        <w:t> </w:t>
      </w:r>
      <w:r>
        <w:rPr>
          <w:sz w:val="22"/>
        </w:rPr>
        <w:t>City</w:t>
      </w:r>
      <w:r>
        <w:rPr>
          <w:spacing w:val="-11"/>
          <w:sz w:val="22"/>
        </w:rPr>
        <w:t> </w:t>
      </w:r>
      <w:r>
        <w:rPr>
          <w:sz w:val="22"/>
        </w:rPr>
        <w:t>of</w:t>
      </w:r>
      <w:r>
        <w:rPr>
          <w:spacing w:val="-10"/>
          <w:sz w:val="22"/>
        </w:rPr>
        <w:t> </w:t>
      </w:r>
      <w:r>
        <w:rPr>
          <w:sz w:val="22"/>
        </w:rPr>
        <w:t>Dallas,</w:t>
      </w:r>
      <w:r>
        <w:rPr>
          <w:spacing w:val="-10"/>
          <w:sz w:val="22"/>
        </w:rPr>
        <w:t> </w:t>
      </w:r>
      <w:r>
        <w:rPr>
          <w:sz w:val="22"/>
        </w:rPr>
        <w:t>the</w:t>
      </w:r>
      <w:r>
        <w:rPr>
          <w:spacing w:val="-14"/>
          <w:sz w:val="22"/>
        </w:rPr>
        <w:t> </w:t>
      </w:r>
      <w:r>
        <w:rPr>
          <w:sz w:val="22"/>
        </w:rPr>
        <w:t>State</w:t>
      </w:r>
      <w:r>
        <w:rPr>
          <w:spacing w:val="-11"/>
          <w:sz w:val="22"/>
        </w:rPr>
        <w:t> </w:t>
      </w:r>
      <w:r>
        <w:rPr>
          <w:sz w:val="22"/>
        </w:rPr>
        <w:t>of</w:t>
      </w:r>
      <w:r>
        <w:rPr>
          <w:spacing w:val="-10"/>
          <w:sz w:val="22"/>
        </w:rPr>
        <w:t> </w:t>
      </w:r>
      <w:r>
        <w:rPr>
          <w:sz w:val="22"/>
        </w:rPr>
        <w:t>Texas,</w:t>
      </w:r>
      <w:r>
        <w:rPr>
          <w:spacing w:val="-12"/>
          <w:sz w:val="22"/>
        </w:rPr>
        <w:t> </w:t>
      </w:r>
      <w:r>
        <w:rPr>
          <w:sz w:val="22"/>
        </w:rPr>
        <w:t>the</w:t>
      </w:r>
      <w:r>
        <w:rPr>
          <w:spacing w:val="-14"/>
          <w:sz w:val="22"/>
        </w:rPr>
        <w:t> </w:t>
      </w:r>
      <w:r>
        <w:rPr>
          <w:sz w:val="22"/>
        </w:rPr>
        <w:t>United</w:t>
      </w:r>
      <w:r>
        <w:rPr>
          <w:spacing w:val="-11"/>
          <w:sz w:val="22"/>
        </w:rPr>
        <w:t> </w:t>
      </w:r>
      <w:r>
        <w:rPr>
          <w:sz w:val="22"/>
        </w:rPr>
        <w:t>States, or an</w:t>
      </w:r>
      <w:r>
        <w:rPr>
          <w:spacing w:val="-3"/>
          <w:sz w:val="22"/>
        </w:rPr>
        <w:t> </w:t>
      </w:r>
      <w:r>
        <w:rPr>
          <w:sz w:val="22"/>
        </w:rPr>
        <w:t>organization that is qualified as a charitable organization under Section 501(c)(3), Internal Revenue Code of 1986 and designated as a CLT by the City of Dallas; and</w:t>
      </w:r>
    </w:p>
    <w:p>
      <w:pPr>
        <w:pStyle w:val="ListParagraph"/>
        <w:numPr>
          <w:ilvl w:val="1"/>
          <w:numId w:val="16"/>
        </w:numPr>
        <w:tabs>
          <w:tab w:pos="842" w:val="left" w:leader="none"/>
        </w:tabs>
        <w:spacing w:line="267" w:lineRule="exact" w:before="0" w:after="0"/>
        <w:ind w:left="841" w:right="0" w:hanging="361"/>
        <w:jc w:val="both"/>
        <w:rPr>
          <w:rFonts w:ascii="Symbol" w:hAnsi="Symbol"/>
          <w:sz w:val="22"/>
        </w:rPr>
      </w:pPr>
      <w:r>
        <w:rPr>
          <w:sz w:val="22"/>
        </w:rPr>
        <w:t>is</w:t>
      </w:r>
      <w:r>
        <w:rPr>
          <w:spacing w:val="-6"/>
          <w:sz w:val="22"/>
        </w:rPr>
        <w:t> </w:t>
      </w:r>
      <w:r>
        <w:rPr>
          <w:sz w:val="22"/>
        </w:rPr>
        <w:t>not</w:t>
      </w:r>
      <w:r>
        <w:rPr>
          <w:spacing w:val="-5"/>
          <w:sz w:val="22"/>
        </w:rPr>
        <w:t> </w:t>
      </w:r>
      <w:r>
        <w:rPr>
          <w:sz w:val="22"/>
        </w:rPr>
        <w:t>controlled</w:t>
      </w:r>
      <w:r>
        <w:rPr>
          <w:spacing w:val="-4"/>
          <w:sz w:val="22"/>
        </w:rPr>
        <w:t> </w:t>
      </w:r>
      <w:r>
        <w:rPr>
          <w:sz w:val="22"/>
        </w:rPr>
        <w:t>by,</w:t>
      </w:r>
      <w:r>
        <w:rPr>
          <w:spacing w:val="-4"/>
          <w:sz w:val="22"/>
        </w:rPr>
        <w:t> </w:t>
      </w:r>
      <w:r>
        <w:rPr>
          <w:sz w:val="22"/>
        </w:rPr>
        <w:t>nor</w:t>
      </w:r>
      <w:r>
        <w:rPr>
          <w:spacing w:val="-5"/>
          <w:sz w:val="22"/>
        </w:rPr>
        <w:t> </w:t>
      </w:r>
      <w:r>
        <w:rPr>
          <w:sz w:val="22"/>
        </w:rPr>
        <w:t>receives</w:t>
      </w:r>
      <w:r>
        <w:rPr>
          <w:spacing w:val="-4"/>
          <w:sz w:val="22"/>
        </w:rPr>
        <w:t> </w:t>
      </w:r>
      <w:r>
        <w:rPr>
          <w:sz w:val="22"/>
        </w:rPr>
        <w:t>direction</w:t>
      </w:r>
      <w:r>
        <w:rPr>
          <w:spacing w:val="-4"/>
          <w:sz w:val="22"/>
        </w:rPr>
        <w:t> </w:t>
      </w:r>
      <w:r>
        <w:rPr>
          <w:sz w:val="22"/>
        </w:rPr>
        <w:t>from,</w:t>
      </w:r>
      <w:r>
        <w:rPr>
          <w:spacing w:val="-2"/>
          <w:sz w:val="22"/>
        </w:rPr>
        <w:t> </w:t>
      </w:r>
      <w:r>
        <w:rPr>
          <w:sz w:val="22"/>
        </w:rPr>
        <w:t>a</w:t>
      </w:r>
      <w:r>
        <w:rPr>
          <w:spacing w:val="-8"/>
          <w:sz w:val="22"/>
        </w:rPr>
        <w:t> </w:t>
      </w:r>
      <w:r>
        <w:rPr>
          <w:sz w:val="22"/>
        </w:rPr>
        <w:t>for-profit</w:t>
      </w:r>
      <w:r>
        <w:rPr>
          <w:spacing w:val="-2"/>
          <w:sz w:val="22"/>
        </w:rPr>
        <w:t> </w:t>
      </w:r>
      <w:r>
        <w:rPr>
          <w:sz w:val="22"/>
        </w:rPr>
        <w:t>entity</w:t>
      </w:r>
      <w:r>
        <w:rPr>
          <w:spacing w:val="-6"/>
          <w:sz w:val="22"/>
        </w:rPr>
        <w:t> </w:t>
      </w:r>
      <w:r>
        <w:rPr>
          <w:sz w:val="22"/>
        </w:rPr>
        <w:t>or</w:t>
      </w:r>
      <w:r>
        <w:rPr>
          <w:spacing w:val="-5"/>
          <w:sz w:val="22"/>
        </w:rPr>
        <w:t> </w:t>
      </w:r>
      <w:r>
        <w:rPr>
          <w:spacing w:val="-2"/>
          <w:sz w:val="22"/>
        </w:rPr>
        <w:t>corporation.</w:t>
      </w:r>
    </w:p>
    <w:p>
      <w:pPr>
        <w:pStyle w:val="BodyText"/>
        <w:spacing w:before="10"/>
        <w:rPr>
          <w:sz w:val="21"/>
        </w:rPr>
      </w:pPr>
    </w:p>
    <w:p>
      <w:pPr>
        <w:pStyle w:val="Heading5"/>
        <w:ind w:left="121"/>
      </w:pPr>
      <w:r>
        <w:rPr/>
        <w:t>Operation</w:t>
      </w:r>
      <w:r>
        <w:rPr>
          <w:spacing w:val="-6"/>
        </w:rPr>
        <w:t> </w:t>
      </w:r>
      <w:r>
        <w:rPr>
          <w:spacing w:val="-2"/>
        </w:rPr>
        <w:t>Criteria</w:t>
      </w:r>
    </w:p>
    <w:p>
      <w:pPr>
        <w:pStyle w:val="BodyText"/>
        <w:spacing w:before="50"/>
        <w:ind w:left="121" w:right="155"/>
        <w:jc w:val="both"/>
      </w:pPr>
      <w:r>
        <w:rPr/>
        <w:t>In its application to the City of Dallas, a non-profit CLT organization must demonstrate that the </w:t>
      </w:r>
      <w:r>
        <w:rPr>
          <w:spacing w:val="-2"/>
        </w:rPr>
        <w:t>organization:</w:t>
      </w:r>
    </w:p>
    <w:p>
      <w:pPr>
        <w:pStyle w:val="ListParagraph"/>
        <w:numPr>
          <w:ilvl w:val="1"/>
          <w:numId w:val="16"/>
        </w:numPr>
        <w:tabs>
          <w:tab w:pos="842" w:val="left" w:leader="none"/>
        </w:tabs>
        <w:spacing w:line="237" w:lineRule="auto" w:before="2" w:after="0"/>
        <w:ind w:left="841" w:right="157" w:hanging="361"/>
        <w:jc w:val="both"/>
        <w:rPr>
          <w:rFonts w:ascii="Symbol" w:hAnsi="Symbol"/>
          <w:sz w:val="22"/>
        </w:rPr>
      </w:pPr>
      <w:r>
        <w:rPr>
          <w:sz w:val="22"/>
        </w:rPr>
        <w:t>defines</w:t>
      </w:r>
      <w:r>
        <w:rPr>
          <w:spacing w:val="-16"/>
          <w:sz w:val="22"/>
        </w:rPr>
        <w:t> </w:t>
      </w:r>
      <w:r>
        <w:rPr>
          <w:sz w:val="22"/>
        </w:rPr>
        <w:t>its</w:t>
      </w:r>
      <w:r>
        <w:rPr>
          <w:spacing w:val="-15"/>
          <w:sz w:val="22"/>
        </w:rPr>
        <w:t> </w:t>
      </w:r>
      <w:r>
        <w:rPr>
          <w:sz w:val="22"/>
        </w:rPr>
        <w:t>geographical</w:t>
      </w:r>
      <w:r>
        <w:rPr>
          <w:spacing w:val="-15"/>
          <w:sz w:val="22"/>
        </w:rPr>
        <w:t> </w:t>
      </w:r>
      <w:r>
        <w:rPr>
          <w:sz w:val="22"/>
        </w:rPr>
        <w:t>boundaries</w:t>
      </w:r>
      <w:r>
        <w:rPr>
          <w:spacing w:val="-16"/>
          <w:sz w:val="22"/>
        </w:rPr>
        <w:t> </w:t>
      </w:r>
      <w:r>
        <w:rPr>
          <w:sz w:val="22"/>
        </w:rPr>
        <w:t>of</w:t>
      </w:r>
      <w:r>
        <w:rPr>
          <w:spacing w:val="-15"/>
          <w:sz w:val="22"/>
        </w:rPr>
        <w:t> </w:t>
      </w:r>
      <w:r>
        <w:rPr>
          <w:sz w:val="22"/>
        </w:rPr>
        <w:t>operation.</w:t>
      </w:r>
      <w:r>
        <w:rPr>
          <w:spacing w:val="-15"/>
          <w:sz w:val="22"/>
        </w:rPr>
        <w:t> </w:t>
      </w:r>
      <w:r>
        <w:rPr>
          <w:sz w:val="22"/>
        </w:rPr>
        <w:t>A</w:t>
      </w:r>
      <w:r>
        <w:rPr>
          <w:spacing w:val="-15"/>
          <w:sz w:val="22"/>
        </w:rPr>
        <w:t> </w:t>
      </w:r>
      <w:r>
        <w:rPr>
          <w:sz w:val="22"/>
        </w:rPr>
        <w:t>CLT</w:t>
      </w:r>
      <w:r>
        <w:rPr>
          <w:spacing w:val="-16"/>
          <w:sz w:val="22"/>
        </w:rPr>
        <w:t> </w:t>
      </w:r>
      <w:r>
        <w:rPr>
          <w:sz w:val="22"/>
        </w:rPr>
        <w:t>may</w:t>
      </w:r>
      <w:r>
        <w:rPr>
          <w:spacing w:val="-15"/>
          <w:sz w:val="22"/>
        </w:rPr>
        <w:t> </w:t>
      </w:r>
      <w:r>
        <w:rPr>
          <w:sz w:val="22"/>
        </w:rPr>
        <w:t>operate</w:t>
      </w:r>
      <w:r>
        <w:rPr>
          <w:spacing w:val="-15"/>
          <w:sz w:val="22"/>
        </w:rPr>
        <w:t> </w:t>
      </w:r>
      <w:r>
        <w:rPr>
          <w:sz w:val="22"/>
        </w:rPr>
        <w:t>citywide</w:t>
      </w:r>
      <w:r>
        <w:rPr>
          <w:spacing w:val="-16"/>
          <w:sz w:val="22"/>
        </w:rPr>
        <w:t> </w:t>
      </w:r>
      <w:r>
        <w:rPr>
          <w:sz w:val="22"/>
        </w:rPr>
        <w:t>or</w:t>
      </w:r>
      <w:r>
        <w:rPr>
          <w:spacing w:val="-15"/>
          <w:sz w:val="22"/>
        </w:rPr>
        <w:t> </w:t>
      </w:r>
      <w:r>
        <w:rPr>
          <w:sz w:val="22"/>
        </w:rPr>
        <w:t>may</w:t>
      </w:r>
      <w:r>
        <w:rPr>
          <w:spacing w:val="-15"/>
          <w:sz w:val="22"/>
        </w:rPr>
        <w:t> </w:t>
      </w:r>
      <w:r>
        <w:rPr>
          <w:sz w:val="22"/>
        </w:rPr>
        <w:t>elect to focus on a specific geographic area or areas.</w:t>
      </w:r>
    </w:p>
    <w:p>
      <w:pPr>
        <w:pStyle w:val="ListParagraph"/>
        <w:numPr>
          <w:ilvl w:val="1"/>
          <w:numId w:val="16"/>
        </w:numPr>
        <w:tabs>
          <w:tab w:pos="842" w:val="left" w:leader="none"/>
        </w:tabs>
        <w:spacing w:line="240" w:lineRule="auto" w:before="1" w:after="0"/>
        <w:ind w:left="842" w:right="151" w:hanging="361"/>
        <w:jc w:val="both"/>
        <w:rPr>
          <w:rFonts w:ascii="Symbol" w:hAnsi="Symbol"/>
          <w:sz w:val="22"/>
        </w:rPr>
      </w:pPr>
      <w:r>
        <w:rPr>
          <w:sz w:val="22"/>
        </w:rPr>
        <w:t>maintains</w:t>
      </w:r>
      <w:r>
        <w:rPr>
          <w:spacing w:val="-1"/>
          <w:sz w:val="22"/>
        </w:rPr>
        <w:t> </w:t>
      </w:r>
      <w:r>
        <w:rPr>
          <w:sz w:val="22"/>
        </w:rPr>
        <w:t>at least 1/3</w:t>
      </w:r>
      <w:r>
        <w:rPr>
          <w:spacing w:val="-4"/>
          <w:sz w:val="22"/>
        </w:rPr>
        <w:t> </w:t>
      </w:r>
      <w:r>
        <w:rPr>
          <w:sz w:val="22"/>
        </w:rPr>
        <w:t>representation on the organization’s governing board</w:t>
      </w:r>
      <w:r>
        <w:rPr>
          <w:spacing w:val="-2"/>
          <w:sz w:val="22"/>
        </w:rPr>
        <w:t> </w:t>
      </w:r>
      <w:r>
        <w:rPr>
          <w:sz w:val="22"/>
        </w:rPr>
        <w:t>for low- income community residents and, to the extent practicable, low-income beneficiaries</w:t>
      </w:r>
      <w:r>
        <w:rPr>
          <w:spacing w:val="-1"/>
          <w:sz w:val="22"/>
        </w:rPr>
        <w:t> </w:t>
      </w:r>
      <w:r>
        <w:rPr>
          <w:sz w:val="22"/>
        </w:rPr>
        <w:t>of the CLT properties</w:t>
      </w:r>
      <w:r>
        <w:rPr>
          <w:spacing w:val="-1"/>
          <w:sz w:val="22"/>
        </w:rPr>
        <w:t> </w:t>
      </w:r>
      <w:r>
        <w:rPr>
          <w:sz w:val="22"/>
        </w:rPr>
        <w:t>with regard to decisions on the design, siting, development, and management of affordable housing;</w:t>
      </w:r>
    </w:p>
    <w:p>
      <w:pPr>
        <w:pStyle w:val="ListParagraph"/>
        <w:numPr>
          <w:ilvl w:val="1"/>
          <w:numId w:val="16"/>
        </w:numPr>
        <w:tabs>
          <w:tab w:pos="843" w:val="left" w:leader="none"/>
        </w:tabs>
        <w:spacing w:line="237" w:lineRule="auto" w:before="1" w:after="0"/>
        <w:ind w:left="842" w:right="159" w:hanging="361"/>
        <w:jc w:val="both"/>
        <w:rPr>
          <w:rFonts w:ascii="Symbol" w:hAnsi="Symbol"/>
          <w:sz w:val="22"/>
        </w:rPr>
      </w:pPr>
      <w:r>
        <w:rPr>
          <w:sz w:val="22"/>
        </w:rPr>
        <w:t>must</w:t>
      </w:r>
      <w:r>
        <w:rPr>
          <w:spacing w:val="-2"/>
          <w:sz w:val="22"/>
        </w:rPr>
        <w:t> </w:t>
      </w:r>
      <w:r>
        <w:rPr>
          <w:sz w:val="22"/>
        </w:rPr>
        <w:t>use standard documents, including but not limited to a ground lease and deed </w:t>
      </w:r>
      <w:r>
        <w:rPr>
          <w:spacing w:val="-2"/>
          <w:sz w:val="22"/>
        </w:rPr>
        <w:t>restrictions;</w:t>
      </w:r>
    </w:p>
    <w:p>
      <w:pPr>
        <w:pStyle w:val="ListParagraph"/>
        <w:numPr>
          <w:ilvl w:val="0"/>
          <w:numId w:val="20"/>
        </w:numPr>
        <w:tabs>
          <w:tab w:pos="1563" w:val="left" w:leader="none"/>
        </w:tabs>
        <w:spacing w:line="240" w:lineRule="auto" w:before="1" w:after="0"/>
        <w:ind w:left="1562" w:right="150" w:hanging="361"/>
        <w:jc w:val="both"/>
        <w:rPr>
          <w:sz w:val="22"/>
        </w:rPr>
      </w:pPr>
      <w:r>
        <w:rPr>
          <w:sz w:val="22"/>
        </w:rPr>
        <w:t>that include a resale formula outlining</w:t>
      </w:r>
      <w:r>
        <w:rPr>
          <w:spacing w:val="-1"/>
          <w:sz w:val="22"/>
        </w:rPr>
        <w:t> </w:t>
      </w:r>
      <w:r>
        <w:rPr>
          <w:sz w:val="22"/>
        </w:rPr>
        <w:t>the</w:t>
      </w:r>
      <w:r>
        <w:rPr>
          <w:spacing w:val="-3"/>
          <w:sz w:val="22"/>
        </w:rPr>
        <w:t> </w:t>
      </w:r>
      <w:r>
        <w:rPr>
          <w:sz w:val="22"/>
        </w:rPr>
        <w:t>amount of equity per year that</w:t>
      </w:r>
      <w:r>
        <w:rPr>
          <w:spacing w:val="-1"/>
          <w:sz w:val="22"/>
        </w:rPr>
        <w:t> </w:t>
      </w:r>
      <w:r>
        <w:rPr>
          <w:sz w:val="22"/>
        </w:rPr>
        <w:t>can be built while ensuring long term affordability;</w:t>
      </w:r>
    </w:p>
    <w:p>
      <w:pPr>
        <w:pStyle w:val="ListParagraph"/>
        <w:numPr>
          <w:ilvl w:val="0"/>
          <w:numId w:val="20"/>
        </w:numPr>
        <w:tabs>
          <w:tab w:pos="1564" w:val="left" w:leader="none"/>
        </w:tabs>
        <w:spacing w:line="240" w:lineRule="auto" w:before="0" w:after="0"/>
        <w:ind w:left="1563" w:right="152" w:hanging="360"/>
        <w:jc w:val="both"/>
        <w:rPr>
          <w:sz w:val="22"/>
        </w:rPr>
      </w:pPr>
      <w:r>
        <w:rPr>
          <w:sz w:val="22"/>
        </w:rPr>
        <w:t>that</w:t>
      </w:r>
      <w:r>
        <w:rPr>
          <w:spacing w:val="-16"/>
          <w:sz w:val="22"/>
        </w:rPr>
        <w:t> </w:t>
      </w:r>
      <w:r>
        <w:rPr>
          <w:sz w:val="22"/>
        </w:rPr>
        <w:t>ensures</w:t>
      </w:r>
      <w:r>
        <w:rPr>
          <w:spacing w:val="-15"/>
          <w:sz w:val="22"/>
        </w:rPr>
        <w:t> </w:t>
      </w:r>
      <w:r>
        <w:rPr>
          <w:sz w:val="22"/>
        </w:rPr>
        <w:t>that</w:t>
      </w:r>
      <w:r>
        <w:rPr>
          <w:spacing w:val="-15"/>
          <w:sz w:val="22"/>
        </w:rPr>
        <w:t> </w:t>
      </w:r>
      <w:r>
        <w:rPr>
          <w:sz w:val="22"/>
        </w:rPr>
        <w:t>the</w:t>
      </w:r>
      <w:r>
        <w:rPr>
          <w:spacing w:val="-16"/>
          <w:sz w:val="22"/>
        </w:rPr>
        <w:t> </w:t>
      </w:r>
      <w:r>
        <w:rPr>
          <w:sz w:val="22"/>
        </w:rPr>
        <w:t>owners</w:t>
      </w:r>
      <w:r>
        <w:rPr>
          <w:spacing w:val="-15"/>
          <w:sz w:val="22"/>
        </w:rPr>
        <w:t> </w:t>
      </w:r>
      <w:r>
        <w:rPr>
          <w:sz w:val="22"/>
        </w:rPr>
        <w:t>of</w:t>
      </w:r>
      <w:r>
        <w:rPr>
          <w:spacing w:val="-15"/>
          <w:sz w:val="22"/>
        </w:rPr>
        <w:t> </w:t>
      </w:r>
      <w:r>
        <w:rPr>
          <w:sz w:val="22"/>
        </w:rPr>
        <w:t>housing</w:t>
      </w:r>
      <w:r>
        <w:rPr>
          <w:spacing w:val="-15"/>
          <w:sz w:val="22"/>
        </w:rPr>
        <w:t> </w:t>
      </w:r>
      <w:r>
        <w:rPr>
          <w:sz w:val="22"/>
        </w:rPr>
        <w:t>units</w:t>
      </w:r>
      <w:r>
        <w:rPr>
          <w:spacing w:val="-16"/>
          <w:sz w:val="22"/>
        </w:rPr>
        <w:t> </w:t>
      </w:r>
      <w:r>
        <w:rPr>
          <w:sz w:val="22"/>
        </w:rPr>
        <w:t>built</w:t>
      </w:r>
      <w:r>
        <w:rPr>
          <w:spacing w:val="-15"/>
          <w:sz w:val="22"/>
        </w:rPr>
        <w:t> </w:t>
      </w:r>
      <w:r>
        <w:rPr>
          <w:sz w:val="22"/>
        </w:rPr>
        <w:t>on</w:t>
      </w:r>
      <w:r>
        <w:rPr>
          <w:spacing w:val="-15"/>
          <w:sz w:val="22"/>
        </w:rPr>
        <w:t> </w:t>
      </w:r>
      <w:r>
        <w:rPr>
          <w:sz w:val="22"/>
        </w:rPr>
        <w:t>CLT</w:t>
      </w:r>
      <w:r>
        <w:rPr>
          <w:spacing w:val="-16"/>
          <w:sz w:val="22"/>
        </w:rPr>
        <w:t> </w:t>
      </w:r>
      <w:r>
        <w:rPr>
          <w:sz w:val="22"/>
        </w:rPr>
        <w:t>land</w:t>
      </w:r>
      <w:r>
        <w:rPr>
          <w:spacing w:val="-15"/>
          <w:sz w:val="22"/>
        </w:rPr>
        <w:t> </w:t>
      </w:r>
      <w:r>
        <w:rPr>
          <w:sz w:val="22"/>
        </w:rPr>
        <w:t>will</w:t>
      </w:r>
      <w:r>
        <w:rPr>
          <w:spacing w:val="-15"/>
          <w:sz w:val="22"/>
        </w:rPr>
        <w:t> </w:t>
      </w:r>
      <w:r>
        <w:rPr>
          <w:sz w:val="22"/>
        </w:rPr>
        <w:t>either</w:t>
      </w:r>
      <w:r>
        <w:rPr>
          <w:spacing w:val="-15"/>
          <w:sz w:val="22"/>
        </w:rPr>
        <w:t> </w:t>
      </w:r>
      <w:r>
        <w:rPr>
          <w:sz w:val="22"/>
        </w:rPr>
        <w:t>be</w:t>
      </w:r>
      <w:r>
        <w:rPr>
          <w:spacing w:val="-16"/>
          <w:sz w:val="22"/>
        </w:rPr>
        <w:t> </w:t>
      </w:r>
      <w:r>
        <w:rPr>
          <w:sz w:val="22"/>
        </w:rPr>
        <w:t>eligible for</w:t>
      </w:r>
      <w:r>
        <w:rPr>
          <w:spacing w:val="-6"/>
          <w:sz w:val="22"/>
        </w:rPr>
        <w:t> </w:t>
      </w:r>
      <w:r>
        <w:rPr>
          <w:sz w:val="22"/>
        </w:rPr>
        <w:t>a</w:t>
      </w:r>
      <w:r>
        <w:rPr>
          <w:spacing w:val="-7"/>
          <w:sz w:val="22"/>
        </w:rPr>
        <w:t> </w:t>
      </w:r>
      <w:r>
        <w:rPr>
          <w:sz w:val="22"/>
        </w:rPr>
        <w:t>property</w:t>
      </w:r>
      <w:r>
        <w:rPr>
          <w:spacing w:val="-7"/>
          <w:sz w:val="22"/>
        </w:rPr>
        <w:t> </w:t>
      </w:r>
      <w:r>
        <w:rPr>
          <w:sz w:val="22"/>
        </w:rPr>
        <w:t>tax</w:t>
      </w:r>
      <w:r>
        <w:rPr>
          <w:spacing w:val="-7"/>
          <w:sz w:val="22"/>
        </w:rPr>
        <w:t> </w:t>
      </w:r>
      <w:r>
        <w:rPr>
          <w:sz w:val="22"/>
        </w:rPr>
        <w:t>discount</w:t>
      </w:r>
      <w:r>
        <w:rPr>
          <w:spacing w:val="-6"/>
          <w:sz w:val="22"/>
        </w:rPr>
        <w:t> </w:t>
      </w:r>
      <w:r>
        <w:rPr>
          <w:sz w:val="22"/>
        </w:rPr>
        <w:t>based</w:t>
      </w:r>
      <w:r>
        <w:rPr>
          <w:spacing w:val="-7"/>
          <w:sz w:val="22"/>
        </w:rPr>
        <w:t> </w:t>
      </w:r>
      <w:r>
        <w:rPr>
          <w:sz w:val="22"/>
        </w:rPr>
        <w:t>on</w:t>
      </w:r>
      <w:r>
        <w:rPr>
          <w:spacing w:val="-4"/>
          <w:sz w:val="22"/>
        </w:rPr>
        <w:t> </w:t>
      </w:r>
      <w:r>
        <w:rPr>
          <w:sz w:val="22"/>
        </w:rPr>
        <w:t>the</w:t>
      </w:r>
      <w:r>
        <w:rPr>
          <w:spacing w:val="-7"/>
          <w:sz w:val="22"/>
        </w:rPr>
        <w:t> </w:t>
      </w:r>
      <w:r>
        <w:rPr>
          <w:sz w:val="22"/>
        </w:rPr>
        <w:t>deed</w:t>
      </w:r>
      <w:r>
        <w:rPr>
          <w:spacing w:val="-7"/>
          <w:sz w:val="22"/>
        </w:rPr>
        <w:t> </w:t>
      </w:r>
      <w:r>
        <w:rPr>
          <w:sz w:val="22"/>
        </w:rPr>
        <w:t>restriction</w:t>
      </w:r>
      <w:r>
        <w:rPr>
          <w:spacing w:val="-4"/>
          <w:sz w:val="22"/>
        </w:rPr>
        <w:t> </w:t>
      </w:r>
      <w:r>
        <w:rPr>
          <w:sz w:val="22"/>
        </w:rPr>
        <w:t>or,</w:t>
      </w:r>
      <w:r>
        <w:rPr>
          <w:spacing w:val="-6"/>
          <w:sz w:val="22"/>
        </w:rPr>
        <w:t> </w:t>
      </w:r>
      <w:r>
        <w:rPr>
          <w:sz w:val="22"/>
        </w:rPr>
        <w:t>where</w:t>
      </w:r>
      <w:r>
        <w:rPr>
          <w:spacing w:val="-7"/>
          <w:sz w:val="22"/>
        </w:rPr>
        <w:t> </w:t>
      </w:r>
      <w:r>
        <w:rPr>
          <w:sz w:val="22"/>
        </w:rPr>
        <w:t>the</w:t>
      </w:r>
      <w:r>
        <w:rPr>
          <w:spacing w:val="-7"/>
          <w:sz w:val="22"/>
        </w:rPr>
        <w:t> </w:t>
      </w:r>
      <w:r>
        <w:rPr>
          <w:sz w:val="22"/>
        </w:rPr>
        <w:t>occupant</w:t>
      </w:r>
      <w:r>
        <w:rPr>
          <w:spacing w:val="-6"/>
          <w:sz w:val="22"/>
        </w:rPr>
        <w:t> </w:t>
      </w:r>
      <w:r>
        <w:rPr>
          <w:sz w:val="22"/>
        </w:rPr>
        <w:t>is a tenant, that the occupant will benefit from any property tax discount;</w:t>
      </w:r>
    </w:p>
    <w:p>
      <w:pPr>
        <w:pStyle w:val="ListParagraph"/>
        <w:numPr>
          <w:ilvl w:val="0"/>
          <w:numId w:val="20"/>
        </w:numPr>
        <w:tabs>
          <w:tab w:pos="1564" w:val="left" w:leader="none"/>
        </w:tabs>
        <w:spacing w:line="240" w:lineRule="auto" w:before="0" w:after="0"/>
        <w:ind w:left="1563" w:right="0" w:hanging="361"/>
        <w:jc w:val="both"/>
        <w:rPr>
          <w:sz w:val="22"/>
        </w:rPr>
      </w:pPr>
      <w:r>
        <w:rPr>
          <w:sz w:val="22"/>
        </w:rPr>
        <w:t>that</w:t>
      </w:r>
      <w:r>
        <w:rPr>
          <w:spacing w:val="-4"/>
          <w:sz w:val="22"/>
        </w:rPr>
        <w:t> </w:t>
      </w:r>
      <w:r>
        <w:rPr>
          <w:sz w:val="22"/>
        </w:rPr>
        <w:t>have</w:t>
      </w:r>
      <w:r>
        <w:rPr>
          <w:spacing w:val="-5"/>
          <w:sz w:val="22"/>
        </w:rPr>
        <w:t> </w:t>
      </w:r>
      <w:r>
        <w:rPr>
          <w:sz w:val="22"/>
        </w:rPr>
        <w:t>terms</w:t>
      </w:r>
      <w:r>
        <w:rPr>
          <w:spacing w:val="-5"/>
          <w:sz w:val="22"/>
        </w:rPr>
        <w:t> </w:t>
      </w:r>
      <w:r>
        <w:rPr>
          <w:sz w:val="22"/>
        </w:rPr>
        <w:t>for</w:t>
      </w:r>
      <w:r>
        <w:rPr>
          <w:spacing w:val="-1"/>
          <w:sz w:val="22"/>
        </w:rPr>
        <w:t> </w:t>
      </w:r>
      <w:r>
        <w:rPr>
          <w:sz w:val="22"/>
        </w:rPr>
        <w:t>sale,</w:t>
      </w:r>
      <w:r>
        <w:rPr>
          <w:spacing w:val="-4"/>
          <w:sz w:val="22"/>
        </w:rPr>
        <w:t> </w:t>
      </w:r>
      <w:r>
        <w:rPr>
          <w:sz w:val="22"/>
        </w:rPr>
        <w:t>lease</w:t>
      </w:r>
      <w:r>
        <w:rPr>
          <w:spacing w:val="-3"/>
          <w:sz w:val="22"/>
        </w:rPr>
        <w:t> </w:t>
      </w:r>
      <w:r>
        <w:rPr>
          <w:sz w:val="22"/>
        </w:rPr>
        <w:t>and</w:t>
      </w:r>
      <w:r>
        <w:rPr>
          <w:spacing w:val="-3"/>
          <w:sz w:val="22"/>
        </w:rPr>
        <w:t> </w:t>
      </w:r>
      <w:r>
        <w:rPr>
          <w:spacing w:val="-2"/>
          <w:sz w:val="22"/>
        </w:rPr>
        <w:t>inheritance,</w:t>
      </w:r>
    </w:p>
    <w:p>
      <w:pPr>
        <w:pStyle w:val="ListParagraph"/>
        <w:numPr>
          <w:ilvl w:val="1"/>
          <w:numId w:val="16"/>
        </w:numPr>
        <w:tabs>
          <w:tab w:pos="844" w:val="left" w:leader="none"/>
        </w:tabs>
        <w:spacing w:line="237" w:lineRule="auto" w:before="3" w:after="0"/>
        <w:ind w:left="843" w:right="153" w:hanging="361"/>
        <w:jc w:val="both"/>
        <w:rPr>
          <w:rFonts w:ascii="Symbol" w:hAnsi="Symbol"/>
          <w:sz w:val="22"/>
        </w:rPr>
      </w:pPr>
      <w:r>
        <w:rPr>
          <w:sz w:val="22"/>
        </w:rPr>
        <w:t>must</w:t>
      </w:r>
      <w:r>
        <w:rPr>
          <w:spacing w:val="-2"/>
          <w:sz w:val="22"/>
        </w:rPr>
        <w:t> </w:t>
      </w:r>
      <w:r>
        <w:rPr>
          <w:sz w:val="22"/>
        </w:rPr>
        <w:t>sell or lease housing units only to eligible households as set forth in Chapter 373B.006, as amended;</w:t>
      </w:r>
    </w:p>
    <w:p>
      <w:pPr>
        <w:pStyle w:val="ListParagraph"/>
        <w:numPr>
          <w:ilvl w:val="1"/>
          <w:numId w:val="16"/>
        </w:numPr>
        <w:tabs>
          <w:tab w:pos="845" w:val="left" w:leader="none"/>
        </w:tabs>
        <w:spacing w:line="237" w:lineRule="auto" w:before="4" w:after="0"/>
        <w:ind w:left="844" w:right="152" w:hanging="361"/>
        <w:jc w:val="both"/>
        <w:rPr>
          <w:rFonts w:ascii="Symbol" w:hAnsi="Symbol"/>
          <w:sz w:val="22"/>
        </w:rPr>
      </w:pPr>
      <w:r>
        <w:rPr>
          <w:sz w:val="22"/>
        </w:rPr>
        <w:t>may not discriminate on the basis of source of income</w:t>
      </w:r>
      <w:r>
        <w:rPr>
          <w:spacing w:val="-2"/>
          <w:sz w:val="22"/>
        </w:rPr>
        <w:t> </w:t>
      </w:r>
      <w:r>
        <w:rPr>
          <w:sz w:val="22"/>
        </w:rPr>
        <w:t>with tenants. This non- discrimination provision provides housing opportunities for households with rental assistance or vouchers, as applicable;</w:t>
      </w:r>
    </w:p>
    <w:p>
      <w:pPr>
        <w:spacing w:after="0" w:line="237" w:lineRule="auto"/>
        <w:jc w:val="both"/>
        <w:rPr>
          <w:rFonts w:ascii="Symbol" w:hAnsi="Symbol"/>
          <w:sz w:val="22"/>
        </w:rPr>
        <w:sectPr>
          <w:pgSz w:w="12240" w:h="15840"/>
          <w:pgMar w:header="0" w:footer="1176" w:top="1360" w:bottom="1400" w:left="1320" w:right="1280"/>
        </w:sectPr>
      </w:pPr>
    </w:p>
    <w:p>
      <w:pPr>
        <w:pStyle w:val="ListParagraph"/>
        <w:numPr>
          <w:ilvl w:val="1"/>
          <w:numId w:val="16"/>
        </w:numPr>
        <w:tabs>
          <w:tab w:pos="841" w:val="left" w:leader="none"/>
        </w:tabs>
        <w:spacing w:line="237" w:lineRule="auto" w:before="84" w:after="0"/>
        <w:ind w:left="840" w:right="159" w:hanging="361"/>
        <w:jc w:val="both"/>
        <w:rPr>
          <w:rFonts w:ascii="Symbol" w:hAnsi="Symbol"/>
          <w:sz w:val="22"/>
        </w:rPr>
      </w:pPr>
      <w:r>
        <w:rPr>
          <w:sz w:val="22"/>
        </w:rPr>
        <w:t>will consider the local neighborhood context for architecture that is respectful and within character of existing style and context, so that if a neighborhood plan exists with Design Guidelines, they will be followed by the organization;</w:t>
      </w:r>
    </w:p>
    <w:p>
      <w:pPr>
        <w:pStyle w:val="ListParagraph"/>
        <w:numPr>
          <w:ilvl w:val="1"/>
          <w:numId w:val="16"/>
        </w:numPr>
        <w:tabs>
          <w:tab w:pos="841" w:val="left" w:leader="none"/>
        </w:tabs>
        <w:spacing w:line="237" w:lineRule="auto" w:before="5" w:after="0"/>
        <w:ind w:left="840" w:right="158" w:hanging="361"/>
        <w:jc w:val="both"/>
        <w:rPr>
          <w:rFonts w:ascii="Symbol" w:hAnsi="Symbol"/>
          <w:sz w:val="22"/>
        </w:rPr>
      </w:pPr>
      <w:r>
        <w:rPr>
          <w:sz w:val="22"/>
        </w:rPr>
        <w:t>has a business plan that ensures the CLT will have the financial capacity to perform its operations including supporting ongoing maintenance of all property improvement exteriors and grounds;</w:t>
      </w:r>
    </w:p>
    <w:p>
      <w:pPr>
        <w:pStyle w:val="ListParagraph"/>
        <w:numPr>
          <w:ilvl w:val="1"/>
          <w:numId w:val="16"/>
        </w:numPr>
        <w:tabs>
          <w:tab w:pos="841" w:val="left" w:leader="none"/>
        </w:tabs>
        <w:spacing w:line="240" w:lineRule="auto" w:before="2" w:after="0"/>
        <w:ind w:left="840" w:right="156" w:hanging="361"/>
        <w:jc w:val="both"/>
        <w:rPr>
          <w:rFonts w:ascii="Symbol" w:hAnsi="Symbol"/>
          <w:sz w:val="22"/>
        </w:rPr>
      </w:pPr>
      <w:r>
        <w:rPr/>
        <w:pict>
          <v:shape style="position:absolute;margin-left:90.065002pt;margin-top:37.206905pt;width:395.3pt;height:419pt;mso-position-horizontal-relative:page;mso-position-vertical-relative:paragraph;z-index:-17698816" id="docshape92" coordorigin="1801,744" coordsize="7906,8380" path="m4498,8008l4492,7934,4477,7856,4455,7773,4432,7704,4403,7632,4367,7557,4325,7479,4276,7399,4237,7340,4200,7289,4200,7975,4197,8031,4186,8088,4167,8145,4138,8205,4097,8268,4044,8334,3979,8403,3674,8709,2216,7251,2517,6950,2598,6874,2672,6814,2740,6771,2801,6744,2868,6729,2941,6725,3020,6732,3105,6750,3195,6779,3255,6805,3317,6837,3380,6876,3446,6921,3514,6972,3584,7030,3656,7095,3729,7167,3789,7228,3845,7288,3896,7347,3943,7405,3986,7462,4025,7517,4059,7571,4101,7645,4136,7718,4163,7787,4183,7854,4196,7918,4200,7975,4200,7289,4194,7280,4148,7220,4098,7159,4045,7098,3989,7037,3929,6975,3865,6913,3801,6855,3737,6800,3673,6748,3643,6725,3609,6700,3546,6656,3482,6614,3419,6577,3346,6539,3274,6506,3203,6479,3132,6457,3062,6440,2992,6428,2923,6421,2850,6419,2779,6426,2709,6441,2642,6464,2577,6494,2528,6523,2476,6560,2420,6605,2359,6659,2294,6722,1801,7215,3710,9123,4124,8709,4226,8607,4287,8542,4341,8476,4386,8410,4424,8344,4454,8277,4476,8211,4491,8144,4498,8076,4498,8008xm6418,6415l6056,6287,5650,6144,5561,6115,5475,6091,5393,6072,5365,6067,5314,6058,5239,6048,5193,6046,5143,6049,5089,6056,5030,6067,5073,5997,5109,5928,5136,5858,5154,5790,5164,5721,5165,5653,5157,5585,5139,5507,5111,5431,5075,5356,5030,5284,4976,5213,4956,5190,4913,5144,4872,5106,4872,5663,4868,5719,4854,5774,4830,5830,4794,5889,4747,5950,4687,6013,4280,6421,3649,5789,4102,5336,4166,5279,4229,5236,4293,5207,4358,5191,4422,5190,4501,5205,4577,5235,4649,5280,4718,5339,4761,5387,4797,5438,4827,5491,4851,5548,4867,5606,4872,5663,4872,5106,4849,5085,4782,5032,4713,4987,4641,4948,4566,4916,4474,4888,4386,4875,4303,4877,4225,4893,4163,4918,4098,4954,4030,5003,3958,5062,3883,5133,3248,5768,5157,7676,5346,7487,4499,6639,4718,6421,4753,6386,4783,6359,4810,6338,4833,6323,4863,6310,4896,6299,4932,6291,4971,6287,5014,6287,5066,6292,5125,6303,5194,6319,5256,6336,5328,6357,5407,6382,5496,6411,6180,6653,6418,6415xm7780,5052l7415,4857,6555,4403,6555,4710,6070,5196,6030,5124,5989,5052,5748,4622,5708,4550,5668,4479,5629,4413,5590,4348,5550,4284,5509,4221,5467,4159,5424,4098,5380,4037,5436,4073,5498,4111,5564,4150,5635,4192,5792,4283,6555,4710,6555,4403,5862,4037,5286,3730,5082,3934,5277,4285,5316,4355,5701,5052,6207,5971,6441,6392,6642,6191,6565,6058,6298,5589,6221,5456,6481,5196,6820,4857,7173,5052,7565,5268,7780,5052xm8131,4702l7264,3835,7936,3163,7711,2938,7039,3610,6448,3019,7224,2243,6999,2017,6033,2983,7941,4891,8131,4702xm9707,3126l8024,1443,8497,969,8272,744,7138,1879,7363,2104,7834,1632,9517,3315,9707,3126xe" filled="true" fillcolor="#c0c0c0" stroked="false">
            <v:path arrowok="t"/>
            <v:fill opacity="32896f" type="solid"/>
            <w10:wrap type="none"/>
          </v:shape>
        </w:pict>
      </w:r>
      <w:r>
        <w:rPr>
          <w:sz w:val="22"/>
        </w:rPr>
        <w:t>has</w:t>
      </w:r>
      <w:r>
        <w:rPr>
          <w:spacing w:val="-2"/>
          <w:sz w:val="22"/>
        </w:rPr>
        <w:t> </w:t>
      </w:r>
      <w:r>
        <w:rPr>
          <w:sz w:val="22"/>
        </w:rPr>
        <w:t>at</w:t>
      </w:r>
      <w:r>
        <w:rPr>
          <w:spacing w:val="-1"/>
          <w:sz w:val="22"/>
        </w:rPr>
        <w:t> </w:t>
      </w:r>
      <w:r>
        <w:rPr>
          <w:sz w:val="22"/>
        </w:rPr>
        <w:t>least</w:t>
      </w:r>
      <w:r>
        <w:rPr>
          <w:spacing w:val="-4"/>
          <w:sz w:val="22"/>
        </w:rPr>
        <w:t> </w:t>
      </w:r>
      <w:r>
        <w:rPr>
          <w:sz w:val="22"/>
        </w:rPr>
        <w:t>two</w:t>
      </w:r>
      <w:r>
        <w:rPr>
          <w:spacing w:val="-3"/>
          <w:sz w:val="22"/>
        </w:rPr>
        <w:t> </w:t>
      </w:r>
      <w:r>
        <w:rPr>
          <w:sz w:val="22"/>
        </w:rPr>
        <w:t>years</w:t>
      </w:r>
      <w:r>
        <w:rPr>
          <w:spacing w:val="-2"/>
          <w:sz w:val="22"/>
        </w:rPr>
        <w:t> </w:t>
      </w:r>
      <w:r>
        <w:rPr>
          <w:sz w:val="22"/>
        </w:rPr>
        <w:t>of</w:t>
      </w:r>
      <w:r>
        <w:rPr>
          <w:spacing w:val="-4"/>
          <w:sz w:val="22"/>
        </w:rPr>
        <w:t> </w:t>
      </w:r>
      <w:r>
        <w:rPr>
          <w:sz w:val="22"/>
        </w:rPr>
        <w:t>experience</w:t>
      </w:r>
      <w:r>
        <w:rPr>
          <w:spacing w:val="-3"/>
          <w:sz w:val="22"/>
        </w:rPr>
        <w:t> </w:t>
      </w:r>
      <w:r>
        <w:rPr>
          <w:sz w:val="22"/>
        </w:rPr>
        <w:t>developing</w:t>
      </w:r>
      <w:r>
        <w:rPr>
          <w:spacing w:val="-3"/>
          <w:sz w:val="22"/>
        </w:rPr>
        <w:t> </w:t>
      </w:r>
      <w:r>
        <w:rPr>
          <w:sz w:val="22"/>
        </w:rPr>
        <w:t>and</w:t>
      </w:r>
      <w:r>
        <w:rPr>
          <w:spacing w:val="-3"/>
          <w:sz w:val="22"/>
        </w:rPr>
        <w:t> </w:t>
      </w:r>
      <w:r>
        <w:rPr>
          <w:sz w:val="22"/>
        </w:rPr>
        <w:t>managing</w:t>
      </w:r>
      <w:r>
        <w:rPr>
          <w:spacing w:val="-3"/>
          <w:sz w:val="22"/>
        </w:rPr>
        <w:t> </w:t>
      </w:r>
      <w:r>
        <w:rPr>
          <w:sz w:val="22"/>
        </w:rPr>
        <w:t>affordable</w:t>
      </w:r>
      <w:r>
        <w:rPr>
          <w:spacing w:val="-5"/>
          <w:sz w:val="22"/>
        </w:rPr>
        <w:t> </w:t>
      </w:r>
      <w:r>
        <w:rPr>
          <w:sz w:val="22"/>
        </w:rPr>
        <w:t>housing</w:t>
      </w:r>
      <w:r>
        <w:rPr>
          <w:spacing w:val="-3"/>
          <w:sz w:val="22"/>
        </w:rPr>
        <w:t> </w:t>
      </w:r>
      <w:r>
        <w:rPr>
          <w:sz w:val="22"/>
        </w:rPr>
        <w:t>or</w:t>
      </w:r>
      <w:r>
        <w:rPr>
          <w:spacing w:val="-1"/>
          <w:sz w:val="22"/>
        </w:rPr>
        <w:t> </w:t>
      </w:r>
      <w:r>
        <w:rPr>
          <w:sz w:val="22"/>
        </w:rPr>
        <w:t>has contracted with an organization that has such experience and that will provide management services or technical expertise until the non-profit independently meets the experience requirements;</w:t>
      </w:r>
    </w:p>
    <w:p>
      <w:pPr>
        <w:pStyle w:val="ListParagraph"/>
        <w:numPr>
          <w:ilvl w:val="1"/>
          <w:numId w:val="16"/>
        </w:numPr>
        <w:tabs>
          <w:tab w:pos="841" w:val="left" w:leader="none"/>
        </w:tabs>
        <w:spacing w:line="237" w:lineRule="auto" w:before="1" w:after="0"/>
        <w:ind w:left="840" w:right="157" w:hanging="361"/>
        <w:jc w:val="both"/>
        <w:rPr>
          <w:rFonts w:ascii="Symbol" w:hAnsi="Symbol"/>
          <w:sz w:val="22"/>
        </w:rPr>
      </w:pPr>
      <w:r>
        <w:rPr>
          <w:sz w:val="22"/>
        </w:rPr>
        <w:t>maintains paid staff, or has contracted with an organization that has staff, who have successfully developed and/or maintained affordable housing projects;</w:t>
      </w:r>
    </w:p>
    <w:p>
      <w:pPr>
        <w:pStyle w:val="ListParagraph"/>
        <w:numPr>
          <w:ilvl w:val="1"/>
          <w:numId w:val="16"/>
        </w:numPr>
        <w:tabs>
          <w:tab w:pos="841" w:val="left" w:leader="none"/>
        </w:tabs>
        <w:spacing w:line="240" w:lineRule="auto" w:before="1" w:after="0"/>
        <w:ind w:left="840" w:right="155" w:hanging="361"/>
        <w:jc w:val="both"/>
        <w:rPr>
          <w:rFonts w:ascii="Symbol" w:hAnsi="Symbol"/>
          <w:sz w:val="22"/>
        </w:rPr>
      </w:pPr>
      <w:r>
        <w:rPr>
          <w:sz w:val="22"/>
        </w:rPr>
        <w:t>annually has a financial audit or audit review prepared by an independent auditor. The audit must include a detailed written report describing the CLT's sources and uses of funds, including an A-133 analysis of compliance with federal grants, if applicable; an analysis of internal controls; and the auditor's opinion letter to the board of directors and management; and</w:t>
      </w:r>
    </w:p>
    <w:p>
      <w:pPr>
        <w:pStyle w:val="ListParagraph"/>
        <w:numPr>
          <w:ilvl w:val="1"/>
          <w:numId w:val="16"/>
        </w:numPr>
        <w:tabs>
          <w:tab w:pos="841" w:val="left" w:leader="none"/>
        </w:tabs>
        <w:spacing w:line="237" w:lineRule="auto" w:before="0" w:after="0"/>
        <w:ind w:left="841" w:right="154" w:hanging="361"/>
        <w:jc w:val="both"/>
        <w:rPr>
          <w:rFonts w:ascii="Symbol" w:hAnsi="Symbol"/>
          <w:sz w:val="22"/>
        </w:rPr>
      </w:pPr>
      <w:r>
        <w:rPr>
          <w:sz w:val="22"/>
        </w:rPr>
        <w:t>complies</w:t>
      </w:r>
      <w:r>
        <w:rPr>
          <w:spacing w:val="-16"/>
          <w:sz w:val="22"/>
        </w:rPr>
        <w:t> </w:t>
      </w:r>
      <w:r>
        <w:rPr>
          <w:sz w:val="22"/>
        </w:rPr>
        <w:t>with</w:t>
      </w:r>
      <w:r>
        <w:rPr>
          <w:spacing w:val="-15"/>
          <w:sz w:val="22"/>
        </w:rPr>
        <w:t> </w:t>
      </w:r>
      <w:r>
        <w:rPr>
          <w:sz w:val="22"/>
        </w:rPr>
        <w:t>any</w:t>
      </w:r>
      <w:r>
        <w:rPr>
          <w:spacing w:val="-14"/>
          <w:sz w:val="22"/>
        </w:rPr>
        <w:t> </w:t>
      </w:r>
      <w:r>
        <w:rPr>
          <w:sz w:val="22"/>
        </w:rPr>
        <w:t>other</w:t>
      </w:r>
      <w:r>
        <w:rPr>
          <w:spacing w:val="-13"/>
          <w:sz w:val="22"/>
        </w:rPr>
        <w:t> </w:t>
      </w:r>
      <w:r>
        <w:rPr>
          <w:sz w:val="22"/>
        </w:rPr>
        <w:t>requirements</w:t>
      </w:r>
      <w:r>
        <w:rPr>
          <w:spacing w:val="-14"/>
          <w:sz w:val="22"/>
        </w:rPr>
        <w:t> </w:t>
      </w:r>
      <w:r>
        <w:rPr>
          <w:sz w:val="22"/>
        </w:rPr>
        <w:t>imposed</w:t>
      </w:r>
      <w:r>
        <w:rPr>
          <w:spacing w:val="-16"/>
          <w:sz w:val="22"/>
        </w:rPr>
        <w:t> </w:t>
      </w:r>
      <w:r>
        <w:rPr>
          <w:sz w:val="22"/>
        </w:rPr>
        <w:t>by</w:t>
      </w:r>
      <w:r>
        <w:rPr>
          <w:spacing w:val="-15"/>
          <w:sz w:val="22"/>
        </w:rPr>
        <w:t> </w:t>
      </w:r>
      <w:r>
        <w:rPr>
          <w:sz w:val="22"/>
        </w:rPr>
        <w:t>the</w:t>
      </w:r>
      <w:r>
        <w:rPr>
          <w:spacing w:val="-14"/>
          <w:sz w:val="22"/>
        </w:rPr>
        <w:t> </w:t>
      </w:r>
      <w:r>
        <w:rPr>
          <w:sz w:val="22"/>
        </w:rPr>
        <w:t>City</w:t>
      </w:r>
      <w:r>
        <w:rPr>
          <w:spacing w:val="-16"/>
          <w:sz w:val="22"/>
        </w:rPr>
        <w:t> </w:t>
      </w:r>
      <w:r>
        <w:rPr>
          <w:sz w:val="22"/>
        </w:rPr>
        <w:t>Manager,</w:t>
      </w:r>
      <w:r>
        <w:rPr>
          <w:spacing w:val="-1"/>
          <w:sz w:val="22"/>
        </w:rPr>
        <w:t> </w:t>
      </w:r>
      <w:r>
        <w:rPr>
          <w:sz w:val="22"/>
        </w:rPr>
        <w:t>or</w:t>
      </w:r>
      <w:r>
        <w:rPr>
          <w:spacing w:val="-4"/>
          <w:sz w:val="22"/>
        </w:rPr>
        <w:t> </w:t>
      </w:r>
      <w:r>
        <w:rPr>
          <w:sz w:val="22"/>
        </w:rPr>
        <w:t>their</w:t>
      </w:r>
      <w:r>
        <w:rPr>
          <w:spacing w:val="-1"/>
          <w:sz w:val="22"/>
        </w:rPr>
        <w:t> </w:t>
      </w:r>
      <w:r>
        <w:rPr>
          <w:sz w:val="22"/>
        </w:rPr>
        <w:t>designee</w:t>
      </w:r>
      <w:r>
        <w:rPr>
          <w:spacing w:val="-16"/>
          <w:sz w:val="22"/>
        </w:rPr>
        <w:t> </w:t>
      </w:r>
      <w:r>
        <w:rPr>
          <w:sz w:val="22"/>
        </w:rPr>
        <w:t>that are in accordance with the Program and the City’s Comprehensive Housing Policy.</w:t>
      </w:r>
    </w:p>
    <w:p>
      <w:pPr>
        <w:pStyle w:val="BodyText"/>
      </w:pPr>
    </w:p>
    <w:p>
      <w:pPr>
        <w:pStyle w:val="Heading5"/>
        <w:ind w:left="121"/>
        <w:jc w:val="left"/>
      </w:pPr>
      <w:r>
        <w:rPr>
          <w:spacing w:val="-2"/>
        </w:rPr>
        <w:t>Re-Designation</w:t>
      </w:r>
    </w:p>
    <w:p>
      <w:pPr>
        <w:pStyle w:val="BodyText"/>
        <w:spacing w:before="52"/>
        <w:ind w:left="121" w:right="154"/>
        <w:jc w:val="both"/>
      </w:pPr>
      <w:r>
        <w:rPr/>
        <w:t>To</w:t>
      </w:r>
      <w:r>
        <w:rPr>
          <w:spacing w:val="-16"/>
        </w:rPr>
        <w:t> </w:t>
      </w:r>
      <w:r>
        <w:rPr/>
        <w:t>maintain</w:t>
      </w:r>
      <w:r>
        <w:rPr>
          <w:spacing w:val="-15"/>
        </w:rPr>
        <w:t> </w:t>
      </w:r>
      <w:r>
        <w:rPr/>
        <w:t>designation</w:t>
      </w:r>
      <w:r>
        <w:rPr>
          <w:spacing w:val="-15"/>
        </w:rPr>
        <w:t> </w:t>
      </w:r>
      <w:r>
        <w:rPr/>
        <w:t>as</w:t>
      </w:r>
      <w:r>
        <w:rPr>
          <w:spacing w:val="-14"/>
        </w:rPr>
        <w:t> </w:t>
      </w:r>
      <w:r>
        <w:rPr/>
        <w:t>a</w:t>
      </w:r>
      <w:r>
        <w:rPr>
          <w:spacing w:val="-15"/>
        </w:rPr>
        <w:t> </w:t>
      </w:r>
      <w:r>
        <w:rPr/>
        <w:t>CLT</w:t>
      </w:r>
      <w:r>
        <w:rPr>
          <w:spacing w:val="-15"/>
        </w:rPr>
        <w:t> </w:t>
      </w:r>
      <w:r>
        <w:rPr/>
        <w:t>in</w:t>
      </w:r>
      <w:r>
        <w:rPr>
          <w:spacing w:val="-16"/>
        </w:rPr>
        <w:t> </w:t>
      </w:r>
      <w:r>
        <w:rPr/>
        <w:t>subsequent</w:t>
      </w:r>
      <w:r>
        <w:rPr>
          <w:spacing w:val="-12"/>
        </w:rPr>
        <w:t> </w:t>
      </w:r>
      <w:r>
        <w:rPr/>
        <w:t>years</w:t>
      </w:r>
      <w:r>
        <w:rPr>
          <w:spacing w:val="-14"/>
        </w:rPr>
        <w:t> </w:t>
      </w:r>
      <w:r>
        <w:rPr/>
        <w:t>after</w:t>
      </w:r>
      <w:r>
        <w:rPr>
          <w:spacing w:val="-13"/>
        </w:rPr>
        <w:t> </w:t>
      </w:r>
      <w:r>
        <w:rPr/>
        <w:t>initial</w:t>
      </w:r>
      <w:r>
        <w:rPr>
          <w:spacing w:val="-15"/>
        </w:rPr>
        <w:t> </w:t>
      </w:r>
      <w:r>
        <w:rPr/>
        <w:t>designation,</w:t>
      </w:r>
      <w:r>
        <w:rPr>
          <w:spacing w:val="-13"/>
        </w:rPr>
        <w:t> </w:t>
      </w:r>
      <w:r>
        <w:rPr/>
        <w:t>a</w:t>
      </w:r>
      <w:r>
        <w:rPr>
          <w:spacing w:val="-16"/>
        </w:rPr>
        <w:t> </w:t>
      </w:r>
      <w:r>
        <w:rPr/>
        <w:t>CLT</w:t>
      </w:r>
      <w:r>
        <w:rPr>
          <w:spacing w:val="-14"/>
        </w:rPr>
        <w:t> </w:t>
      </w:r>
      <w:r>
        <w:rPr/>
        <w:t>must</w:t>
      </w:r>
      <w:r>
        <w:rPr>
          <w:spacing w:val="-16"/>
        </w:rPr>
        <w:t> </w:t>
      </w:r>
      <w:r>
        <w:rPr/>
        <w:t>submit a yearly re-designation application to the Department. The City Manager,</w:t>
      </w:r>
      <w:r>
        <w:rPr>
          <w:spacing w:val="-1"/>
        </w:rPr>
        <w:t> </w:t>
      </w:r>
      <w:r>
        <w:rPr/>
        <w:t>or</w:t>
      </w:r>
      <w:r>
        <w:rPr>
          <w:spacing w:val="-4"/>
        </w:rPr>
        <w:t> </w:t>
      </w:r>
      <w:r>
        <w:rPr/>
        <w:t>their designee</w:t>
      </w:r>
      <w:r>
        <w:rPr>
          <w:spacing w:val="-4"/>
        </w:rPr>
        <w:t> </w:t>
      </w:r>
      <w:r>
        <w:rPr/>
        <w:t>may re-designate</w:t>
      </w:r>
      <w:r>
        <w:rPr>
          <w:spacing w:val="-10"/>
        </w:rPr>
        <w:t> </w:t>
      </w:r>
      <w:r>
        <w:rPr/>
        <w:t>the</w:t>
      </w:r>
      <w:r>
        <w:rPr>
          <w:spacing w:val="-6"/>
        </w:rPr>
        <w:t> </w:t>
      </w:r>
      <w:r>
        <w:rPr/>
        <w:t>CLT</w:t>
      </w:r>
      <w:r>
        <w:rPr>
          <w:spacing w:val="-8"/>
        </w:rPr>
        <w:t> </w:t>
      </w:r>
      <w:r>
        <w:rPr/>
        <w:t>or</w:t>
      </w:r>
      <w:r>
        <w:rPr>
          <w:spacing w:val="-9"/>
        </w:rPr>
        <w:t> </w:t>
      </w:r>
      <w:r>
        <w:rPr/>
        <w:t>recommend</w:t>
      </w:r>
      <w:r>
        <w:rPr>
          <w:spacing w:val="-8"/>
        </w:rPr>
        <w:t> </w:t>
      </w:r>
      <w:r>
        <w:rPr/>
        <w:t>to</w:t>
      </w:r>
      <w:r>
        <w:rPr>
          <w:spacing w:val="-9"/>
        </w:rPr>
        <w:t> </w:t>
      </w:r>
      <w:r>
        <w:rPr/>
        <w:t>the</w:t>
      </w:r>
      <w:r>
        <w:rPr>
          <w:spacing w:val="-8"/>
        </w:rPr>
        <w:t> </w:t>
      </w:r>
      <w:r>
        <w:rPr/>
        <w:t>City</w:t>
      </w:r>
      <w:r>
        <w:rPr>
          <w:spacing w:val="-8"/>
        </w:rPr>
        <w:t> </w:t>
      </w:r>
      <w:r>
        <w:rPr/>
        <w:t>Council</w:t>
      </w:r>
      <w:r>
        <w:rPr>
          <w:spacing w:val="-7"/>
        </w:rPr>
        <w:t> </w:t>
      </w:r>
      <w:r>
        <w:rPr/>
        <w:t>to</w:t>
      </w:r>
      <w:r>
        <w:rPr>
          <w:spacing w:val="-8"/>
        </w:rPr>
        <w:t> </w:t>
      </w:r>
      <w:r>
        <w:rPr/>
        <w:t>remove</w:t>
      </w:r>
      <w:r>
        <w:rPr>
          <w:spacing w:val="-9"/>
        </w:rPr>
        <w:t> </w:t>
      </w:r>
      <w:r>
        <w:rPr/>
        <w:t>the</w:t>
      </w:r>
      <w:r>
        <w:rPr>
          <w:spacing w:val="-8"/>
        </w:rPr>
        <w:t> </w:t>
      </w:r>
      <w:r>
        <w:rPr/>
        <w:t>CLT</w:t>
      </w:r>
      <w:r>
        <w:rPr>
          <w:spacing w:val="-9"/>
        </w:rPr>
        <w:t> </w:t>
      </w:r>
      <w:r>
        <w:rPr/>
        <w:t>designation.</w:t>
      </w:r>
      <w:r>
        <w:rPr>
          <w:spacing w:val="-7"/>
        </w:rPr>
        <w:t> </w:t>
      </w:r>
      <w:r>
        <w:rPr/>
        <w:t>The</w:t>
      </w:r>
      <w:r>
        <w:rPr>
          <w:spacing w:val="-8"/>
        </w:rPr>
        <w:t> </w:t>
      </w:r>
      <w:r>
        <w:rPr/>
        <w:t>CLT </w:t>
      </w:r>
      <w:r>
        <w:rPr>
          <w:spacing w:val="-4"/>
        </w:rPr>
        <w:t>must:</w:t>
      </w:r>
    </w:p>
    <w:p>
      <w:pPr>
        <w:pStyle w:val="ListParagraph"/>
        <w:numPr>
          <w:ilvl w:val="1"/>
          <w:numId w:val="16"/>
        </w:numPr>
        <w:tabs>
          <w:tab w:pos="842" w:val="left" w:leader="none"/>
        </w:tabs>
        <w:spacing w:line="269" w:lineRule="exact" w:before="0" w:after="0"/>
        <w:ind w:left="841" w:right="0" w:hanging="361"/>
        <w:jc w:val="both"/>
        <w:rPr>
          <w:rFonts w:ascii="Symbol" w:hAnsi="Symbol"/>
          <w:sz w:val="22"/>
        </w:rPr>
      </w:pPr>
      <w:r>
        <w:rPr>
          <w:sz w:val="22"/>
        </w:rPr>
        <w:t>meet</w:t>
      </w:r>
      <w:r>
        <w:rPr>
          <w:spacing w:val="-7"/>
          <w:sz w:val="22"/>
        </w:rPr>
        <w:t> </w:t>
      </w:r>
      <w:r>
        <w:rPr>
          <w:sz w:val="22"/>
        </w:rPr>
        <w:t>the</w:t>
      </w:r>
      <w:r>
        <w:rPr>
          <w:spacing w:val="-6"/>
          <w:sz w:val="22"/>
        </w:rPr>
        <w:t> </w:t>
      </w:r>
      <w:r>
        <w:rPr>
          <w:sz w:val="22"/>
        </w:rPr>
        <w:t>Eligibility</w:t>
      </w:r>
      <w:r>
        <w:rPr>
          <w:spacing w:val="-3"/>
          <w:sz w:val="22"/>
        </w:rPr>
        <w:t> </w:t>
      </w:r>
      <w:r>
        <w:rPr>
          <w:sz w:val="22"/>
        </w:rPr>
        <w:t>and</w:t>
      </w:r>
      <w:r>
        <w:rPr>
          <w:spacing w:val="-5"/>
          <w:sz w:val="22"/>
        </w:rPr>
        <w:t> </w:t>
      </w:r>
      <w:r>
        <w:rPr>
          <w:sz w:val="22"/>
        </w:rPr>
        <w:t>Operation</w:t>
      </w:r>
      <w:r>
        <w:rPr>
          <w:spacing w:val="-4"/>
          <w:sz w:val="22"/>
        </w:rPr>
        <w:t> </w:t>
      </w:r>
      <w:r>
        <w:rPr>
          <w:sz w:val="22"/>
        </w:rPr>
        <w:t>Criteria</w:t>
      </w:r>
      <w:r>
        <w:rPr>
          <w:spacing w:val="-6"/>
          <w:sz w:val="22"/>
        </w:rPr>
        <w:t> </w:t>
      </w:r>
      <w:r>
        <w:rPr>
          <w:sz w:val="22"/>
        </w:rPr>
        <w:t>set</w:t>
      </w:r>
      <w:r>
        <w:rPr>
          <w:spacing w:val="-4"/>
          <w:sz w:val="22"/>
        </w:rPr>
        <w:t> </w:t>
      </w:r>
      <w:r>
        <w:rPr>
          <w:sz w:val="22"/>
        </w:rPr>
        <w:t>forth</w:t>
      </w:r>
      <w:r>
        <w:rPr>
          <w:spacing w:val="-6"/>
          <w:sz w:val="22"/>
        </w:rPr>
        <w:t> </w:t>
      </w:r>
      <w:r>
        <w:rPr>
          <w:sz w:val="22"/>
        </w:rPr>
        <w:t>is</w:t>
      </w:r>
      <w:r>
        <w:rPr>
          <w:spacing w:val="-3"/>
          <w:sz w:val="22"/>
        </w:rPr>
        <w:t> </w:t>
      </w:r>
      <w:r>
        <w:rPr>
          <w:sz w:val="22"/>
        </w:rPr>
        <w:t>this</w:t>
      </w:r>
      <w:r>
        <w:rPr>
          <w:spacing w:val="-5"/>
          <w:sz w:val="22"/>
        </w:rPr>
        <w:t> </w:t>
      </w:r>
      <w:r>
        <w:rPr>
          <w:spacing w:val="-2"/>
          <w:sz w:val="22"/>
        </w:rPr>
        <w:t>policy;</w:t>
      </w:r>
    </w:p>
    <w:p>
      <w:pPr>
        <w:pStyle w:val="ListParagraph"/>
        <w:numPr>
          <w:ilvl w:val="1"/>
          <w:numId w:val="16"/>
        </w:numPr>
        <w:tabs>
          <w:tab w:pos="842" w:val="left" w:leader="none"/>
        </w:tabs>
        <w:spacing w:line="237" w:lineRule="auto" w:before="2" w:after="0"/>
        <w:ind w:left="841" w:right="153" w:hanging="361"/>
        <w:jc w:val="both"/>
        <w:rPr>
          <w:rFonts w:ascii="Symbol" w:hAnsi="Symbol"/>
          <w:sz w:val="22"/>
        </w:rPr>
      </w:pPr>
      <w:r>
        <w:rPr>
          <w:sz w:val="22"/>
        </w:rPr>
        <w:t>certify that the information in the CLT’s initial application is still true and correct and that the</w:t>
      </w:r>
      <w:r>
        <w:rPr>
          <w:spacing w:val="-5"/>
          <w:sz w:val="22"/>
        </w:rPr>
        <w:t> </w:t>
      </w:r>
      <w:r>
        <w:rPr>
          <w:sz w:val="22"/>
        </w:rPr>
        <w:t>CLT</w:t>
      </w:r>
      <w:r>
        <w:rPr>
          <w:spacing w:val="-8"/>
          <w:sz w:val="22"/>
        </w:rPr>
        <w:t> </w:t>
      </w:r>
      <w:r>
        <w:rPr>
          <w:sz w:val="22"/>
        </w:rPr>
        <w:t>continues</w:t>
      </w:r>
      <w:r>
        <w:rPr>
          <w:spacing w:val="-7"/>
          <w:sz w:val="22"/>
        </w:rPr>
        <w:t> </w:t>
      </w:r>
      <w:r>
        <w:rPr>
          <w:sz w:val="22"/>
        </w:rPr>
        <w:t>to</w:t>
      </w:r>
      <w:r>
        <w:rPr>
          <w:spacing w:val="-5"/>
          <w:sz w:val="22"/>
        </w:rPr>
        <w:t> </w:t>
      </w:r>
      <w:r>
        <w:rPr>
          <w:sz w:val="22"/>
        </w:rPr>
        <w:t>comply</w:t>
      </w:r>
      <w:r>
        <w:rPr>
          <w:spacing w:val="-5"/>
          <w:sz w:val="22"/>
        </w:rPr>
        <w:t> </w:t>
      </w:r>
      <w:r>
        <w:rPr>
          <w:sz w:val="22"/>
        </w:rPr>
        <w:t>with</w:t>
      </w:r>
      <w:r>
        <w:rPr>
          <w:spacing w:val="-7"/>
          <w:sz w:val="22"/>
        </w:rPr>
        <w:t> </w:t>
      </w:r>
      <w:r>
        <w:rPr>
          <w:sz w:val="22"/>
        </w:rPr>
        <w:t>all</w:t>
      </w:r>
      <w:r>
        <w:rPr>
          <w:spacing w:val="-6"/>
          <w:sz w:val="22"/>
        </w:rPr>
        <w:t> </w:t>
      </w:r>
      <w:r>
        <w:rPr>
          <w:sz w:val="22"/>
        </w:rPr>
        <w:t>local,</w:t>
      </w:r>
      <w:r>
        <w:rPr>
          <w:spacing w:val="-6"/>
          <w:sz w:val="22"/>
        </w:rPr>
        <w:t> </w:t>
      </w:r>
      <w:r>
        <w:rPr>
          <w:sz w:val="22"/>
        </w:rPr>
        <w:t>state</w:t>
      </w:r>
      <w:r>
        <w:rPr>
          <w:spacing w:val="-8"/>
          <w:sz w:val="22"/>
        </w:rPr>
        <w:t> </w:t>
      </w:r>
      <w:r>
        <w:rPr>
          <w:sz w:val="22"/>
        </w:rPr>
        <w:t>and</w:t>
      </w:r>
      <w:r>
        <w:rPr>
          <w:spacing w:val="-5"/>
          <w:sz w:val="22"/>
        </w:rPr>
        <w:t> </w:t>
      </w:r>
      <w:r>
        <w:rPr>
          <w:sz w:val="22"/>
        </w:rPr>
        <w:t>federal</w:t>
      </w:r>
      <w:r>
        <w:rPr>
          <w:spacing w:val="-8"/>
          <w:sz w:val="22"/>
        </w:rPr>
        <w:t> </w:t>
      </w:r>
      <w:r>
        <w:rPr>
          <w:sz w:val="22"/>
        </w:rPr>
        <w:t>regulations</w:t>
      </w:r>
      <w:r>
        <w:rPr>
          <w:spacing w:val="-2"/>
          <w:sz w:val="22"/>
        </w:rPr>
        <w:t> </w:t>
      </w:r>
      <w:r>
        <w:rPr>
          <w:sz w:val="22"/>
        </w:rPr>
        <w:t>OR</w:t>
      </w:r>
      <w:r>
        <w:rPr>
          <w:spacing w:val="-3"/>
          <w:sz w:val="22"/>
        </w:rPr>
        <w:t> </w:t>
      </w:r>
      <w:r>
        <w:rPr>
          <w:sz w:val="22"/>
        </w:rPr>
        <w:t>acknowledge that information in the CLT’s initial application has changed and attach updated </w:t>
      </w:r>
      <w:r>
        <w:rPr>
          <w:spacing w:val="-2"/>
          <w:sz w:val="22"/>
        </w:rPr>
        <w:t>information;</w:t>
      </w:r>
    </w:p>
    <w:p>
      <w:pPr>
        <w:pStyle w:val="ListParagraph"/>
        <w:numPr>
          <w:ilvl w:val="1"/>
          <w:numId w:val="16"/>
        </w:numPr>
        <w:tabs>
          <w:tab w:pos="842" w:val="left" w:leader="none"/>
          <w:tab w:pos="843" w:val="left" w:leader="none"/>
        </w:tabs>
        <w:spacing w:line="269" w:lineRule="exact" w:before="4" w:after="0"/>
        <w:ind w:left="842" w:right="0" w:hanging="361"/>
        <w:jc w:val="left"/>
        <w:rPr>
          <w:rFonts w:ascii="Symbol" w:hAnsi="Symbol"/>
          <w:sz w:val="22"/>
        </w:rPr>
      </w:pPr>
      <w:r>
        <w:rPr>
          <w:sz w:val="22"/>
        </w:rPr>
        <w:t>submit</w:t>
      </w:r>
      <w:r>
        <w:rPr>
          <w:spacing w:val="-4"/>
          <w:sz w:val="22"/>
        </w:rPr>
        <w:t> </w:t>
      </w:r>
      <w:r>
        <w:rPr>
          <w:sz w:val="22"/>
        </w:rPr>
        <w:t>its</w:t>
      </w:r>
      <w:r>
        <w:rPr>
          <w:spacing w:val="-3"/>
          <w:sz w:val="22"/>
        </w:rPr>
        <w:t> </w:t>
      </w:r>
      <w:r>
        <w:rPr>
          <w:sz w:val="22"/>
        </w:rPr>
        <w:t>annual</w:t>
      </w:r>
      <w:r>
        <w:rPr>
          <w:spacing w:val="-7"/>
          <w:sz w:val="22"/>
        </w:rPr>
        <w:t> </w:t>
      </w:r>
      <w:r>
        <w:rPr>
          <w:sz w:val="22"/>
        </w:rPr>
        <w:t>audit</w:t>
      </w:r>
      <w:r>
        <w:rPr>
          <w:spacing w:val="-2"/>
          <w:sz w:val="22"/>
        </w:rPr>
        <w:t> </w:t>
      </w:r>
      <w:r>
        <w:rPr>
          <w:sz w:val="22"/>
        </w:rPr>
        <w:t>or</w:t>
      </w:r>
      <w:r>
        <w:rPr>
          <w:spacing w:val="-5"/>
          <w:sz w:val="22"/>
        </w:rPr>
        <w:t> </w:t>
      </w:r>
      <w:r>
        <w:rPr>
          <w:sz w:val="22"/>
        </w:rPr>
        <w:t>audit</w:t>
      </w:r>
      <w:r>
        <w:rPr>
          <w:spacing w:val="-4"/>
          <w:sz w:val="22"/>
        </w:rPr>
        <w:t> </w:t>
      </w:r>
      <w:r>
        <w:rPr>
          <w:spacing w:val="-2"/>
          <w:sz w:val="22"/>
        </w:rPr>
        <w:t>review;</w:t>
      </w:r>
    </w:p>
    <w:p>
      <w:pPr>
        <w:pStyle w:val="ListParagraph"/>
        <w:numPr>
          <w:ilvl w:val="1"/>
          <w:numId w:val="16"/>
        </w:numPr>
        <w:tabs>
          <w:tab w:pos="842" w:val="left" w:leader="none"/>
          <w:tab w:pos="843" w:val="left" w:leader="none"/>
        </w:tabs>
        <w:spacing w:line="268" w:lineRule="exact" w:before="0" w:after="0"/>
        <w:ind w:left="842" w:right="0" w:hanging="361"/>
        <w:jc w:val="left"/>
        <w:rPr>
          <w:rFonts w:ascii="Symbol" w:hAnsi="Symbol"/>
          <w:sz w:val="22"/>
        </w:rPr>
      </w:pPr>
      <w:r>
        <w:rPr>
          <w:sz w:val="22"/>
        </w:rPr>
        <w:t>submit</w:t>
      </w:r>
      <w:r>
        <w:rPr>
          <w:spacing w:val="-6"/>
          <w:sz w:val="22"/>
        </w:rPr>
        <w:t> </w:t>
      </w:r>
      <w:r>
        <w:rPr>
          <w:sz w:val="22"/>
        </w:rPr>
        <w:t>all</w:t>
      </w:r>
      <w:r>
        <w:rPr>
          <w:spacing w:val="-5"/>
          <w:sz w:val="22"/>
        </w:rPr>
        <w:t> </w:t>
      </w:r>
      <w:r>
        <w:rPr>
          <w:sz w:val="22"/>
        </w:rPr>
        <w:t>required</w:t>
      </w:r>
      <w:r>
        <w:rPr>
          <w:spacing w:val="-7"/>
          <w:sz w:val="22"/>
        </w:rPr>
        <w:t> </w:t>
      </w:r>
      <w:r>
        <w:rPr>
          <w:sz w:val="22"/>
        </w:rPr>
        <w:t>evaluation</w:t>
      </w:r>
      <w:r>
        <w:rPr>
          <w:spacing w:val="-6"/>
          <w:sz w:val="22"/>
        </w:rPr>
        <w:t> </w:t>
      </w:r>
      <w:r>
        <w:rPr>
          <w:sz w:val="22"/>
        </w:rPr>
        <w:t>and</w:t>
      </w:r>
      <w:r>
        <w:rPr>
          <w:spacing w:val="-7"/>
          <w:sz w:val="22"/>
        </w:rPr>
        <w:t> </w:t>
      </w:r>
      <w:r>
        <w:rPr>
          <w:sz w:val="22"/>
        </w:rPr>
        <w:t>reporting</w:t>
      </w:r>
      <w:r>
        <w:rPr>
          <w:spacing w:val="-7"/>
          <w:sz w:val="22"/>
        </w:rPr>
        <w:t> </w:t>
      </w:r>
      <w:r>
        <w:rPr>
          <w:sz w:val="22"/>
        </w:rPr>
        <w:t>metrics;</w:t>
      </w:r>
      <w:r>
        <w:rPr>
          <w:spacing w:val="-3"/>
          <w:sz w:val="22"/>
        </w:rPr>
        <w:t> </w:t>
      </w:r>
      <w:r>
        <w:rPr>
          <w:spacing w:val="-5"/>
          <w:sz w:val="22"/>
        </w:rPr>
        <w:t>and</w:t>
      </w:r>
    </w:p>
    <w:p>
      <w:pPr>
        <w:pStyle w:val="ListParagraph"/>
        <w:numPr>
          <w:ilvl w:val="1"/>
          <w:numId w:val="16"/>
        </w:numPr>
        <w:tabs>
          <w:tab w:pos="842" w:val="left" w:leader="none"/>
          <w:tab w:pos="843" w:val="left" w:leader="none"/>
        </w:tabs>
        <w:spacing w:line="268" w:lineRule="exact" w:before="0" w:after="0"/>
        <w:ind w:left="842" w:right="0" w:hanging="361"/>
        <w:jc w:val="left"/>
        <w:rPr>
          <w:rFonts w:ascii="Symbol" w:hAnsi="Symbol"/>
          <w:sz w:val="22"/>
        </w:rPr>
      </w:pPr>
      <w:r>
        <w:rPr>
          <w:sz w:val="22"/>
        </w:rPr>
        <w:t>submit</w:t>
      </w:r>
      <w:r>
        <w:rPr>
          <w:spacing w:val="-7"/>
          <w:sz w:val="22"/>
        </w:rPr>
        <w:t> </w:t>
      </w:r>
      <w:r>
        <w:rPr>
          <w:sz w:val="22"/>
        </w:rPr>
        <w:t>additional</w:t>
      </w:r>
      <w:r>
        <w:rPr>
          <w:spacing w:val="-5"/>
          <w:sz w:val="22"/>
        </w:rPr>
        <w:t> </w:t>
      </w:r>
      <w:r>
        <w:rPr>
          <w:sz w:val="22"/>
        </w:rPr>
        <w:t>information</w:t>
      </w:r>
      <w:r>
        <w:rPr>
          <w:spacing w:val="-4"/>
          <w:sz w:val="22"/>
        </w:rPr>
        <w:t> </w:t>
      </w:r>
      <w:r>
        <w:rPr>
          <w:sz w:val="22"/>
        </w:rPr>
        <w:t>as</w:t>
      </w:r>
      <w:r>
        <w:rPr>
          <w:spacing w:val="-7"/>
          <w:sz w:val="22"/>
        </w:rPr>
        <w:t> </w:t>
      </w:r>
      <w:r>
        <w:rPr>
          <w:sz w:val="22"/>
        </w:rPr>
        <w:t>required</w:t>
      </w:r>
      <w:r>
        <w:rPr>
          <w:spacing w:val="-6"/>
          <w:sz w:val="22"/>
        </w:rPr>
        <w:t> </w:t>
      </w:r>
      <w:r>
        <w:rPr>
          <w:sz w:val="22"/>
        </w:rPr>
        <w:t>by</w:t>
      </w:r>
      <w:r>
        <w:rPr>
          <w:spacing w:val="-7"/>
          <w:sz w:val="22"/>
        </w:rPr>
        <w:t> </w:t>
      </w:r>
      <w:r>
        <w:rPr>
          <w:sz w:val="22"/>
        </w:rPr>
        <w:t>the</w:t>
      </w:r>
      <w:r>
        <w:rPr>
          <w:spacing w:val="-4"/>
          <w:sz w:val="22"/>
        </w:rPr>
        <w:t> </w:t>
      </w:r>
      <w:r>
        <w:rPr>
          <w:spacing w:val="-2"/>
          <w:sz w:val="22"/>
        </w:rPr>
        <w:t>Department.</w:t>
      </w:r>
    </w:p>
    <w:p>
      <w:pPr>
        <w:pStyle w:val="BodyText"/>
        <w:spacing w:before="10"/>
        <w:rPr>
          <w:sz w:val="21"/>
        </w:rPr>
      </w:pPr>
    </w:p>
    <w:p>
      <w:pPr>
        <w:pStyle w:val="Heading5"/>
        <w:ind w:left="122"/>
        <w:jc w:val="left"/>
      </w:pPr>
      <w:r>
        <w:rPr/>
        <w:t>Program</w:t>
      </w:r>
      <w:r>
        <w:rPr>
          <w:spacing w:val="-5"/>
        </w:rPr>
        <w:t> </w:t>
      </w:r>
      <w:r>
        <w:rPr>
          <w:spacing w:val="-2"/>
        </w:rPr>
        <w:t>Evaluation</w:t>
      </w:r>
    </w:p>
    <w:p>
      <w:pPr>
        <w:pStyle w:val="BodyText"/>
        <w:spacing w:before="50"/>
        <w:ind w:left="122" w:right="50"/>
      </w:pPr>
      <w:r>
        <w:rPr/>
        <w:t>During</w:t>
      </w:r>
      <w:r>
        <w:rPr>
          <w:spacing w:val="-11"/>
        </w:rPr>
        <w:t> </w:t>
      </w:r>
      <w:r>
        <w:rPr/>
        <w:t>initial</w:t>
      </w:r>
      <w:r>
        <w:rPr>
          <w:spacing w:val="-11"/>
        </w:rPr>
        <w:t> </w:t>
      </w:r>
      <w:r>
        <w:rPr/>
        <w:t>application</w:t>
      </w:r>
      <w:r>
        <w:rPr>
          <w:spacing w:val="-13"/>
        </w:rPr>
        <w:t> </w:t>
      </w:r>
      <w:r>
        <w:rPr/>
        <w:t>and</w:t>
      </w:r>
      <w:r>
        <w:rPr>
          <w:spacing w:val="-2"/>
        </w:rPr>
        <w:t> </w:t>
      </w:r>
      <w:r>
        <w:rPr/>
        <w:t>upon</w:t>
      </w:r>
      <w:r>
        <w:rPr>
          <w:spacing w:val="-6"/>
        </w:rPr>
        <w:t> </w:t>
      </w:r>
      <w:r>
        <w:rPr/>
        <w:t>re-application,</w:t>
      </w:r>
      <w:r>
        <w:rPr>
          <w:spacing w:val="-13"/>
        </w:rPr>
        <w:t> </w:t>
      </w:r>
      <w:r>
        <w:rPr/>
        <w:t>each</w:t>
      </w:r>
      <w:r>
        <w:rPr>
          <w:spacing w:val="-11"/>
        </w:rPr>
        <w:t> </w:t>
      </w:r>
      <w:r>
        <w:rPr/>
        <w:t>CLT</w:t>
      </w:r>
      <w:r>
        <w:rPr>
          <w:spacing w:val="-13"/>
        </w:rPr>
        <w:t> </w:t>
      </w:r>
      <w:r>
        <w:rPr/>
        <w:t>must</w:t>
      </w:r>
      <w:r>
        <w:rPr>
          <w:spacing w:val="-12"/>
        </w:rPr>
        <w:t> </w:t>
      </w:r>
      <w:r>
        <w:rPr/>
        <w:t>submit</w:t>
      </w:r>
      <w:r>
        <w:rPr>
          <w:spacing w:val="-12"/>
        </w:rPr>
        <w:t> </w:t>
      </w:r>
      <w:r>
        <w:rPr/>
        <w:t>the</w:t>
      </w:r>
      <w:r>
        <w:rPr>
          <w:spacing w:val="-11"/>
        </w:rPr>
        <w:t> </w:t>
      </w:r>
      <w:r>
        <w:rPr/>
        <w:t>following</w:t>
      </w:r>
      <w:r>
        <w:rPr>
          <w:spacing w:val="-11"/>
        </w:rPr>
        <w:t> </w:t>
      </w:r>
      <w:r>
        <w:rPr/>
        <w:t>information that</w:t>
      </w:r>
      <w:r>
        <w:rPr>
          <w:spacing w:val="-4"/>
        </w:rPr>
        <w:t> </w:t>
      </w:r>
      <w:r>
        <w:rPr/>
        <w:t>will</w:t>
      </w:r>
      <w:r>
        <w:rPr>
          <w:spacing w:val="-7"/>
        </w:rPr>
        <w:t> </w:t>
      </w:r>
      <w:r>
        <w:rPr/>
        <w:t>assist</w:t>
      </w:r>
      <w:r>
        <w:rPr>
          <w:spacing w:val="-7"/>
        </w:rPr>
        <w:t> </w:t>
      </w:r>
      <w:r>
        <w:rPr/>
        <w:t>the</w:t>
      </w:r>
      <w:r>
        <w:rPr>
          <w:spacing w:val="-8"/>
        </w:rPr>
        <w:t> </w:t>
      </w:r>
      <w:r>
        <w:rPr/>
        <w:t>Department</w:t>
      </w:r>
      <w:r>
        <w:rPr>
          <w:spacing w:val="-7"/>
        </w:rPr>
        <w:t> </w:t>
      </w:r>
      <w:r>
        <w:rPr/>
        <w:t>in</w:t>
      </w:r>
      <w:r>
        <w:rPr>
          <w:spacing w:val="-6"/>
        </w:rPr>
        <w:t> </w:t>
      </w:r>
      <w:r>
        <w:rPr/>
        <w:t>evaluating</w:t>
      </w:r>
      <w:r>
        <w:rPr>
          <w:spacing w:val="-8"/>
        </w:rPr>
        <w:t> </w:t>
      </w:r>
      <w:r>
        <w:rPr/>
        <w:t>the</w:t>
      </w:r>
      <w:r>
        <w:rPr>
          <w:spacing w:val="-6"/>
        </w:rPr>
        <w:t> </w:t>
      </w:r>
      <w:r>
        <w:rPr/>
        <w:t>impact</w:t>
      </w:r>
      <w:r>
        <w:rPr>
          <w:spacing w:val="-4"/>
        </w:rPr>
        <w:t> </w:t>
      </w:r>
      <w:r>
        <w:rPr/>
        <w:t>of</w:t>
      </w:r>
      <w:r>
        <w:rPr>
          <w:spacing w:val="-4"/>
        </w:rPr>
        <w:t> </w:t>
      </w:r>
      <w:r>
        <w:rPr/>
        <w:t>all</w:t>
      </w:r>
      <w:r>
        <w:rPr>
          <w:spacing w:val="-6"/>
        </w:rPr>
        <w:t> </w:t>
      </w:r>
      <w:r>
        <w:rPr/>
        <w:t>CLTs</w:t>
      </w:r>
      <w:r>
        <w:rPr>
          <w:spacing w:val="-5"/>
        </w:rPr>
        <w:t> </w:t>
      </w:r>
      <w:r>
        <w:rPr/>
        <w:t>operating</w:t>
      </w:r>
      <w:r>
        <w:rPr>
          <w:spacing w:val="-6"/>
        </w:rPr>
        <w:t> </w:t>
      </w:r>
      <w:r>
        <w:rPr/>
        <w:t>in</w:t>
      </w:r>
      <w:r>
        <w:rPr>
          <w:spacing w:val="-6"/>
        </w:rPr>
        <w:t> </w:t>
      </w:r>
      <w:r>
        <w:rPr/>
        <w:t>the</w:t>
      </w:r>
      <w:r>
        <w:rPr>
          <w:spacing w:val="-6"/>
        </w:rPr>
        <w:t> </w:t>
      </w:r>
      <w:r>
        <w:rPr/>
        <w:t>City</w:t>
      </w:r>
      <w:r>
        <w:rPr>
          <w:spacing w:val="-5"/>
        </w:rPr>
        <w:t> </w:t>
      </w:r>
      <w:r>
        <w:rPr/>
        <w:t>of</w:t>
      </w:r>
      <w:r>
        <w:rPr>
          <w:spacing w:val="-7"/>
        </w:rPr>
        <w:t> </w:t>
      </w:r>
      <w:r>
        <w:rPr/>
        <w:t>Dallas:</w:t>
      </w:r>
    </w:p>
    <w:p>
      <w:pPr>
        <w:pStyle w:val="ListParagraph"/>
        <w:numPr>
          <w:ilvl w:val="1"/>
          <w:numId w:val="16"/>
        </w:numPr>
        <w:tabs>
          <w:tab w:pos="842" w:val="left" w:leader="none"/>
          <w:tab w:pos="843" w:val="left" w:leader="none"/>
        </w:tabs>
        <w:spacing w:line="268" w:lineRule="exact" w:before="2" w:after="0"/>
        <w:ind w:left="842" w:right="0" w:hanging="361"/>
        <w:jc w:val="left"/>
        <w:rPr>
          <w:rFonts w:ascii="Symbol" w:hAnsi="Symbol"/>
          <w:sz w:val="22"/>
        </w:rPr>
      </w:pPr>
      <w:r>
        <w:rPr>
          <w:sz w:val="22"/>
        </w:rPr>
        <w:t>Origin</w:t>
      </w:r>
      <w:r>
        <w:rPr>
          <w:spacing w:val="-5"/>
          <w:sz w:val="22"/>
        </w:rPr>
        <w:t> </w:t>
      </w:r>
      <w:r>
        <w:rPr>
          <w:sz w:val="22"/>
        </w:rPr>
        <w:t>statement</w:t>
      </w:r>
      <w:r>
        <w:rPr>
          <w:spacing w:val="-6"/>
          <w:sz w:val="22"/>
        </w:rPr>
        <w:t> </w:t>
      </w:r>
      <w:r>
        <w:rPr>
          <w:sz w:val="22"/>
        </w:rPr>
        <w:t>(how</w:t>
      </w:r>
      <w:r>
        <w:rPr>
          <w:spacing w:val="-8"/>
          <w:sz w:val="22"/>
        </w:rPr>
        <w:t> </w:t>
      </w:r>
      <w:r>
        <w:rPr>
          <w:sz w:val="22"/>
        </w:rPr>
        <w:t>was</w:t>
      </w:r>
      <w:r>
        <w:rPr>
          <w:spacing w:val="-4"/>
          <w:sz w:val="22"/>
        </w:rPr>
        <w:t> </w:t>
      </w:r>
      <w:r>
        <w:rPr>
          <w:sz w:val="22"/>
        </w:rPr>
        <w:t>this</w:t>
      </w:r>
      <w:r>
        <w:rPr>
          <w:spacing w:val="-6"/>
          <w:sz w:val="22"/>
        </w:rPr>
        <w:t> </w:t>
      </w:r>
      <w:r>
        <w:rPr>
          <w:sz w:val="22"/>
        </w:rPr>
        <w:t>CLT</w:t>
      </w:r>
      <w:r>
        <w:rPr>
          <w:spacing w:val="-5"/>
          <w:sz w:val="22"/>
        </w:rPr>
        <w:t> </w:t>
      </w:r>
      <w:r>
        <w:rPr>
          <w:sz w:val="22"/>
        </w:rPr>
        <w:t>organized/formed</w:t>
      </w:r>
      <w:r>
        <w:rPr>
          <w:spacing w:val="-7"/>
          <w:sz w:val="22"/>
        </w:rPr>
        <w:t> </w:t>
      </w:r>
      <w:r>
        <w:rPr>
          <w:sz w:val="22"/>
        </w:rPr>
        <w:t>and</w:t>
      </w:r>
      <w:r>
        <w:rPr>
          <w:spacing w:val="-4"/>
          <w:sz w:val="22"/>
        </w:rPr>
        <w:t> why)</w:t>
      </w:r>
    </w:p>
    <w:p>
      <w:pPr>
        <w:pStyle w:val="ListParagraph"/>
        <w:numPr>
          <w:ilvl w:val="1"/>
          <w:numId w:val="16"/>
        </w:numPr>
        <w:tabs>
          <w:tab w:pos="842" w:val="left" w:leader="none"/>
          <w:tab w:pos="843" w:val="left" w:leader="none"/>
        </w:tabs>
        <w:spacing w:line="268" w:lineRule="exact" w:before="0" w:after="0"/>
        <w:ind w:left="842" w:right="0" w:hanging="361"/>
        <w:jc w:val="left"/>
        <w:rPr>
          <w:rFonts w:ascii="Symbol" w:hAnsi="Symbol"/>
          <w:sz w:val="22"/>
        </w:rPr>
      </w:pPr>
      <w:r>
        <w:rPr>
          <w:sz w:val="22"/>
        </w:rPr>
        <w:t>For</w:t>
      </w:r>
      <w:r>
        <w:rPr>
          <w:spacing w:val="-4"/>
          <w:sz w:val="22"/>
        </w:rPr>
        <w:t> </w:t>
      </w:r>
      <w:r>
        <w:rPr>
          <w:sz w:val="22"/>
        </w:rPr>
        <w:t>re-designation</w:t>
      </w:r>
      <w:r>
        <w:rPr>
          <w:spacing w:val="-4"/>
          <w:sz w:val="22"/>
        </w:rPr>
        <w:t> </w:t>
      </w:r>
      <w:r>
        <w:rPr>
          <w:sz w:val="22"/>
        </w:rPr>
        <w:t>–</w:t>
      </w:r>
      <w:r>
        <w:rPr>
          <w:spacing w:val="-3"/>
          <w:sz w:val="22"/>
        </w:rPr>
        <w:t> </w:t>
      </w:r>
      <w:r>
        <w:rPr>
          <w:sz w:val="22"/>
        </w:rPr>
        <w:t>add</w:t>
      </w:r>
      <w:r>
        <w:rPr>
          <w:spacing w:val="-6"/>
          <w:sz w:val="22"/>
        </w:rPr>
        <w:t> </w:t>
      </w:r>
      <w:r>
        <w:rPr>
          <w:sz w:val="22"/>
        </w:rPr>
        <w:t>any</w:t>
      </w:r>
      <w:r>
        <w:rPr>
          <w:spacing w:val="-2"/>
          <w:sz w:val="22"/>
        </w:rPr>
        <w:t> </w:t>
      </w:r>
      <w:r>
        <w:rPr>
          <w:sz w:val="22"/>
        </w:rPr>
        <w:t>changes</w:t>
      </w:r>
      <w:r>
        <w:rPr>
          <w:spacing w:val="-5"/>
          <w:sz w:val="22"/>
        </w:rPr>
        <w:t> </w:t>
      </w:r>
      <w:r>
        <w:rPr>
          <w:sz w:val="22"/>
        </w:rPr>
        <w:t>to</w:t>
      </w:r>
      <w:r>
        <w:rPr>
          <w:spacing w:val="-5"/>
          <w:sz w:val="22"/>
        </w:rPr>
        <w:t> </w:t>
      </w:r>
      <w:r>
        <w:rPr>
          <w:sz w:val="22"/>
        </w:rPr>
        <w:t>format</w:t>
      </w:r>
      <w:r>
        <w:rPr>
          <w:spacing w:val="-5"/>
          <w:sz w:val="22"/>
        </w:rPr>
        <w:t> </w:t>
      </w:r>
      <w:r>
        <w:rPr>
          <w:sz w:val="22"/>
        </w:rPr>
        <w:t>or</w:t>
      </w:r>
      <w:r>
        <w:rPr>
          <w:spacing w:val="-1"/>
          <w:sz w:val="22"/>
        </w:rPr>
        <w:t> </w:t>
      </w:r>
      <w:r>
        <w:rPr>
          <w:sz w:val="22"/>
        </w:rPr>
        <w:t>structure</w:t>
      </w:r>
      <w:r>
        <w:rPr>
          <w:spacing w:val="-5"/>
          <w:sz w:val="22"/>
        </w:rPr>
        <w:t> </w:t>
      </w:r>
      <w:r>
        <w:rPr>
          <w:sz w:val="22"/>
        </w:rPr>
        <w:t>of</w:t>
      </w:r>
      <w:r>
        <w:rPr>
          <w:spacing w:val="-6"/>
          <w:sz w:val="22"/>
        </w:rPr>
        <w:t> </w:t>
      </w:r>
      <w:r>
        <w:rPr>
          <w:sz w:val="22"/>
        </w:rPr>
        <w:t>the</w:t>
      </w:r>
      <w:r>
        <w:rPr>
          <w:spacing w:val="-3"/>
          <w:sz w:val="22"/>
        </w:rPr>
        <w:t> </w:t>
      </w:r>
      <w:r>
        <w:rPr>
          <w:spacing w:val="-2"/>
          <w:sz w:val="22"/>
        </w:rPr>
        <w:t>organization;</w:t>
      </w:r>
    </w:p>
    <w:p>
      <w:pPr>
        <w:pStyle w:val="ListParagraph"/>
        <w:numPr>
          <w:ilvl w:val="1"/>
          <w:numId w:val="16"/>
        </w:numPr>
        <w:tabs>
          <w:tab w:pos="843" w:val="left" w:leader="none"/>
          <w:tab w:pos="844" w:val="left" w:leader="none"/>
        </w:tabs>
        <w:spacing w:line="269" w:lineRule="exact" w:before="0" w:after="0"/>
        <w:ind w:left="843" w:right="0" w:hanging="361"/>
        <w:jc w:val="left"/>
        <w:rPr>
          <w:rFonts w:ascii="Symbol" w:hAnsi="Symbol"/>
          <w:sz w:val="22"/>
        </w:rPr>
      </w:pPr>
      <w:r>
        <w:rPr>
          <w:sz w:val="22"/>
        </w:rPr>
        <w:t>Definition</w:t>
      </w:r>
      <w:r>
        <w:rPr>
          <w:spacing w:val="-6"/>
          <w:sz w:val="22"/>
        </w:rPr>
        <w:t> </w:t>
      </w:r>
      <w:r>
        <w:rPr>
          <w:sz w:val="22"/>
        </w:rPr>
        <w:t>of</w:t>
      </w:r>
      <w:r>
        <w:rPr>
          <w:spacing w:val="-6"/>
          <w:sz w:val="22"/>
        </w:rPr>
        <w:t> </w:t>
      </w:r>
      <w:r>
        <w:rPr>
          <w:sz w:val="22"/>
        </w:rPr>
        <w:t>“Community”</w:t>
      </w:r>
      <w:r>
        <w:rPr>
          <w:spacing w:val="-4"/>
          <w:sz w:val="22"/>
        </w:rPr>
        <w:t> </w:t>
      </w:r>
      <w:r>
        <w:rPr>
          <w:sz w:val="22"/>
        </w:rPr>
        <w:t>in</w:t>
      </w:r>
      <w:r>
        <w:rPr>
          <w:spacing w:val="-7"/>
          <w:sz w:val="22"/>
        </w:rPr>
        <w:t> </w:t>
      </w:r>
      <w:r>
        <w:rPr>
          <w:sz w:val="22"/>
        </w:rPr>
        <w:t>the</w:t>
      </w:r>
      <w:r>
        <w:rPr>
          <w:spacing w:val="-5"/>
          <w:sz w:val="22"/>
        </w:rPr>
        <w:t> </w:t>
      </w:r>
      <w:r>
        <w:rPr>
          <w:sz w:val="22"/>
        </w:rPr>
        <w:t>Community</w:t>
      </w:r>
      <w:r>
        <w:rPr>
          <w:spacing w:val="-4"/>
          <w:sz w:val="22"/>
        </w:rPr>
        <w:t> </w:t>
      </w:r>
      <w:r>
        <w:rPr>
          <w:sz w:val="22"/>
        </w:rPr>
        <w:t>Land</w:t>
      </w:r>
      <w:r>
        <w:rPr>
          <w:spacing w:val="-7"/>
          <w:sz w:val="22"/>
        </w:rPr>
        <w:t> </w:t>
      </w:r>
      <w:r>
        <w:rPr>
          <w:spacing w:val="-2"/>
          <w:sz w:val="22"/>
        </w:rPr>
        <w:t>Trust;</w:t>
      </w:r>
    </w:p>
    <w:p>
      <w:pPr>
        <w:pStyle w:val="ListParagraph"/>
        <w:numPr>
          <w:ilvl w:val="1"/>
          <w:numId w:val="16"/>
        </w:numPr>
        <w:tabs>
          <w:tab w:pos="843" w:val="left" w:leader="none"/>
          <w:tab w:pos="844" w:val="left" w:leader="none"/>
        </w:tabs>
        <w:spacing w:line="268" w:lineRule="exact" w:before="0" w:after="0"/>
        <w:ind w:left="843" w:right="0" w:hanging="361"/>
        <w:jc w:val="left"/>
        <w:rPr>
          <w:rFonts w:ascii="Symbol" w:hAnsi="Symbol"/>
          <w:sz w:val="22"/>
        </w:rPr>
      </w:pPr>
      <w:r>
        <w:rPr>
          <w:sz w:val="22"/>
        </w:rPr>
        <w:t>If</w:t>
      </w:r>
      <w:r>
        <w:rPr>
          <w:spacing w:val="-8"/>
          <w:sz w:val="22"/>
        </w:rPr>
        <w:t> </w:t>
      </w:r>
      <w:r>
        <w:rPr>
          <w:sz w:val="22"/>
        </w:rPr>
        <w:t>geographically</w:t>
      </w:r>
      <w:r>
        <w:rPr>
          <w:spacing w:val="-4"/>
          <w:sz w:val="22"/>
        </w:rPr>
        <w:t> </w:t>
      </w:r>
      <w:r>
        <w:rPr>
          <w:sz w:val="22"/>
        </w:rPr>
        <w:t>based</w:t>
      </w:r>
      <w:r>
        <w:rPr>
          <w:spacing w:val="-9"/>
          <w:sz w:val="22"/>
        </w:rPr>
        <w:t> </w:t>
      </w:r>
      <w:r>
        <w:rPr>
          <w:sz w:val="22"/>
        </w:rPr>
        <w:t>within</w:t>
      </w:r>
      <w:r>
        <w:rPr>
          <w:spacing w:val="-5"/>
          <w:sz w:val="22"/>
        </w:rPr>
        <w:t> </w:t>
      </w:r>
      <w:r>
        <w:rPr>
          <w:sz w:val="22"/>
        </w:rPr>
        <w:t>an</w:t>
      </w:r>
      <w:r>
        <w:rPr>
          <w:spacing w:val="-6"/>
          <w:sz w:val="22"/>
        </w:rPr>
        <w:t> </w:t>
      </w:r>
      <w:r>
        <w:rPr>
          <w:sz w:val="22"/>
        </w:rPr>
        <w:t>area,</w:t>
      </w:r>
      <w:r>
        <w:rPr>
          <w:spacing w:val="-6"/>
          <w:sz w:val="22"/>
        </w:rPr>
        <w:t> </w:t>
      </w:r>
      <w:r>
        <w:rPr>
          <w:sz w:val="22"/>
        </w:rPr>
        <w:t>the</w:t>
      </w:r>
      <w:r>
        <w:rPr>
          <w:spacing w:val="-5"/>
          <w:sz w:val="22"/>
        </w:rPr>
        <w:t> </w:t>
      </w:r>
      <w:r>
        <w:rPr>
          <w:sz w:val="22"/>
        </w:rPr>
        <w:t>geographic</w:t>
      </w:r>
      <w:r>
        <w:rPr>
          <w:spacing w:val="-4"/>
          <w:sz w:val="22"/>
        </w:rPr>
        <w:t> </w:t>
      </w:r>
      <w:r>
        <w:rPr>
          <w:spacing w:val="-2"/>
          <w:sz w:val="22"/>
        </w:rPr>
        <w:t>boundaries;</w:t>
      </w:r>
    </w:p>
    <w:p>
      <w:pPr>
        <w:pStyle w:val="ListParagraph"/>
        <w:numPr>
          <w:ilvl w:val="1"/>
          <w:numId w:val="16"/>
        </w:numPr>
        <w:tabs>
          <w:tab w:pos="843" w:val="left" w:leader="none"/>
          <w:tab w:pos="844" w:val="left" w:leader="none"/>
        </w:tabs>
        <w:spacing w:line="268" w:lineRule="exact" w:before="0" w:after="0"/>
        <w:ind w:left="843" w:right="0" w:hanging="361"/>
        <w:jc w:val="left"/>
        <w:rPr>
          <w:rFonts w:ascii="Symbol" w:hAnsi="Symbol"/>
          <w:sz w:val="22"/>
        </w:rPr>
      </w:pPr>
      <w:r>
        <w:rPr>
          <w:sz w:val="22"/>
        </w:rPr>
        <w:t>Number</w:t>
      </w:r>
      <w:r>
        <w:rPr>
          <w:spacing w:val="-3"/>
          <w:sz w:val="22"/>
        </w:rPr>
        <w:t> </w:t>
      </w:r>
      <w:r>
        <w:rPr>
          <w:sz w:val="22"/>
        </w:rPr>
        <w:t>of</w:t>
      </w:r>
      <w:r>
        <w:rPr>
          <w:spacing w:val="-4"/>
          <w:sz w:val="22"/>
        </w:rPr>
        <w:t> </w:t>
      </w:r>
      <w:r>
        <w:rPr>
          <w:sz w:val="22"/>
        </w:rPr>
        <w:t>units</w:t>
      </w:r>
      <w:r>
        <w:rPr>
          <w:spacing w:val="-4"/>
          <w:sz w:val="22"/>
        </w:rPr>
        <w:t> </w:t>
      </w:r>
      <w:r>
        <w:rPr>
          <w:sz w:val="22"/>
        </w:rPr>
        <w:t>placed</w:t>
      </w:r>
      <w:r>
        <w:rPr>
          <w:spacing w:val="-6"/>
          <w:sz w:val="22"/>
        </w:rPr>
        <w:t> </w:t>
      </w:r>
      <w:r>
        <w:rPr>
          <w:sz w:val="22"/>
        </w:rPr>
        <w:t>in</w:t>
      </w:r>
      <w:r>
        <w:rPr>
          <w:spacing w:val="-4"/>
          <w:sz w:val="22"/>
        </w:rPr>
        <w:t> </w:t>
      </w:r>
      <w:r>
        <w:rPr>
          <w:sz w:val="22"/>
        </w:rPr>
        <w:t>CLT</w:t>
      </w:r>
      <w:r>
        <w:rPr>
          <w:spacing w:val="-5"/>
          <w:sz w:val="22"/>
        </w:rPr>
        <w:t> </w:t>
      </w:r>
      <w:r>
        <w:rPr>
          <w:sz w:val="22"/>
        </w:rPr>
        <w:t>annually</w:t>
      </w:r>
      <w:r>
        <w:rPr>
          <w:spacing w:val="-3"/>
          <w:sz w:val="22"/>
        </w:rPr>
        <w:t> </w:t>
      </w:r>
      <w:r>
        <w:rPr>
          <w:sz w:val="22"/>
        </w:rPr>
        <w:t>since</w:t>
      </w:r>
      <w:r>
        <w:rPr>
          <w:spacing w:val="-4"/>
          <w:sz w:val="22"/>
        </w:rPr>
        <w:t> </w:t>
      </w:r>
      <w:r>
        <w:rPr>
          <w:spacing w:val="-2"/>
          <w:sz w:val="22"/>
        </w:rPr>
        <w:t>inception;</w:t>
      </w:r>
    </w:p>
    <w:p>
      <w:pPr>
        <w:pStyle w:val="ListParagraph"/>
        <w:numPr>
          <w:ilvl w:val="1"/>
          <w:numId w:val="16"/>
        </w:numPr>
        <w:tabs>
          <w:tab w:pos="843" w:val="left" w:leader="none"/>
          <w:tab w:pos="844" w:val="left" w:leader="none"/>
        </w:tabs>
        <w:spacing w:line="268" w:lineRule="exact" w:before="0" w:after="0"/>
        <w:ind w:left="843" w:right="0" w:hanging="361"/>
        <w:jc w:val="left"/>
        <w:rPr>
          <w:rFonts w:ascii="Symbol" w:hAnsi="Symbol"/>
          <w:sz w:val="22"/>
        </w:rPr>
      </w:pPr>
      <w:r>
        <w:rPr>
          <w:sz w:val="22"/>
        </w:rPr>
        <w:t>Number</w:t>
      </w:r>
      <w:r>
        <w:rPr>
          <w:spacing w:val="-4"/>
          <w:sz w:val="22"/>
        </w:rPr>
        <w:t> </w:t>
      </w:r>
      <w:r>
        <w:rPr>
          <w:sz w:val="22"/>
        </w:rPr>
        <w:t>of</w:t>
      </w:r>
      <w:r>
        <w:rPr>
          <w:spacing w:val="-4"/>
          <w:sz w:val="22"/>
        </w:rPr>
        <w:t> </w:t>
      </w:r>
      <w:r>
        <w:rPr>
          <w:sz w:val="22"/>
        </w:rPr>
        <w:t>units</w:t>
      </w:r>
      <w:r>
        <w:rPr>
          <w:spacing w:val="-3"/>
          <w:sz w:val="22"/>
        </w:rPr>
        <w:t> </w:t>
      </w:r>
      <w:r>
        <w:rPr>
          <w:sz w:val="22"/>
        </w:rPr>
        <w:t>anticipated</w:t>
      </w:r>
      <w:r>
        <w:rPr>
          <w:spacing w:val="-3"/>
          <w:sz w:val="22"/>
        </w:rPr>
        <w:t> </w:t>
      </w:r>
      <w:r>
        <w:rPr>
          <w:sz w:val="22"/>
        </w:rPr>
        <w:t>to</w:t>
      </w:r>
      <w:r>
        <w:rPr>
          <w:spacing w:val="-6"/>
          <w:sz w:val="22"/>
        </w:rPr>
        <w:t> </w:t>
      </w:r>
      <w:r>
        <w:rPr>
          <w:sz w:val="22"/>
        </w:rPr>
        <w:t>be</w:t>
      </w:r>
      <w:r>
        <w:rPr>
          <w:spacing w:val="-3"/>
          <w:sz w:val="22"/>
        </w:rPr>
        <w:t> </w:t>
      </w:r>
      <w:r>
        <w:rPr>
          <w:sz w:val="22"/>
        </w:rPr>
        <w:t>placed</w:t>
      </w:r>
      <w:r>
        <w:rPr>
          <w:spacing w:val="-5"/>
          <w:sz w:val="22"/>
        </w:rPr>
        <w:t> </w:t>
      </w:r>
      <w:r>
        <w:rPr>
          <w:sz w:val="22"/>
        </w:rPr>
        <w:t>in</w:t>
      </w:r>
      <w:r>
        <w:rPr>
          <w:spacing w:val="-4"/>
          <w:sz w:val="22"/>
        </w:rPr>
        <w:t> </w:t>
      </w:r>
      <w:r>
        <w:rPr>
          <w:sz w:val="22"/>
        </w:rPr>
        <w:t>the</w:t>
      </w:r>
      <w:r>
        <w:rPr>
          <w:spacing w:val="-5"/>
          <w:sz w:val="22"/>
        </w:rPr>
        <w:t> </w:t>
      </w:r>
      <w:r>
        <w:rPr>
          <w:sz w:val="22"/>
        </w:rPr>
        <w:t>CLT</w:t>
      </w:r>
      <w:r>
        <w:rPr>
          <w:spacing w:val="-4"/>
          <w:sz w:val="22"/>
        </w:rPr>
        <w:t> </w:t>
      </w:r>
      <w:r>
        <w:rPr>
          <w:sz w:val="22"/>
        </w:rPr>
        <w:t>annually</w:t>
      </w:r>
      <w:r>
        <w:rPr>
          <w:spacing w:val="-2"/>
          <w:sz w:val="22"/>
        </w:rPr>
        <w:t> </w:t>
      </w:r>
      <w:r>
        <w:rPr>
          <w:sz w:val="22"/>
        </w:rPr>
        <w:t>over</w:t>
      </w:r>
      <w:r>
        <w:rPr>
          <w:spacing w:val="-5"/>
          <w:sz w:val="22"/>
        </w:rPr>
        <w:t> </w:t>
      </w:r>
      <w:r>
        <w:rPr>
          <w:sz w:val="22"/>
        </w:rPr>
        <w:t>the</w:t>
      </w:r>
      <w:r>
        <w:rPr>
          <w:spacing w:val="-5"/>
          <w:sz w:val="22"/>
        </w:rPr>
        <w:t> </w:t>
      </w:r>
      <w:r>
        <w:rPr>
          <w:sz w:val="22"/>
        </w:rPr>
        <w:t>next</w:t>
      </w:r>
      <w:r>
        <w:rPr>
          <w:spacing w:val="-5"/>
          <w:sz w:val="22"/>
        </w:rPr>
        <w:t> </w:t>
      </w:r>
      <w:r>
        <w:rPr>
          <w:sz w:val="22"/>
        </w:rPr>
        <w:t>three</w:t>
      </w:r>
      <w:r>
        <w:rPr>
          <w:spacing w:val="-5"/>
          <w:sz w:val="22"/>
        </w:rPr>
        <w:t> </w:t>
      </w:r>
      <w:r>
        <w:rPr>
          <w:spacing w:val="-2"/>
          <w:sz w:val="22"/>
        </w:rPr>
        <w:t>years;</w:t>
      </w:r>
    </w:p>
    <w:p>
      <w:pPr>
        <w:pStyle w:val="ListParagraph"/>
        <w:numPr>
          <w:ilvl w:val="1"/>
          <w:numId w:val="16"/>
        </w:numPr>
        <w:tabs>
          <w:tab w:pos="843" w:val="left" w:leader="none"/>
          <w:tab w:pos="844" w:val="left" w:leader="none"/>
        </w:tabs>
        <w:spacing w:line="268" w:lineRule="exact" w:before="0" w:after="0"/>
        <w:ind w:left="843" w:right="0" w:hanging="361"/>
        <w:jc w:val="left"/>
        <w:rPr>
          <w:rFonts w:ascii="Symbol" w:hAnsi="Symbol"/>
          <w:sz w:val="22"/>
        </w:rPr>
      </w:pPr>
      <w:r>
        <w:rPr>
          <w:sz w:val="22"/>
        </w:rPr>
        <w:t>Number</w:t>
      </w:r>
      <w:r>
        <w:rPr>
          <w:spacing w:val="-4"/>
          <w:sz w:val="22"/>
        </w:rPr>
        <w:t> </w:t>
      </w:r>
      <w:r>
        <w:rPr>
          <w:sz w:val="22"/>
        </w:rPr>
        <w:t>of</w:t>
      </w:r>
      <w:r>
        <w:rPr>
          <w:spacing w:val="-5"/>
          <w:sz w:val="22"/>
        </w:rPr>
        <w:t> </w:t>
      </w:r>
      <w:r>
        <w:rPr>
          <w:sz w:val="22"/>
        </w:rPr>
        <w:t>families</w:t>
      </w:r>
      <w:r>
        <w:rPr>
          <w:spacing w:val="-4"/>
          <w:sz w:val="22"/>
        </w:rPr>
        <w:t> </w:t>
      </w:r>
      <w:r>
        <w:rPr>
          <w:sz w:val="22"/>
        </w:rPr>
        <w:t>served</w:t>
      </w:r>
      <w:r>
        <w:rPr>
          <w:spacing w:val="-5"/>
          <w:sz w:val="22"/>
        </w:rPr>
        <w:t> </w:t>
      </w:r>
      <w:r>
        <w:rPr>
          <w:sz w:val="22"/>
        </w:rPr>
        <w:t>since</w:t>
      </w:r>
      <w:r>
        <w:rPr>
          <w:spacing w:val="-4"/>
          <w:sz w:val="22"/>
        </w:rPr>
        <w:t> </w:t>
      </w:r>
      <w:r>
        <w:rPr>
          <w:spacing w:val="-2"/>
          <w:sz w:val="22"/>
        </w:rPr>
        <w:t>inception;</w:t>
      </w:r>
    </w:p>
    <w:p>
      <w:pPr>
        <w:pStyle w:val="ListParagraph"/>
        <w:numPr>
          <w:ilvl w:val="1"/>
          <w:numId w:val="16"/>
        </w:numPr>
        <w:tabs>
          <w:tab w:pos="843" w:val="left" w:leader="none"/>
          <w:tab w:pos="845" w:val="left" w:leader="none"/>
        </w:tabs>
        <w:spacing w:line="268" w:lineRule="exact" w:before="0" w:after="0"/>
        <w:ind w:left="844" w:right="0" w:hanging="362"/>
        <w:jc w:val="left"/>
        <w:rPr>
          <w:rFonts w:ascii="Symbol" w:hAnsi="Symbol"/>
          <w:sz w:val="22"/>
        </w:rPr>
      </w:pPr>
      <w:r>
        <w:rPr>
          <w:sz w:val="22"/>
        </w:rPr>
        <w:t>AMI</w:t>
      </w:r>
      <w:r>
        <w:rPr>
          <w:spacing w:val="-6"/>
          <w:sz w:val="22"/>
        </w:rPr>
        <w:t> </w:t>
      </w:r>
      <w:r>
        <w:rPr>
          <w:sz w:val="22"/>
        </w:rPr>
        <w:t>of</w:t>
      </w:r>
      <w:r>
        <w:rPr>
          <w:spacing w:val="-4"/>
          <w:sz w:val="22"/>
        </w:rPr>
        <w:t> </w:t>
      </w:r>
      <w:r>
        <w:rPr>
          <w:sz w:val="22"/>
        </w:rPr>
        <w:t>families</w:t>
      </w:r>
      <w:r>
        <w:rPr>
          <w:spacing w:val="-2"/>
          <w:sz w:val="22"/>
        </w:rPr>
        <w:t> </w:t>
      </w:r>
      <w:r>
        <w:rPr>
          <w:sz w:val="22"/>
        </w:rPr>
        <w:t>in</w:t>
      </w:r>
      <w:r>
        <w:rPr>
          <w:spacing w:val="-3"/>
          <w:sz w:val="22"/>
        </w:rPr>
        <w:t> </w:t>
      </w:r>
      <w:r>
        <w:rPr>
          <w:sz w:val="22"/>
        </w:rPr>
        <w:t>homes</w:t>
      </w:r>
      <w:r>
        <w:rPr>
          <w:spacing w:val="-5"/>
          <w:sz w:val="22"/>
        </w:rPr>
        <w:t> </w:t>
      </w:r>
      <w:r>
        <w:rPr>
          <w:sz w:val="22"/>
        </w:rPr>
        <w:t>on</w:t>
      </w:r>
      <w:r>
        <w:rPr>
          <w:spacing w:val="-3"/>
          <w:sz w:val="22"/>
        </w:rPr>
        <w:t> </w:t>
      </w:r>
      <w:r>
        <w:rPr>
          <w:sz w:val="22"/>
        </w:rPr>
        <w:t>CLT-owned</w:t>
      </w:r>
      <w:r>
        <w:rPr>
          <w:spacing w:val="-5"/>
          <w:sz w:val="22"/>
        </w:rPr>
        <w:t> </w:t>
      </w:r>
      <w:r>
        <w:rPr>
          <w:sz w:val="22"/>
        </w:rPr>
        <w:t>land</w:t>
      </w:r>
      <w:r>
        <w:rPr>
          <w:spacing w:val="-3"/>
          <w:sz w:val="22"/>
        </w:rPr>
        <w:t> </w:t>
      </w:r>
      <w:r>
        <w:rPr>
          <w:sz w:val="22"/>
        </w:rPr>
        <w:t>at</w:t>
      </w:r>
      <w:r>
        <w:rPr>
          <w:spacing w:val="-4"/>
          <w:sz w:val="22"/>
        </w:rPr>
        <w:t> </w:t>
      </w:r>
      <w:r>
        <w:rPr>
          <w:sz w:val="22"/>
        </w:rPr>
        <w:t>time</w:t>
      </w:r>
      <w:r>
        <w:rPr>
          <w:spacing w:val="-3"/>
          <w:sz w:val="22"/>
        </w:rPr>
        <w:t> </w:t>
      </w:r>
      <w:r>
        <w:rPr>
          <w:sz w:val="22"/>
        </w:rPr>
        <w:t>of</w:t>
      </w:r>
      <w:r>
        <w:rPr>
          <w:spacing w:val="-1"/>
          <w:sz w:val="22"/>
        </w:rPr>
        <w:t> </w:t>
      </w:r>
      <w:r>
        <w:rPr>
          <w:sz w:val="22"/>
        </w:rPr>
        <w:t>sale</w:t>
      </w:r>
      <w:r>
        <w:rPr>
          <w:spacing w:val="-5"/>
          <w:sz w:val="22"/>
        </w:rPr>
        <w:t> </w:t>
      </w:r>
      <w:r>
        <w:rPr>
          <w:sz w:val="22"/>
        </w:rPr>
        <w:t>or</w:t>
      </w:r>
      <w:r>
        <w:rPr>
          <w:spacing w:val="-4"/>
          <w:sz w:val="22"/>
        </w:rPr>
        <w:t> </w:t>
      </w:r>
      <w:r>
        <w:rPr>
          <w:spacing w:val="-2"/>
          <w:sz w:val="22"/>
        </w:rPr>
        <w:t>transfer;</w:t>
      </w:r>
    </w:p>
    <w:p>
      <w:pPr>
        <w:pStyle w:val="ListParagraph"/>
        <w:numPr>
          <w:ilvl w:val="1"/>
          <w:numId w:val="16"/>
        </w:numPr>
        <w:tabs>
          <w:tab w:pos="844" w:val="left" w:leader="none"/>
          <w:tab w:pos="845" w:val="left" w:leader="none"/>
        </w:tabs>
        <w:spacing w:line="268" w:lineRule="exact" w:before="0" w:after="0"/>
        <w:ind w:left="844" w:right="0" w:hanging="361"/>
        <w:jc w:val="left"/>
        <w:rPr>
          <w:rFonts w:ascii="Symbol" w:hAnsi="Symbol"/>
          <w:sz w:val="22"/>
        </w:rPr>
      </w:pPr>
      <w:r>
        <w:rPr>
          <w:sz w:val="22"/>
        </w:rPr>
        <w:t>Demographic</w:t>
      </w:r>
      <w:r>
        <w:rPr>
          <w:spacing w:val="-8"/>
          <w:sz w:val="22"/>
        </w:rPr>
        <w:t> </w:t>
      </w:r>
      <w:r>
        <w:rPr>
          <w:sz w:val="22"/>
        </w:rPr>
        <w:t>data</w:t>
      </w:r>
      <w:r>
        <w:rPr>
          <w:spacing w:val="-7"/>
          <w:sz w:val="22"/>
        </w:rPr>
        <w:t> </w:t>
      </w:r>
      <w:r>
        <w:rPr>
          <w:sz w:val="22"/>
        </w:rPr>
        <w:t>on</w:t>
      </w:r>
      <w:r>
        <w:rPr>
          <w:spacing w:val="-10"/>
          <w:sz w:val="22"/>
        </w:rPr>
        <w:t> </w:t>
      </w:r>
      <w:r>
        <w:rPr>
          <w:sz w:val="22"/>
        </w:rPr>
        <w:t>family,</w:t>
      </w:r>
      <w:r>
        <w:rPr>
          <w:spacing w:val="-4"/>
          <w:sz w:val="22"/>
        </w:rPr>
        <w:t> </w:t>
      </w:r>
      <w:r>
        <w:rPr>
          <w:sz w:val="22"/>
        </w:rPr>
        <w:t>household</w:t>
      </w:r>
      <w:r>
        <w:rPr>
          <w:spacing w:val="-8"/>
          <w:sz w:val="22"/>
        </w:rPr>
        <w:t> </w:t>
      </w:r>
      <w:r>
        <w:rPr>
          <w:sz w:val="22"/>
        </w:rPr>
        <w:t>size,</w:t>
      </w:r>
      <w:r>
        <w:rPr>
          <w:spacing w:val="-8"/>
          <w:sz w:val="22"/>
        </w:rPr>
        <w:t> </w:t>
      </w:r>
      <w:r>
        <w:rPr>
          <w:sz w:val="22"/>
        </w:rPr>
        <w:t>race/ethnicity,</w:t>
      </w:r>
      <w:r>
        <w:rPr>
          <w:spacing w:val="-4"/>
          <w:sz w:val="22"/>
        </w:rPr>
        <w:t> </w:t>
      </w:r>
      <w:r>
        <w:rPr>
          <w:spacing w:val="-2"/>
          <w:sz w:val="22"/>
        </w:rPr>
        <w:t>etc.;</w:t>
      </w:r>
    </w:p>
    <w:p>
      <w:pPr>
        <w:pStyle w:val="ListParagraph"/>
        <w:numPr>
          <w:ilvl w:val="1"/>
          <w:numId w:val="16"/>
        </w:numPr>
        <w:tabs>
          <w:tab w:pos="844" w:val="left" w:leader="none"/>
          <w:tab w:pos="845" w:val="left" w:leader="none"/>
        </w:tabs>
        <w:spacing w:line="237" w:lineRule="auto" w:before="2" w:after="0"/>
        <w:ind w:left="844" w:right="151" w:hanging="361"/>
        <w:jc w:val="left"/>
        <w:rPr>
          <w:rFonts w:ascii="Symbol" w:hAnsi="Symbol"/>
          <w:sz w:val="22"/>
        </w:rPr>
      </w:pPr>
      <w:r>
        <w:rPr>
          <w:sz w:val="22"/>
        </w:rPr>
        <w:t>Total</w:t>
      </w:r>
      <w:r>
        <w:rPr>
          <w:spacing w:val="-1"/>
          <w:sz w:val="22"/>
        </w:rPr>
        <w:t> </w:t>
      </w:r>
      <w:r>
        <w:rPr>
          <w:sz w:val="22"/>
        </w:rPr>
        <w:t>acreage</w:t>
      </w:r>
      <w:r>
        <w:rPr>
          <w:spacing w:val="-3"/>
          <w:sz w:val="22"/>
        </w:rPr>
        <w:t> </w:t>
      </w:r>
      <w:r>
        <w:rPr>
          <w:sz w:val="22"/>
        </w:rPr>
        <w:t>of</w:t>
      </w:r>
      <w:r>
        <w:rPr>
          <w:spacing w:val="-1"/>
          <w:sz w:val="22"/>
        </w:rPr>
        <w:t> </w:t>
      </w:r>
      <w:r>
        <w:rPr>
          <w:sz w:val="22"/>
        </w:rPr>
        <w:t>property in</w:t>
      </w:r>
      <w:r>
        <w:rPr>
          <w:spacing w:val="-3"/>
          <w:sz w:val="22"/>
        </w:rPr>
        <w:t> </w:t>
      </w:r>
      <w:r>
        <w:rPr>
          <w:sz w:val="22"/>
        </w:rPr>
        <w:t>CLT designated</w:t>
      </w:r>
      <w:r>
        <w:rPr>
          <w:spacing w:val="-3"/>
          <w:sz w:val="22"/>
        </w:rPr>
        <w:t> </w:t>
      </w:r>
      <w:r>
        <w:rPr>
          <w:sz w:val="22"/>
        </w:rPr>
        <w:t>by</w:t>
      </w:r>
      <w:r>
        <w:rPr>
          <w:spacing w:val="-2"/>
          <w:sz w:val="22"/>
        </w:rPr>
        <w:t> </w:t>
      </w:r>
      <w:r>
        <w:rPr>
          <w:sz w:val="22"/>
        </w:rPr>
        <w:t>land use</w:t>
      </w:r>
      <w:r>
        <w:rPr>
          <w:spacing w:val="-5"/>
          <w:sz w:val="22"/>
        </w:rPr>
        <w:t> </w:t>
      </w:r>
      <w:r>
        <w:rPr>
          <w:sz w:val="22"/>
        </w:rPr>
        <w:t>type</w:t>
      </w:r>
      <w:r>
        <w:rPr>
          <w:spacing w:val="-3"/>
          <w:sz w:val="22"/>
        </w:rPr>
        <w:t> </w:t>
      </w:r>
      <w:r>
        <w:rPr>
          <w:sz w:val="22"/>
        </w:rPr>
        <w:t>(single</w:t>
      </w:r>
      <w:r>
        <w:rPr>
          <w:spacing w:val="-3"/>
          <w:sz w:val="22"/>
        </w:rPr>
        <w:t> </w:t>
      </w:r>
      <w:r>
        <w:rPr>
          <w:sz w:val="22"/>
        </w:rPr>
        <w:t>family, commercial, multi family, etc.);</w:t>
      </w:r>
    </w:p>
    <w:p>
      <w:pPr>
        <w:spacing w:after="0" w:line="237" w:lineRule="auto"/>
        <w:jc w:val="left"/>
        <w:rPr>
          <w:rFonts w:ascii="Symbol" w:hAnsi="Symbol"/>
          <w:sz w:val="22"/>
        </w:rPr>
        <w:sectPr>
          <w:pgSz w:w="12240" w:h="15840"/>
          <w:pgMar w:header="0" w:footer="1176" w:top="1360" w:bottom="1420" w:left="1320" w:right="1280"/>
        </w:sectPr>
      </w:pPr>
    </w:p>
    <w:p>
      <w:pPr>
        <w:pStyle w:val="ListParagraph"/>
        <w:numPr>
          <w:ilvl w:val="1"/>
          <w:numId w:val="16"/>
        </w:numPr>
        <w:tabs>
          <w:tab w:pos="841" w:val="left" w:leader="none"/>
        </w:tabs>
        <w:spacing w:line="237" w:lineRule="auto" w:before="84" w:after="0"/>
        <w:ind w:left="840" w:right="160" w:hanging="361"/>
        <w:jc w:val="both"/>
        <w:rPr>
          <w:rFonts w:ascii="Symbol" w:hAnsi="Symbol"/>
          <w:sz w:val="22"/>
        </w:rPr>
      </w:pPr>
      <w:r>
        <w:rPr>
          <w:sz w:val="22"/>
        </w:rPr>
        <w:t>Market</w:t>
      </w:r>
      <w:r>
        <w:rPr>
          <w:spacing w:val="-5"/>
          <w:sz w:val="22"/>
        </w:rPr>
        <w:t> </w:t>
      </w:r>
      <w:r>
        <w:rPr>
          <w:sz w:val="22"/>
        </w:rPr>
        <w:t>Value</w:t>
      </w:r>
      <w:r>
        <w:rPr>
          <w:spacing w:val="-6"/>
          <w:sz w:val="22"/>
        </w:rPr>
        <w:t> </w:t>
      </w:r>
      <w:r>
        <w:rPr>
          <w:sz w:val="22"/>
        </w:rPr>
        <w:t>Assessment</w:t>
      </w:r>
      <w:r>
        <w:rPr>
          <w:spacing w:val="-5"/>
          <w:sz w:val="22"/>
        </w:rPr>
        <w:t> </w:t>
      </w:r>
      <w:r>
        <w:rPr>
          <w:sz w:val="22"/>
        </w:rPr>
        <w:t>(MVA)</w:t>
      </w:r>
      <w:r>
        <w:rPr>
          <w:spacing w:val="-5"/>
          <w:sz w:val="22"/>
        </w:rPr>
        <w:t> </w:t>
      </w:r>
      <w:r>
        <w:rPr>
          <w:sz w:val="22"/>
        </w:rPr>
        <w:t>category</w:t>
      </w:r>
      <w:r>
        <w:rPr>
          <w:spacing w:val="-6"/>
          <w:sz w:val="22"/>
        </w:rPr>
        <w:t> </w:t>
      </w:r>
      <w:r>
        <w:rPr>
          <w:sz w:val="22"/>
        </w:rPr>
        <w:t>or</w:t>
      </w:r>
      <w:r>
        <w:rPr>
          <w:spacing w:val="-5"/>
          <w:sz w:val="22"/>
        </w:rPr>
        <w:t> </w:t>
      </w:r>
      <w:r>
        <w:rPr>
          <w:sz w:val="22"/>
        </w:rPr>
        <w:t>other</w:t>
      </w:r>
      <w:r>
        <w:rPr>
          <w:spacing w:val="-5"/>
          <w:sz w:val="22"/>
        </w:rPr>
        <w:t> </w:t>
      </w:r>
      <w:r>
        <w:rPr>
          <w:sz w:val="22"/>
        </w:rPr>
        <w:t>document</w:t>
      </w:r>
      <w:r>
        <w:rPr>
          <w:spacing w:val="-7"/>
          <w:sz w:val="22"/>
        </w:rPr>
        <w:t> </w:t>
      </w:r>
      <w:r>
        <w:rPr>
          <w:sz w:val="22"/>
        </w:rPr>
        <w:t>that</w:t>
      </w:r>
      <w:r>
        <w:rPr>
          <w:spacing w:val="-7"/>
          <w:sz w:val="22"/>
        </w:rPr>
        <w:t> </w:t>
      </w:r>
      <w:r>
        <w:rPr>
          <w:sz w:val="22"/>
        </w:rPr>
        <w:t>shows</w:t>
      </w:r>
      <w:r>
        <w:rPr>
          <w:spacing w:val="-8"/>
          <w:sz w:val="22"/>
        </w:rPr>
        <w:t> </w:t>
      </w:r>
      <w:r>
        <w:rPr>
          <w:sz w:val="22"/>
        </w:rPr>
        <w:t>market</w:t>
      </w:r>
      <w:r>
        <w:rPr>
          <w:spacing w:val="-5"/>
          <w:sz w:val="22"/>
        </w:rPr>
        <w:t> </w:t>
      </w:r>
      <w:r>
        <w:rPr>
          <w:sz w:val="22"/>
        </w:rPr>
        <w:t>realities and how ground lease responds to market conditions; and</w:t>
      </w:r>
    </w:p>
    <w:p>
      <w:pPr>
        <w:pStyle w:val="ListParagraph"/>
        <w:numPr>
          <w:ilvl w:val="1"/>
          <w:numId w:val="16"/>
        </w:numPr>
        <w:tabs>
          <w:tab w:pos="841" w:val="left" w:leader="none"/>
        </w:tabs>
        <w:spacing w:line="237" w:lineRule="auto" w:before="3" w:after="0"/>
        <w:ind w:left="840" w:right="155" w:hanging="361"/>
        <w:jc w:val="both"/>
        <w:rPr>
          <w:rFonts w:ascii="Symbol" w:hAnsi="Symbol"/>
          <w:sz w:val="22"/>
        </w:rPr>
      </w:pPr>
      <w:r>
        <w:rPr>
          <w:sz w:val="22"/>
        </w:rPr>
        <w:t>List of services provided to families through CLT such as: maintenance program, legal services, financial education, emergency home repair, etc.</w:t>
      </w:r>
    </w:p>
    <w:p>
      <w:pPr>
        <w:pStyle w:val="ListParagraph"/>
        <w:numPr>
          <w:ilvl w:val="1"/>
          <w:numId w:val="16"/>
        </w:numPr>
        <w:tabs>
          <w:tab w:pos="841" w:val="left" w:leader="none"/>
        </w:tabs>
        <w:spacing w:line="240" w:lineRule="auto" w:before="1" w:after="0"/>
        <w:ind w:left="840" w:right="153" w:hanging="361"/>
        <w:jc w:val="both"/>
        <w:rPr>
          <w:rFonts w:ascii="Symbol" w:hAnsi="Symbol"/>
          <w:sz w:val="22"/>
        </w:rPr>
      </w:pPr>
      <w:r>
        <w:rPr/>
        <w:pict>
          <v:shape style="position:absolute;margin-left:90.065002pt;margin-top:62.350204pt;width:395.3pt;height:419pt;mso-position-horizontal-relative:page;mso-position-vertical-relative:paragraph;z-index:-17698304" id="docshape93" coordorigin="1801,1247" coordsize="7906,8380" path="m4498,8511l4492,8437,4477,8359,4455,8276,4432,8207,4403,8135,4367,8060,4325,7982,4276,7901,4237,7842,4200,7792,4200,8477,4197,8534,4186,8591,4167,8648,4138,8708,4097,8770,4044,8836,3979,8906,3674,9211,2216,7754,2517,7453,2598,7377,2672,7317,2740,7273,2801,7247,2868,7232,2941,7228,3020,7235,3105,7253,3195,7282,3255,7308,3317,7340,3380,7379,3446,7424,3514,7475,3584,7533,3656,7598,3729,7669,3789,7731,3845,7791,3896,7850,3943,7908,3986,7964,4025,8020,4059,8074,4101,8148,4136,8221,4163,8290,4183,8357,4196,8421,4200,8477,4200,7792,4194,7783,4148,7723,4098,7662,4045,7601,3989,7540,3929,7478,3865,7416,3801,7357,3737,7302,3673,7251,3643,7228,3609,7203,3546,7158,3482,7117,3419,7079,3346,7042,3274,7009,3203,6982,3132,6960,3062,6943,2992,6931,2923,6924,2850,6922,2779,6929,2709,6944,2642,6967,2577,6997,2528,7026,2476,7063,2420,7108,2359,7162,2294,7225,1801,7718,3710,9626,4124,9211,4226,9110,4287,9044,4341,8979,4386,8913,4424,8847,4454,8780,4476,8714,4491,8647,4498,8579,4498,8511xm6418,6918l6056,6790,5650,6647,5561,6618,5475,6594,5393,6575,5365,6570,5314,6561,5239,6550,5193,6549,5143,6552,5089,6559,5030,6570,5073,6500,5109,6431,5136,6361,5154,6292,5164,6224,5165,6156,5157,6088,5139,6010,5111,5934,5075,5859,5030,5787,4976,5716,4956,5693,4913,5647,4872,5609,4872,6166,4868,6222,4854,6277,4830,6333,4794,6392,4747,6453,4687,6516,4280,6923,3649,6292,4102,5839,4166,5782,4229,5739,4293,5710,4358,5694,4422,5693,4501,5708,4577,5738,4649,5783,4718,5842,4761,5890,4797,5941,4827,5994,4851,6051,4867,6109,4872,6166,4872,5609,4849,5587,4782,5535,4713,5490,4641,5451,4566,5419,4474,5391,4386,5378,4303,5380,4225,5396,4163,5421,4098,5457,4030,5505,3958,5565,3883,5636,3248,6271,5157,8179,5346,7990,4499,7142,4718,6923,4753,6889,4783,6862,4810,6841,4833,6826,4863,6812,4896,6802,4932,6794,4971,6790,5014,6790,5066,6795,5125,6806,5194,6822,5256,6839,5328,6860,5407,6885,5496,6914,6180,7156,6418,6918xm7780,5555l7415,5360,6555,4906,6555,5213,6070,5698,6030,5627,5989,5555,5748,5125,5708,5053,5668,4981,5629,4916,5590,4851,5550,4787,5509,4724,5467,4662,5424,4600,5380,4540,5436,4576,5498,4613,5564,4653,5635,4695,5792,4786,6555,5213,6555,4906,5862,4540,5286,4233,5082,4437,5277,4788,5316,4858,5701,5555,6207,6474,6441,6895,6642,6694,6565,6560,6298,6092,6221,5959,6481,5698,6820,5360,7173,5555,7565,5771,7780,5555xm8131,5205l7264,4338,7936,3666,7711,3441,7039,4113,6448,3522,7224,2745,6999,2520,6033,3486,7941,5394,8131,5205xm9707,3629l8024,1946,8497,1472,8272,1247,7138,2382,7363,2607,7834,2135,9517,3818,9707,3629xe" filled="true" fillcolor="#c0c0c0" stroked="false">
            <v:path arrowok="t"/>
            <v:fill opacity="32896f" type="solid"/>
            <w10:wrap type="none"/>
          </v:shape>
        </w:pict>
      </w:r>
      <w:r>
        <w:rPr>
          <w:sz w:val="22"/>
        </w:rPr>
        <w:t>Upon request,</w:t>
      </w:r>
      <w:r>
        <w:rPr>
          <w:spacing w:val="-1"/>
          <w:sz w:val="22"/>
        </w:rPr>
        <w:t> </w:t>
      </w:r>
      <w:r>
        <w:rPr>
          <w:sz w:val="22"/>
        </w:rPr>
        <w:t>City</w:t>
      </w:r>
      <w:r>
        <w:rPr>
          <w:spacing w:val="-2"/>
          <w:sz w:val="22"/>
        </w:rPr>
        <w:t> </w:t>
      </w:r>
      <w:r>
        <w:rPr>
          <w:sz w:val="22"/>
        </w:rPr>
        <w:t>Staff</w:t>
      </w:r>
      <w:r>
        <w:rPr>
          <w:spacing w:val="-4"/>
          <w:sz w:val="22"/>
        </w:rPr>
        <w:t> </w:t>
      </w:r>
      <w:r>
        <w:rPr>
          <w:sz w:val="22"/>
        </w:rPr>
        <w:t>are eligible to assist</w:t>
      </w:r>
      <w:r>
        <w:rPr>
          <w:spacing w:val="-1"/>
          <w:sz w:val="22"/>
        </w:rPr>
        <w:t> </w:t>
      </w:r>
      <w:r>
        <w:rPr>
          <w:sz w:val="22"/>
        </w:rPr>
        <w:t>in assessing fiscal</w:t>
      </w:r>
      <w:r>
        <w:rPr>
          <w:spacing w:val="-3"/>
          <w:sz w:val="22"/>
        </w:rPr>
        <w:t> </w:t>
      </w:r>
      <w:r>
        <w:rPr>
          <w:sz w:val="22"/>
        </w:rPr>
        <w:t>impact by</w:t>
      </w:r>
      <w:r>
        <w:rPr>
          <w:spacing w:val="-2"/>
          <w:sz w:val="22"/>
        </w:rPr>
        <w:t> </w:t>
      </w:r>
      <w:r>
        <w:rPr>
          <w:sz w:val="22"/>
        </w:rPr>
        <w:t>annually, after the certified tax roll is released, report for each owned CLT property three items: 1) the taxable value and the municipal real property tax amount due during the year the CLT purchased</w:t>
      </w:r>
      <w:r>
        <w:rPr>
          <w:spacing w:val="-2"/>
          <w:sz w:val="22"/>
        </w:rPr>
        <w:t> </w:t>
      </w:r>
      <w:r>
        <w:rPr>
          <w:sz w:val="22"/>
        </w:rPr>
        <w:t>the</w:t>
      </w:r>
      <w:r>
        <w:rPr>
          <w:spacing w:val="-2"/>
          <w:sz w:val="22"/>
        </w:rPr>
        <w:t> </w:t>
      </w:r>
      <w:r>
        <w:rPr>
          <w:sz w:val="22"/>
        </w:rPr>
        <w:t>property,</w:t>
      </w:r>
      <w:r>
        <w:rPr>
          <w:spacing w:val="40"/>
          <w:sz w:val="22"/>
        </w:rPr>
        <w:t> </w:t>
      </w:r>
      <w:r>
        <w:rPr>
          <w:sz w:val="22"/>
        </w:rPr>
        <w:t>2) the</w:t>
      </w:r>
      <w:r>
        <w:rPr>
          <w:spacing w:val="-2"/>
          <w:sz w:val="22"/>
        </w:rPr>
        <w:t> </w:t>
      </w:r>
      <w:r>
        <w:rPr>
          <w:sz w:val="22"/>
        </w:rPr>
        <w:t>taxable value</w:t>
      </w:r>
      <w:r>
        <w:rPr>
          <w:spacing w:val="-4"/>
          <w:sz w:val="22"/>
        </w:rPr>
        <w:t> </w:t>
      </w:r>
      <w:r>
        <w:rPr>
          <w:sz w:val="22"/>
        </w:rPr>
        <w:t>for</w:t>
      </w:r>
      <w:r>
        <w:rPr>
          <w:spacing w:val="-3"/>
          <w:sz w:val="22"/>
        </w:rPr>
        <w:t> </w:t>
      </w:r>
      <w:r>
        <w:rPr>
          <w:sz w:val="22"/>
        </w:rPr>
        <w:t>the land</w:t>
      </w:r>
      <w:r>
        <w:rPr>
          <w:spacing w:val="-2"/>
          <w:sz w:val="22"/>
        </w:rPr>
        <w:t> </w:t>
      </w:r>
      <w:r>
        <w:rPr>
          <w:sz w:val="22"/>
        </w:rPr>
        <w:t>and</w:t>
      </w:r>
      <w:r>
        <w:rPr>
          <w:spacing w:val="-2"/>
          <w:sz w:val="22"/>
        </w:rPr>
        <w:t> </w:t>
      </w:r>
      <w:r>
        <w:rPr>
          <w:sz w:val="22"/>
        </w:rPr>
        <w:t>improvements</w:t>
      </w:r>
      <w:r>
        <w:rPr>
          <w:spacing w:val="-1"/>
          <w:sz w:val="22"/>
        </w:rPr>
        <w:t> </w:t>
      </w:r>
      <w:r>
        <w:rPr>
          <w:sz w:val="22"/>
        </w:rPr>
        <w:t>and</w:t>
      </w:r>
      <w:r>
        <w:rPr>
          <w:spacing w:val="-2"/>
          <w:sz w:val="22"/>
        </w:rPr>
        <w:t> </w:t>
      </w:r>
      <w:r>
        <w:rPr>
          <w:sz w:val="22"/>
        </w:rPr>
        <w:t>the</w:t>
      </w:r>
      <w:r>
        <w:rPr>
          <w:spacing w:val="-4"/>
          <w:sz w:val="22"/>
        </w:rPr>
        <w:t> </w:t>
      </w:r>
      <w:r>
        <w:rPr>
          <w:sz w:val="22"/>
        </w:rPr>
        <w:t>real property municipal tax revenue due for the current tax year, and 3) an</w:t>
      </w:r>
      <w:r>
        <w:rPr>
          <w:spacing w:val="-3"/>
          <w:sz w:val="22"/>
        </w:rPr>
        <w:t> </w:t>
      </w:r>
      <w:r>
        <w:rPr>
          <w:sz w:val="22"/>
        </w:rPr>
        <w:t>estimate of the market</w:t>
      </w:r>
      <w:r>
        <w:rPr>
          <w:spacing w:val="-7"/>
          <w:sz w:val="22"/>
        </w:rPr>
        <w:t> </w:t>
      </w:r>
      <w:r>
        <w:rPr>
          <w:sz w:val="22"/>
        </w:rPr>
        <w:t>value</w:t>
      </w:r>
      <w:r>
        <w:rPr>
          <w:spacing w:val="-6"/>
          <w:sz w:val="22"/>
        </w:rPr>
        <w:t> </w:t>
      </w:r>
      <w:r>
        <w:rPr>
          <w:sz w:val="22"/>
        </w:rPr>
        <w:t>of</w:t>
      </w:r>
      <w:r>
        <w:rPr>
          <w:spacing w:val="-7"/>
          <w:sz w:val="22"/>
        </w:rPr>
        <w:t> </w:t>
      </w:r>
      <w:r>
        <w:rPr>
          <w:sz w:val="22"/>
        </w:rPr>
        <w:t>the</w:t>
      </w:r>
      <w:r>
        <w:rPr>
          <w:spacing w:val="-9"/>
          <w:sz w:val="22"/>
        </w:rPr>
        <w:t> </w:t>
      </w:r>
      <w:r>
        <w:rPr>
          <w:sz w:val="22"/>
        </w:rPr>
        <w:t>land</w:t>
      </w:r>
      <w:r>
        <w:rPr>
          <w:spacing w:val="-9"/>
          <w:sz w:val="22"/>
        </w:rPr>
        <w:t> </w:t>
      </w:r>
      <w:r>
        <w:rPr>
          <w:sz w:val="22"/>
        </w:rPr>
        <w:t>and</w:t>
      </w:r>
      <w:r>
        <w:rPr>
          <w:spacing w:val="-6"/>
          <w:sz w:val="22"/>
        </w:rPr>
        <w:t> </w:t>
      </w:r>
      <w:r>
        <w:rPr>
          <w:sz w:val="22"/>
        </w:rPr>
        <w:t>improvements</w:t>
      </w:r>
      <w:r>
        <w:rPr>
          <w:spacing w:val="-6"/>
          <w:sz w:val="22"/>
        </w:rPr>
        <w:t> </w:t>
      </w:r>
      <w:r>
        <w:rPr>
          <w:sz w:val="22"/>
        </w:rPr>
        <w:t>but</w:t>
      </w:r>
      <w:r>
        <w:rPr>
          <w:spacing w:val="-7"/>
          <w:sz w:val="22"/>
        </w:rPr>
        <w:t> </w:t>
      </w:r>
      <w:r>
        <w:rPr>
          <w:sz w:val="22"/>
        </w:rPr>
        <w:t>for</w:t>
      </w:r>
      <w:r>
        <w:rPr>
          <w:spacing w:val="-8"/>
          <w:sz w:val="22"/>
        </w:rPr>
        <w:t> </w:t>
      </w:r>
      <w:r>
        <w:rPr>
          <w:sz w:val="22"/>
        </w:rPr>
        <w:t>the</w:t>
      </w:r>
      <w:r>
        <w:rPr>
          <w:spacing w:val="-6"/>
          <w:sz w:val="22"/>
        </w:rPr>
        <w:t> </w:t>
      </w:r>
      <w:r>
        <w:rPr>
          <w:sz w:val="22"/>
        </w:rPr>
        <w:t>CLT</w:t>
      </w:r>
      <w:r>
        <w:rPr>
          <w:spacing w:val="-6"/>
          <w:sz w:val="22"/>
        </w:rPr>
        <w:t> </w:t>
      </w:r>
      <w:r>
        <w:rPr>
          <w:sz w:val="22"/>
        </w:rPr>
        <w:t>and</w:t>
      </w:r>
      <w:r>
        <w:rPr>
          <w:spacing w:val="-9"/>
          <w:sz w:val="22"/>
        </w:rPr>
        <w:t> </w:t>
      </w:r>
      <w:r>
        <w:rPr>
          <w:sz w:val="22"/>
        </w:rPr>
        <w:t>a</w:t>
      </w:r>
      <w:r>
        <w:rPr>
          <w:spacing w:val="-9"/>
          <w:sz w:val="22"/>
        </w:rPr>
        <w:t> </w:t>
      </w:r>
      <w:r>
        <w:rPr>
          <w:sz w:val="22"/>
        </w:rPr>
        <w:t>corresponding</w:t>
      </w:r>
      <w:r>
        <w:rPr>
          <w:spacing w:val="-6"/>
          <w:sz w:val="22"/>
        </w:rPr>
        <w:t> </w:t>
      </w:r>
      <w:r>
        <w:rPr>
          <w:sz w:val="22"/>
        </w:rPr>
        <w:t>estimate of the municipal real property tax that would have been due based on</w:t>
      </w:r>
      <w:r>
        <w:rPr>
          <w:spacing w:val="-1"/>
          <w:sz w:val="22"/>
        </w:rPr>
        <w:t> </w:t>
      </w:r>
      <w:r>
        <w:rPr>
          <w:sz w:val="22"/>
        </w:rPr>
        <w:t>current appraised values of similarly situated comparable properties.</w:t>
      </w:r>
    </w:p>
    <w:p>
      <w:pPr>
        <w:spacing w:after="0" w:line="240" w:lineRule="auto"/>
        <w:jc w:val="both"/>
        <w:rPr>
          <w:rFonts w:ascii="Symbol" w:hAnsi="Symbol"/>
          <w:sz w:val="22"/>
        </w:rPr>
        <w:sectPr>
          <w:pgSz w:w="12240" w:h="15840"/>
          <w:pgMar w:header="0" w:footer="1176" w:top="1360" w:bottom="1420" w:left="1320" w:right="1280"/>
        </w:sectPr>
      </w:pPr>
    </w:p>
    <w:p>
      <w:pPr>
        <w:pStyle w:val="Heading3"/>
      </w:pPr>
      <w:r>
        <w:rPr/>
        <w:pict>
          <v:shape style="position:absolute;margin-left:90.065002pt;margin-top:117.468781pt;width:395.3pt;height:419pt;mso-position-horizontal-relative:page;mso-position-vertical-relative:paragraph;z-index:-17697792" id="docshape94" coordorigin="1801,2349" coordsize="7906,8380" path="m4498,9613l4492,9540,4477,9462,4455,9379,4432,9310,4403,9238,4367,9163,4325,9085,4276,9004,4237,8945,4200,8894,4200,9580,4197,9636,4186,9693,4167,9750,4138,9810,4097,9873,4044,9939,3979,10008,3674,10314,2216,8856,2517,8555,2598,8479,2672,8419,2740,8376,2801,8349,2868,8335,2941,8331,3020,8337,3105,8355,3195,8384,3255,8410,3317,8442,3380,8481,3446,8526,3514,8578,3584,8636,3656,8700,3729,8772,3789,8833,3845,8893,3896,8952,3943,9010,3986,9067,4025,9122,4059,9176,4101,9251,4136,9323,4163,9392,4183,9459,4196,9524,4200,9580,4200,8894,4194,8885,4148,8825,4098,8765,4045,8704,3989,8642,3929,8580,3865,8518,3801,8460,3737,8405,3673,8353,3643,8331,3609,8305,3546,8261,3482,8220,3419,8182,3346,8144,3274,8112,3203,8085,3132,8062,3062,8045,2992,8033,2923,8026,2850,8025,2779,8031,2709,8046,2642,8069,2577,8100,2528,8128,2476,8165,2420,8210,2359,8265,2294,8327,1801,8820,3710,10729,4124,10314,4226,10212,4287,10147,4341,10082,4386,10016,4424,9949,4454,9882,4476,9816,4491,9749,4498,9682,4498,9613xm6418,8020l6056,7892,5650,7749,5561,7720,5475,7696,5393,7677,5365,7672,5314,7663,5239,7653,5193,7651,5143,7654,5089,7661,5030,7672,5073,7602,5109,7533,5136,7464,5154,7395,5164,7326,5165,7258,5157,7190,5139,7112,5111,7036,5075,6962,5030,6889,4976,6818,4956,6795,4913,6749,4872,6711,4872,7269,4868,7324,4854,7379,4830,7435,4794,7494,4747,7555,4687,7619,4280,8026,3649,7395,4102,6942,4166,6885,4229,6841,4293,6812,4358,6797,4422,6795,4501,6811,4577,6840,4649,6885,4718,6945,4761,6992,4797,7043,4827,7097,4851,7153,4867,7212,4872,7269,4872,6711,4849,6690,4782,6637,4713,6592,4641,6553,4566,6521,4474,6493,4386,6480,4303,6482,4225,6498,4163,6523,4098,6560,4030,6608,3958,6667,3883,6738,3248,7373,5157,9281,5346,9092,4499,8245,4718,8026,4753,7991,4783,7964,4810,7943,4833,7928,4863,7915,4896,7904,4932,7896,4971,7892,5014,7892,5066,7897,5125,7908,5194,7924,5256,7942,5328,7962,5407,7987,5496,8017,6180,8258,6418,8020xm7780,6658l7415,6463,6555,6008,6555,6315,6070,6801,6030,6729,5989,6658,5748,6227,5708,6155,5668,6084,5629,6018,5590,5954,5550,5890,5509,5827,5467,5764,5424,5703,5380,5642,5436,5678,5498,5716,5564,5756,5635,5798,5792,5888,6555,6315,6555,6008,5862,5642,5286,5335,5082,5539,5277,5890,5316,5960,5701,6658,6207,7577,6441,7997,6642,7796,6565,7663,6298,7195,6221,7061,6481,6801,6820,6463,7173,6658,7565,6873,7780,6658xm8131,6307l7264,5440,7936,4768,7711,4543,7039,5215,6448,4624,7224,3848,6999,3623,6033,4588,7941,6497,8131,6307xm9707,4731l8024,3048,8497,2575,8272,2349,7138,3484,7363,3709,7834,3238,9517,4921,9707,4731xe" filled="true" fillcolor="#c0c0c0" stroked="false">
            <v:path arrowok="t"/>
            <v:fill opacity="32896f" type="solid"/>
            <w10:wrap type="none"/>
          </v:shape>
        </w:pict>
      </w:r>
      <w:bookmarkStart w:name="Emerging Development Program - Pillars 1" w:id="59"/>
      <w:bookmarkEnd w:id="59"/>
      <w:r>
        <w:rPr/>
      </w:r>
      <w:bookmarkStart w:name="_bookmark23" w:id="60"/>
      <w:bookmarkEnd w:id="60"/>
      <w:r>
        <w:rPr/>
      </w:r>
      <w:r>
        <w:rPr>
          <w:color w:val="001F5F"/>
        </w:rPr>
        <w:t>Emerging</w:t>
      </w:r>
      <w:r>
        <w:rPr>
          <w:color w:val="001F5F"/>
          <w:spacing w:val="-10"/>
        </w:rPr>
        <w:t> </w:t>
      </w:r>
      <w:r>
        <w:rPr>
          <w:color w:val="001F5F"/>
        </w:rPr>
        <w:t>Development</w:t>
      </w:r>
      <w:r>
        <w:rPr>
          <w:color w:val="001F5F"/>
          <w:spacing w:val="-10"/>
        </w:rPr>
        <w:t> </w:t>
      </w:r>
      <w:r>
        <w:rPr>
          <w:color w:val="001F5F"/>
        </w:rPr>
        <w:t>Program</w:t>
      </w:r>
      <w:r>
        <w:rPr>
          <w:color w:val="001F5F"/>
          <w:spacing w:val="-9"/>
        </w:rPr>
        <w:t> </w:t>
      </w:r>
      <w:r>
        <w:rPr>
          <w:color w:val="001F5F"/>
        </w:rPr>
        <w:t>-</w:t>
      </w:r>
      <w:r>
        <w:rPr>
          <w:color w:val="001F5F"/>
          <w:spacing w:val="-6"/>
        </w:rPr>
        <w:t> </w:t>
      </w:r>
      <w:r>
        <w:rPr>
          <w:color w:val="FF0000"/>
        </w:rPr>
        <w:t>Pillars</w:t>
      </w:r>
      <w:r>
        <w:rPr>
          <w:color w:val="FF0000"/>
          <w:spacing w:val="-8"/>
        </w:rPr>
        <w:t> </w:t>
      </w:r>
      <w:r>
        <w:rPr>
          <w:color w:val="FF0000"/>
        </w:rPr>
        <w:t>1,</w:t>
      </w:r>
      <w:r>
        <w:rPr>
          <w:color w:val="FF0000"/>
          <w:spacing w:val="-10"/>
        </w:rPr>
        <w:t> </w:t>
      </w:r>
      <w:r>
        <w:rPr>
          <w:color w:val="FF0000"/>
        </w:rPr>
        <w:t>5,</w:t>
      </w:r>
      <w:r>
        <w:rPr>
          <w:color w:val="FF0000"/>
          <w:spacing w:val="-9"/>
        </w:rPr>
        <w:t> </w:t>
      </w:r>
      <w:r>
        <w:rPr>
          <w:color w:val="FF0000"/>
        </w:rPr>
        <w:t>6,</w:t>
      </w:r>
      <w:r>
        <w:rPr>
          <w:color w:val="FF0000"/>
          <w:spacing w:val="-10"/>
        </w:rPr>
        <w:t> 7</w:t>
      </w:r>
    </w:p>
    <w:p>
      <w:pPr>
        <w:spacing w:after="0"/>
        <w:sectPr>
          <w:pgSz w:w="12240" w:h="15840"/>
          <w:pgMar w:header="0" w:footer="1176" w:top="1380" w:bottom="1420" w:left="1320" w:right="1280"/>
        </w:sectPr>
      </w:pPr>
    </w:p>
    <w:p>
      <w:pPr>
        <w:pStyle w:val="Heading3"/>
        <w:jc w:val="both"/>
      </w:pPr>
      <w:bookmarkStart w:name="Housing Tax Credits Program – Pillars 1," w:id="61"/>
      <w:bookmarkEnd w:id="61"/>
      <w:r>
        <w:rPr/>
      </w:r>
      <w:bookmarkStart w:name="_bookmark24" w:id="62"/>
      <w:bookmarkEnd w:id="62"/>
      <w:r>
        <w:rPr/>
      </w:r>
      <w:r>
        <w:rPr>
          <w:color w:val="001F5F"/>
        </w:rPr>
        <w:t>Housing</w:t>
      </w:r>
      <w:r>
        <w:rPr>
          <w:color w:val="001F5F"/>
          <w:spacing w:val="-8"/>
        </w:rPr>
        <w:t> </w:t>
      </w:r>
      <w:r>
        <w:rPr>
          <w:color w:val="001F5F"/>
        </w:rPr>
        <w:t>Tax</w:t>
      </w:r>
      <w:r>
        <w:rPr>
          <w:color w:val="001F5F"/>
          <w:spacing w:val="-7"/>
        </w:rPr>
        <w:t> </w:t>
      </w:r>
      <w:r>
        <w:rPr>
          <w:color w:val="001F5F"/>
        </w:rPr>
        <w:t>Credits</w:t>
      </w:r>
      <w:r>
        <w:rPr>
          <w:color w:val="001F5F"/>
          <w:spacing w:val="-5"/>
        </w:rPr>
        <w:t> </w:t>
      </w:r>
      <w:r>
        <w:rPr>
          <w:color w:val="001F5F"/>
        </w:rPr>
        <w:t>Program</w:t>
      </w:r>
      <w:r>
        <w:rPr>
          <w:color w:val="001F5F"/>
          <w:spacing w:val="-7"/>
        </w:rPr>
        <w:t> </w:t>
      </w:r>
      <w:r>
        <w:rPr>
          <w:color w:val="001F5F"/>
        </w:rPr>
        <w:t>–</w:t>
      </w:r>
      <w:r>
        <w:rPr>
          <w:color w:val="001F5F"/>
          <w:spacing w:val="-8"/>
        </w:rPr>
        <w:t> </w:t>
      </w:r>
      <w:r>
        <w:rPr>
          <w:color w:val="FF0000"/>
        </w:rPr>
        <w:t>Pillars</w:t>
      </w:r>
      <w:r>
        <w:rPr>
          <w:color w:val="FF0000"/>
          <w:spacing w:val="-6"/>
        </w:rPr>
        <w:t> </w:t>
      </w:r>
      <w:r>
        <w:rPr>
          <w:color w:val="FF0000"/>
        </w:rPr>
        <w:t>1,</w:t>
      </w:r>
      <w:r>
        <w:rPr>
          <w:color w:val="FF0000"/>
          <w:spacing w:val="-8"/>
        </w:rPr>
        <w:t> </w:t>
      </w:r>
      <w:r>
        <w:rPr>
          <w:color w:val="FF0000"/>
        </w:rPr>
        <w:t>2,</w:t>
      </w:r>
      <w:r>
        <w:rPr>
          <w:color w:val="FF0000"/>
          <w:spacing w:val="-8"/>
        </w:rPr>
        <w:t> </w:t>
      </w:r>
      <w:r>
        <w:rPr>
          <w:color w:val="FF0000"/>
        </w:rPr>
        <w:t>3,</w:t>
      </w:r>
      <w:r>
        <w:rPr>
          <w:color w:val="FF0000"/>
          <w:spacing w:val="-8"/>
        </w:rPr>
        <w:t> </w:t>
      </w:r>
      <w:r>
        <w:rPr>
          <w:color w:val="FF0000"/>
        </w:rPr>
        <w:t>6,</w:t>
      </w:r>
      <w:r>
        <w:rPr>
          <w:color w:val="FF0000"/>
          <w:spacing w:val="-8"/>
        </w:rPr>
        <w:t> </w:t>
      </w:r>
      <w:r>
        <w:rPr>
          <w:color w:val="FF0000"/>
          <w:spacing w:val="-10"/>
        </w:rPr>
        <w:t>7</w:t>
      </w:r>
    </w:p>
    <w:p>
      <w:pPr>
        <w:pStyle w:val="BodyText"/>
        <w:spacing w:before="28"/>
        <w:ind w:left="120"/>
        <w:jc w:val="both"/>
      </w:pPr>
      <w:r>
        <w:rPr/>
        <w:t>(Amended</w:t>
      </w:r>
      <w:r>
        <w:rPr>
          <w:spacing w:val="-8"/>
        </w:rPr>
        <w:t> </w:t>
      </w:r>
      <w:r>
        <w:rPr/>
        <w:t>June</w:t>
      </w:r>
      <w:r>
        <w:rPr>
          <w:spacing w:val="-4"/>
        </w:rPr>
        <w:t> </w:t>
      </w:r>
      <w:r>
        <w:rPr/>
        <w:t>12,</w:t>
      </w:r>
      <w:r>
        <w:rPr>
          <w:spacing w:val="-1"/>
        </w:rPr>
        <w:t> </w:t>
      </w:r>
      <w:r>
        <w:rPr>
          <w:spacing w:val="-2"/>
        </w:rPr>
        <w:t>2019)</w:t>
      </w:r>
    </w:p>
    <w:p>
      <w:pPr>
        <w:pStyle w:val="BodyText"/>
      </w:pPr>
    </w:p>
    <w:p>
      <w:pPr>
        <w:pStyle w:val="BodyText"/>
        <w:ind w:left="120" w:right="155"/>
        <w:jc w:val="both"/>
      </w:pPr>
      <w:r>
        <w:rPr/>
        <w:pict>
          <v:shape style="position:absolute;margin-left:90.065002pt;margin-top:69.344147pt;width:395.3pt;height:419pt;mso-position-horizontal-relative:page;mso-position-vertical-relative:paragraph;z-index:-17697280" id="docshape95" coordorigin="1801,1387" coordsize="7906,8380" path="m4498,8651l4492,8577,4477,8499,4455,8416,4432,8347,4403,8275,4367,8200,4325,8122,4276,8041,4237,7982,4200,7932,4200,8617,4197,8674,4186,8730,4167,8788,4138,8848,4097,8910,4044,8976,3979,9046,3674,9351,2216,7894,2517,7593,2598,7517,2672,7457,2740,7413,2801,7387,2868,7372,2941,7368,3020,7375,3105,7393,3195,7422,3255,7448,3317,7480,3380,7518,3446,7563,3514,7615,3584,7673,3656,7738,3729,7809,3789,7871,3845,7931,3896,7990,3943,8048,3986,8104,4025,8160,4059,8214,4101,8288,4136,8360,4163,8430,4183,8497,4196,8561,4200,8617,4200,7932,4194,7923,4148,7863,4098,7802,4045,7741,3989,7680,3929,7618,3865,7556,3801,7497,3737,7442,3673,7391,3643,7368,3609,7343,3546,7298,3482,7257,3419,7219,3346,7182,3274,7149,3203,7122,3132,7100,3062,7083,2992,7071,2923,7064,2850,7062,2779,7069,2709,7084,2642,7107,2577,7137,2528,7165,2476,7202,2420,7248,2359,7302,2294,7365,1801,7858,3710,9766,4124,9351,4226,9249,4287,9184,4341,9119,4386,9053,4424,8986,4454,8920,4476,8854,4491,8787,4498,8719,4498,8651xm6418,7057l6056,6930,5650,6787,5561,6758,5475,6734,5393,6715,5365,6710,5314,6700,5239,6690,5193,6689,5143,6692,5089,6699,5030,6710,5073,6640,5109,6570,5136,6501,5154,6432,5164,6364,5165,6296,5157,6228,5139,6150,5111,6074,5075,5999,5030,5926,4976,5856,4956,5833,4913,5787,4872,5749,4872,6306,4868,6362,4854,6417,4830,6473,4794,6531,4747,6592,4687,6656,4280,7063,3649,6432,4102,5979,4166,5922,4229,5879,4293,5849,4358,5834,4422,5833,4501,5848,4577,5878,4649,5923,4718,5982,4761,6030,4797,6081,4827,6134,4851,6191,4867,6249,4872,6306,4872,5749,4849,5727,4782,5675,4713,5630,4641,5591,4566,5559,4474,5531,4386,5518,4303,5520,4225,5536,4163,5561,4098,5597,4030,5645,3958,5705,3883,5776,3248,6411,5157,8319,5346,8129,4499,7282,4718,7063,4753,7029,4783,7001,4810,6980,4833,6966,4863,6952,4896,6942,4932,6934,4971,6930,5014,6930,5066,6935,5125,6945,5194,6962,5256,6979,5328,7000,5407,7025,5496,7054,6180,7296,6418,7057xm7780,5695l7415,5500,6555,5046,6555,5353,6070,5838,6030,5767,5989,5695,5748,5264,5708,5193,5668,5121,5629,5056,5590,4991,5550,4927,5509,4864,5467,4802,5424,4740,5380,4680,5436,4715,5498,4753,5564,4793,5635,4835,5792,4926,6555,5353,6555,5046,5862,4680,5286,4373,5082,4577,5277,4927,5316,4998,5701,5695,6207,6614,6441,7035,6642,6834,6565,6700,6298,6232,6221,6099,6481,5838,6820,5500,7173,5695,7565,5911,7780,5695xm8131,5345l7264,4478,7936,3806,7711,3581,7039,4253,6448,3662,7224,2885,6999,2660,6033,3626,7941,5534,8131,5345xm9707,3769l8024,2086,8497,1612,8272,1387,7138,2521,7363,2747,7834,2275,9517,3958,9707,3769xe" filled="true" fillcolor="#c0c0c0" stroked="false">
            <v:path arrowok="t"/>
            <v:fill opacity="32896f" type="solid"/>
            <w10:wrap type="none"/>
          </v:shape>
        </w:pict>
      </w:r>
      <w:r>
        <w:rPr/>
        <w:t>The City of Dallas (“City”) has developed the following policy to outline its approach regarding requests from developers of projects seeking Housing Tax Credits (“HTC”) from the Texas Department of Housing and Community Affairs (“TDHCA”) for Resolutions of No Objection (sometimes referred to as “No Objection”) or Resolutions of Support (sometimes referred to as “Support”) from the City.</w:t>
      </w:r>
    </w:p>
    <w:p>
      <w:pPr>
        <w:pStyle w:val="BodyText"/>
        <w:spacing w:before="5"/>
        <w:rPr>
          <w:sz w:val="26"/>
        </w:rPr>
      </w:pPr>
    </w:p>
    <w:p>
      <w:pPr>
        <w:pStyle w:val="Heading5"/>
      </w:pPr>
      <w:r>
        <w:rPr/>
        <w:t>Background</w:t>
      </w:r>
      <w:r>
        <w:rPr>
          <w:spacing w:val="-4"/>
        </w:rPr>
        <w:t> </w:t>
      </w:r>
      <w:r>
        <w:rPr/>
        <w:t>on</w:t>
      </w:r>
      <w:r>
        <w:rPr>
          <w:spacing w:val="-3"/>
        </w:rPr>
        <w:t> </w:t>
      </w:r>
      <w:r>
        <w:rPr/>
        <w:t>Housing</w:t>
      </w:r>
      <w:r>
        <w:rPr>
          <w:spacing w:val="-6"/>
        </w:rPr>
        <w:t> </w:t>
      </w:r>
      <w:r>
        <w:rPr/>
        <w:t>Tax</w:t>
      </w:r>
      <w:r>
        <w:rPr>
          <w:spacing w:val="-4"/>
        </w:rPr>
        <w:t> </w:t>
      </w:r>
      <w:r>
        <w:rPr/>
        <w:t>Credits</w:t>
      </w:r>
      <w:r>
        <w:rPr>
          <w:spacing w:val="-6"/>
        </w:rPr>
        <w:t> </w:t>
      </w:r>
      <w:r>
        <w:rPr/>
        <w:t>in</w:t>
      </w:r>
      <w:r>
        <w:rPr>
          <w:spacing w:val="-7"/>
        </w:rPr>
        <w:t> </w:t>
      </w:r>
      <w:r>
        <w:rPr>
          <w:spacing w:val="-2"/>
        </w:rPr>
        <w:t>Texas</w:t>
      </w:r>
    </w:p>
    <w:p>
      <w:pPr>
        <w:pStyle w:val="BodyText"/>
        <w:spacing w:before="50"/>
        <w:ind w:left="119" w:right="155"/>
        <w:jc w:val="both"/>
      </w:pPr>
      <w:r>
        <w:rPr/>
        <w:t>In</w:t>
      </w:r>
      <w:r>
        <w:rPr>
          <w:spacing w:val="-16"/>
        </w:rPr>
        <w:t> </w:t>
      </w:r>
      <w:r>
        <w:rPr/>
        <w:t>1986,</w:t>
      </w:r>
      <w:r>
        <w:rPr>
          <w:spacing w:val="-15"/>
        </w:rPr>
        <w:t> </w:t>
      </w:r>
      <w:r>
        <w:rPr/>
        <w:t>Congress,</w:t>
      </w:r>
      <w:r>
        <w:rPr>
          <w:spacing w:val="-15"/>
        </w:rPr>
        <w:t> </w:t>
      </w:r>
      <w:r>
        <w:rPr/>
        <w:t>through</w:t>
      </w:r>
      <w:r>
        <w:rPr>
          <w:spacing w:val="-16"/>
        </w:rPr>
        <w:t> </w:t>
      </w:r>
      <w:r>
        <w:rPr/>
        <w:t>the</w:t>
      </w:r>
      <w:r>
        <w:rPr>
          <w:spacing w:val="-15"/>
        </w:rPr>
        <w:t> </w:t>
      </w:r>
      <w:r>
        <w:rPr/>
        <w:t>Tax</w:t>
      </w:r>
      <w:r>
        <w:rPr>
          <w:spacing w:val="-15"/>
        </w:rPr>
        <w:t> </w:t>
      </w:r>
      <w:r>
        <w:rPr/>
        <w:t>Reform</w:t>
      </w:r>
      <w:r>
        <w:rPr>
          <w:spacing w:val="-15"/>
        </w:rPr>
        <w:t> </w:t>
      </w:r>
      <w:r>
        <w:rPr/>
        <w:t>Act,</w:t>
      </w:r>
      <w:r>
        <w:rPr>
          <w:spacing w:val="-16"/>
        </w:rPr>
        <w:t> </w:t>
      </w:r>
      <w:r>
        <w:rPr/>
        <w:t>enacted</w:t>
      </w:r>
      <w:r>
        <w:rPr>
          <w:spacing w:val="-15"/>
        </w:rPr>
        <w:t> </w:t>
      </w:r>
      <w:r>
        <w:rPr/>
        <w:t>Section</w:t>
      </w:r>
      <w:r>
        <w:rPr>
          <w:spacing w:val="-15"/>
        </w:rPr>
        <w:t> </w:t>
      </w:r>
      <w:r>
        <w:rPr/>
        <w:t>42</w:t>
      </w:r>
      <w:r>
        <w:rPr>
          <w:spacing w:val="-16"/>
        </w:rPr>
        <w:t> </w:t>
      </w:r>
      <w:r>
        <w:rPr/>
        <w:t>of</w:t>
      </w:r>
      <w:r>
        <w:rPr>
          <w:spacing w:val="-15"/>
        </w:rPr>
        <w:t> </w:t>
      </w:r>
      <w:r>
        <w:rPr/>
        <w:t>the</w:t>
      </w:r>
      <w:r>
        <w:rPr>
          <w:spacing w:val="-15"/>
        </w:rPr>
        <w:t> </w:t>
      </w:r>
      <w:r>
        <w:rPr/>
        <w:t>Internal</w:t>
      </w:r>
      <w:r>
        <w:rPr>
          <w:spacing w:val="-15"/>
        </w:rPr>
        <w:t> </w:t>
      </w:r>
      <w:r>
        <w:rPr/>
        <w:t>Revenue</w:t>
      </w:r>
      <w:r>
        <w:rPr>
          <w:spacing w:val="-16"/>
        </w:rPr>
        <w:t> </w:t>
      </w:r>
      <w:r>
        <w:rPr/>
        <w:t>Code (“Section 42”). Section 42 created Low Income Housing Tax Credits that may be awarded to owners of multi-family rental housing that meet certain income and rent restrictions and other program requirements. At the Federal level, the HTC program has very few requirements but does require that states designate an agency to administer the HTC program and develop a Qualified Allocation Plan (“QAP”) outlining how HTC will be allocated and administered. For Texas, the Texas Department of Housing and Community Affairs has been designated as that agency, and the QAP is updated annually.</w:t>
      </w:r>
    </w:p>
    <w:p>
      <w:pPr>
        <w:pStyle w:val="BodyText"/>
      </w:pPr>
    </w:p>
    <w:p>
      <w:pPr>
        <w:pStyle w:val="BodyText"/>
        <w:ind w:left="119"/>
        <w:jc w:val="both"/>
      </w:pPr>
      <w:r>
        <w:rPr/>
        <w:t>There</w:t>
      </w:r>
      <w:r>
        <w:rPr>
          <w:spacing w:val="-3"/>
        </w:rPr>
        <w:t> </w:t>
      </w:r>
      <w:r>
        <w:rPr/>
        <w:t>are</w:t>
      </w:r>
      <w:r>
        <w:rPr>
          <w:spacing w:val="-5"/>
        </w:rPr>
        <w:t> </w:t>
      </w:r>
      <w:r>
        <w:rPr/>
        <w:t>two</w:t>
      </w:r>
      <w:r>
        <w:rPr>
          <w:spacing w:val="-3"/>
        </w:rPr>
        <w:t> </w:t>
      </w:r>
      <w:r>
        <w:rPr/>
        <w:t>forms</w:t>
      </w:r>
      <w:r>
        <w:rPr>
          <w:spacing w:val="-2"/>
        </w:rPr>
        <w:t> </w:t>
      </w:r>
      <w:r>
        <w:rPr/>
        <w:t>of</w:t>
      </w:r>
      <w:r>
        <w:rPr>
          <w:spacing w:val="-4"/>
        </w:rPr>
        <w:t> </w:t>
      </w:r>
      <w:r>
        <w:rPr/>
        <w:t>the</w:t>
      </w:r>
      <w:r>
        <w:rPr>
          <w:spacing w:val="-3"/>
        </w:rPr>
        <w:t> </w:t>
      </w:r>
      <w:r>
        <w:rPr/>
        <w:t>HTC:</w:t>
      </w:r>
      <w:r>
        <w:rPr>
          <w:spacing w:val="-1"/>
        </w:rPr>
        <w:t> </w:t>
      </w:r>
      <w:r>
        <w:rPr/>
        <w:t>9%</w:t>
      </w:r>
      <w:r>
        <w:rPr>
          <w:spacing w:val="-2"/>
        </w:rPr>
        <w:t> </w:t>
      </w:r>
      <w:r>
        <w:rPr/>
        <w:t>HTC</w:t>
      </w:r>
      <w:r>
        <w:rPr>
          <w:spacing w:val="-3"/>
        </w:rPr>
        <w:t> </w:t>
      </w:r>
      <w:r>
        <w:rPr/>
        <w:t>and</w:t>
      </w:r>
      <w:r>
        <w:rPr>
          <w:spacing w:val="-5"/>
        </w:rPr>
        <w:t> </w:t>
      </w:r>
      <w:r>
        <w:rPr/>
        <w:t>4%</w:t>
      </w:r>
      <w:r>
        <w:rPr>
          <w:spacing w:val="-1"/>
        </w:rPr>
        <w:t> </w:t>
      </w:r>
      <w:r>
        <w:rPr>
          <w:spacing w:val="-4"/>
        </w:rPr>
        <w:t>HTC.</w:t>
      </w:r>
    </w:p>
    <w:p>
      <w:pPr>
        <w:pStyle w:val="BodyText"/>
      </w:pPr>
    </w:p>
    <w:p>
      <w:pPr>
        <w:pStyle w:val="BodyText"/>
        <w:spacing w:before="1"/>
        <w:ind w:left="119" w:right="156"/>
        <w:jc w:val="both"/>
      </w:pPr>
      <w:r>
        <w:rPr/>
        <w:t>9%</w:t>
      </w:r>
      <w:r>
        <w:rPr>
          <w:spacing w:val="-3"/>
        </w:rPr>
        <w:t> </w:t>
      </w:r>
      <w:r>
        <w:rPr/>
        <w:t>HTC</w:t>
      </w:r>
      <w:r>
        <w:rPr>
          <w:spacing w:val="-2"/>
        </w:rPr>
        <w:t> </w:t>
      </w:r>
      <w:r>
        <w:rPr/>
        <w:t>are</w:t>
      </w:r>
      <w:r>
        <w:rPr>
          <w:spacing w:val="-4"/>
        </w:rPr>
        <w:t> </w:t>
      </w:r>
      <w:r>
        <w:rPr/>
        <w:t>considered</w:t>
      </w:r>
      <w:r>
        <w:rPr>
          <w:spacing w:val="-6"/>
        </w:rPr>
        <w:t> </w:t>
      </w:r>
      <w:r>
        <w:rPr/>
        <w:t>to</w:t>
      </w:r>
      <w:r>
        <w:rPr>
          <w:spacing w:val="-4"/>
        </w:rPr>
        <w:t> </w:t>
      </w:r>
      <w:r>
        <w:rPr/>
        <w:t>be</w:t>
      </w:r>
      <w:r>
        <w:rPr>
          <w:spacing w:val="-4"/>
        </w:rPr>
        <w:t> </w:t>
      </w:r>
      <w:r>
        <w:rPr/>
        <w:t>“competitive.”</w:t>
      </w:r>
      <w:r>
        <w:rPr>
          <w:spacing w:val="-3"/>
        </w:rPr>
        <w:t> </w:t>
      </w:r>
      <w:r>
        <w:rPr/>
        <w:t>The</w:t>
      </w:r>
      <w:r>
        <w:rPr>
          <w:spacing w:val="-9"/>
        </w:rPr>
        <w:t> </w:t>
      </w:r>
      <w:r>
        <w:rPr/>
        <w:t>State</w:t>
      </w:r>
      <w:r>
        <w:rPr>
          <w:spacing w:val="-4"/>
        </w:rPr>
        <w:t> </w:t>
      </w:r>
      <w:r>
        <w:rPr/>
        <w:t>receives</w:t>
      </w:r>
      <w:r>
        <w:rPr>
          <w:spacing w:val="-4"/>
        </w:rPr>
        <w:t> </w:t>
      </w:r>
      <w:r>
        <w:rPr/>
        <w:t>a</w:t>
      </w:r>
      <w:r>
        <w:rPr>
          <w:spacing w:val="-4"/>
        </w:rPr>
        <w:t> </w:t>
      </w:r>
      <w:r>
        <w:rPr/>
        <w:t>per</w:t>
      </w:r>
      <w:r>
        <w:rPr>
          <w:spacing w:val="-3"/>
        </w:rPr>
        <w:t> </w:t>
      </w:r>
      <w:r>
        <w:rPr/>
        <w:t>capita</w:t>
      </w:r>
      <w:r>
        <w:rPr>
          <w:spacing w:val="-4"/>
        </w:rPr>
        <w:t> </w:t>
      </w:r>
      <w:r>
        <w:rPr/>
        <w:t>allocation</w:t>
      </w:r>
      <w:r>
        <w:rPr>
          <w:spacing w:val="-2"/>
        </w:rPr>
        <w:t> </w:t>
      </w:r>
      <w:r>
        <w:rPr/>
        <w:t>of</w:t>
      </w:r>
      <w:r>
        <w:rPr>
          <w:spacing w:val="-2"/>
        </w:rPr>
        <w:t> </w:t>
      </w:r>
      <w:r>
        <w:rPr/>
        <w:t>HTC</w:t>
      </w:r>
      <w:r>
        <w:rPr>
          <w:spacing w:val="-5"/>
        </w:rPr>
        <w:t> </w:t>
      </w:r>
      <w:r>
        <w:rPr/>
        <w:t>to award each year, and applications are scored and are awarded by TDHCA only once per year. 4% HTC, on the other hand, are “automatically” awarded to projects using eligible tax-exempt debt. As a result, 4% HTC are considered to be “non-competitive” since applications are not competitively scored and are awarded by TDHCA multiple times throughout the year.</w:t>
      </w:r>
    </w:p>
    <w:p>
      <w:pPr>
        <w:pStyle w:val="BodyText"/>
        <w:spacing w:before="10"/>
        <w:rPr>
          <w:sz w:val="21"/>
        </w:rPr>
      </w:pPr>
    </w:p>
    <w:p>
      <w:pPr>
        <w:pStyle w:val="BodyText"/>
        <w:ind w:left="119" w:right="155"/>
        <w:jc w:val="both"/>
      </w:pPr>
      <w:r>
        <w:rPr/>
        <w:t>Under the 9% HTC, a Proposer may receive points for local government support. To receive points, the application must include a Resolution of Support or No Objection from the governing body of the municipality in which the proposed development site is to be located.</w:t>
      </w:r>
    </w:p>
    <w:p>
      <w:pPr>
        <w:pStyle w:val="BodyText"/>
      </w:pPr>
    </w:p>
    <w:p>
      <w:pPr>
        <w:pStyle w:val="BodyText"/>
        <w:ind w:left="119" w:right="156"/>
        <w:jc w:val="both"/>
      </w:pPr>
      <w:r>
        <w:rPr/>
        <w:t>Although 4% HTC applications are not competitively scored, the Proposer must obtain a Resolution of No Objection from the governing body of the municipality in which the proposed development site is to be located. This is a threshold requirement for 4% credit awards. Applications that do not include a Resolution of No Objection cannot proceed.</w:t>
      </w:r>
    </w:p>
    <w:p>
      <w:pPr>
        <w:pStyle w:val="BodyText"/>
      </w:pPr>
    </w:p>
    <w:p>
      <w:pPr>
        <w:pStyle w:val="Heading5"/>
        <w:ind w:left="119"/>
        <w:jc w:val="left"/>
      </w:pPr>
      <w:r>
        <w:rPr>
          <w:spacing w:val="-2"/>
        </w:rPr>
        <w:t>Overview</w:t>
      </w:r>
    </w:p>
    <w:p>
      <w:pPr>
        <w:pStyle w:val="BodyText"/>
        <w:spacing w:before="50"/>
        <w:ind w:left="119"/>
      </w:pPr>
      <w:r>
        <w:rPr/>
        <w:t>This HTC policy seeks support the broad goals of the Comprehensive Housing Policy to do the </w:t>
      </w:r>
      <w:r>
        <w:rPr>
          <w:spacing w:val="-2"/>
        </w:rPr>
        <w:t>following:</w:t>
      </w:r>
    </w:p>
    <w:p>
      <w:pPr>
        <w:pStyle w:val="ListParagraph"/>
        <w:numPr>
          <w:ilvl w:val="1"/>
          <w:numId w:val="16"/>
        </w:numPr>
        <w:tabs>
          <w:tab w:pos="840" w:val="left" w:leader="none"/>
          <w:tab w:pos="841" w:val="left" w:leader="none"/>
        </w:tabs>
        <w:spacing w:line="268" w:lineRule="exact" w:before="2" w:after="0"/>
        <w:ind w:left="840" w:right="0" w:hanging="361"/>
        <w:jc w:val="left"/>
        <w:rPr>
          <w:rFonts w:ascii="Symbol" w:hAnsi="Symbol"/>
          <w:sz w:val="22"/>
        </w:rPr>
      </w:pPr>
      <w:r>
        <w:rPr>
          <w:sz w:val="22"/>
        </w:rPr>
        <w:t>Create</w:t>
      </w:r>
      <w:r>
        <w:rPr>
          <w:spacing w:val="-7"/>
          <w:sz w:val="22"/>
        </w:rPr>
        <w:t> </w:t>
      </w:r>
      <w:r>
        <w:rPr>
          <w:sz w:val="22"/>
        </w:rPr>
        <w:t>and</w:t>
      </w:r>
      <w:r>
        <w:rPr>
          <w:spacing w:val="-10"/>
          <w:sz w:val="22"/>
        </w:rPr>
        <w:t> </w:t>
      </w:r>
      <w:r>
        <w:rPr>
          <w:sz w:val="22"/>
        </w:rPr>
        <w:t>maintain</w:t>
      </w:r>
      <w:r>
        <w:rPr>
          <w:spacing w:val="-6"/>
          <w:sz w:val="22"/>
        </w:rPr>
        <w:t> </w:t>
      </w:r>
      <w:r>
        <w:rPr>
          <w:sz w:val="22"/>
        </w:rPr>
        <w:t>affordable</w:t>
      </w:r>
      <w:r>
        <w:rPr>
          <w:spacing w:val="-6"/>
          <w:sz w:val="22"/>
        </w:rPr>
        <w:t> </w:t>
      </w:r>
      <w:r>
        <w:rPr>
          <w:sz w:val="22"/>
        </w:rPr>
        <w:t>housing</w:t>
      </w:r>
      <w:r>
        <w:rPr>
          <w:spacing w:val="-8"/>
          <w:sz w:val="22"/>
        </w:rPr>
        <w:t> </w:t>
      </w:r>
      <w:r>
        <w:rPr>
          <w:sz w:val="22"/>
        </w:rPr>
        <w:t>throughout</w:t>
      </w:r>
      <w:r>
        <w:rPr>
          <w:spacing w:val="-4"/>
          <w:sz w:val="22"/>
        </w:rPr>
        <w:t> </w:t>
      </w:r>
      <w:r>
        <w:rPr>
          <w:spacing w:val="-2"/>
          <w:sz w:val="22"/>
        </w:rPr>
        <w:t>Dallas,</w:t>
      </w:r>
    </w:p>
    <w:p>
      <w:pPr>
        <w:pStyle w:val="ListParagraph"/>
        <w:numPr>
          <w:ilvl w:val="1"/>
          <w:numId w:val="16"/>
        </w:numPr>
        <w:tabs>
          <w:tab w:pos="840" w:val="left" w:leader="none"/>
          <w:tab w:pos="841" w:val="left" w:leader="none"/>
        </w:tabs>
        <w:spacing w:line="268" w:lineRule="exact" w:before="0" w:after="0"/>
        <w:ind w:left="840" w:right="0" w:hanging="361"/>
        <w:jc w:val="left"/>
        <w:rPr>
          <w:rFonts w:ascii="Symbol" w:hAnsi="Symbol"/>
          <w:sz w:val="22"/>
        </w:rPr>
      </w:pPr>
      <w:r>
        <w:rPr>
          <w:sz w:val="22"/>
        </w:rPr>
        <w:t>Promote</w:t>
      </w:r>
      <w:r>
        <w:rPr>
          <w:spacing w:val="-6"/>
          <w:sz w:val="22"/>
        </w:rPr>
        <w:t> </w:t>
      </w:r>
      <w:r>
        <w:rPr>
          <w:sz w:val="22"/>
        </w:rPr>
        <w:t>greater</w:t>
      </w:r>
      <w:r>
        <w:rPr>
          <w:spacing w:val="-7"/>
          <w:sz w:val="22"/>
        </w:rPr>
        <w:t> </w:t>
      </w:r>
      <w:r>
        <w:rPr>
          <w:sz w:val="22"/>
        </w:rPr>
        <w:t>fair</w:t>
      </w:r>
      <w:r>
        <w:rPr>
          <w:spacing w:val="-3"/>
          <w:sz w:val="22"/>
        </w:rPr>
        <w:t> </w:t>
      </w:r>
      <w:r>
        <w:rPr>
          <w:sz w:val="22"/>
        </w:rPr>
        <w:t>housing</w:t>
      </w:r>
      <w:r>
        <w:rPr>
          <w:spacing w:val="-6"/>
          <w:sz w:val="22"/>
        </w:rPr>
        <w:t> </w:t>
      </w:r>
      <w:r>
        <w:rPr>
          <w:sz w:val="22"/>
        </w:rPr>
        <w:t>choices,</w:t>
      </w:r>
      <w:r>
        <w:rPr>
          <w:spacing w:val="-5"/>
          <w:sz w:val="22"/>
        </w:rPr>
        <w:t> and</w:t>
      </w:r>
    </w:p>
    <w:p>
      <w:pPr>
        <w:pStyle w:val="ListParagraph"/>
        <w:numPr>
          <w:ilvl w:val="1"/>
          <w:numId w:val="16"/>
        </w:numPr>
        <w:tabs>
          <w:tab w:pos="840" w:val="left" w:leader="none"/>
          <w:tab w:pos="841" w:val="left" w:leader="none"/>
        </w:tabs>
        <w:spacing w:line="237" w:lineRule="auto" w:before="2" w:after="0"/>
        <w:ind w:left="840" w:right="156" w:hanging="361"/>
        <w:jc w:val="left"/>
        <w:rPr>
          <w:rFonts w:ascii="Symbol" w:hAnsi="Symbol"/>
          <w:sz w:val="22"/>
        </w:rPr>
      </w:pPr>
      <w:r>
        <w:rPr>
          <w:sz w:val="22"/>
        </w:rPr>
        <w:t>Overcome patterns of segregation and concentrations of poverty through incentives and </w:t>
      </w:r>
      <w:r>
        <w:rPr>
          <w:spacing w:val="-2"/>
          <w:sz w:val="22"/>
        </w:rPr>
        <w:t>requirements.</w:t>
      </w:r>
    </w:p>
    <w:p>
      <w:pPr>
        <w:pStyle w:val="BodyText"/>
        <w:ind w:left="120" w:right="154"/>
        <w:jc w:val="both"/>
      </w:pPr>
      <w:r>
        <w:rPr/>
        <w:t>The</w:t>
      </w:r>
      <w:r>
        <w:rPr>
          <w:spacing w:val="-14"/>
        </w:rPr>
        <w:t> </w:t>
      </w:r>
      <w:r>
        <w:rPr/>
        <w:t>decision</w:t>
      </w:r>
      <w:r>
        <w:rPr>
          <w:spacing w:val="-14"/>
        </w:rPr>
        <w:t> </w:t>
      </w:r>
      <w:r>
        <w:rPr/>
        <w:t>to</w:t>
      </w:r>
      <w:r>
        <w:rPr>
          <w:spacing w:val="-14"/>
        </w:rPr>
        <w:t> </w:t>
      </w:r>
      <w:r>
        <w:rPr/>
        <w:t>provide</w:t>
      </w:r>
      <w:r>
        <w:rPr>
          <w:spacing w:val="-14"/>
        </w:rPr>
        <w:t> </w:t>
      </w:r>
      <w:r>
        <w:rPr/>
        <w:t>a</w:t>
      </w:r>
      <w:r>
        <w:rPr>
          <w:spacing w:val="-16"/>
        </w:rPr>
        <w:t> </w:t>
      </w:r>
      <w:r>
        <w:rPr/>
        <w:t>Resolution</w:t>
      </w:r>
      <w:r>
        <w:rPr>
          <w:spacing w:val="-13"/>
        </w:rPr>
        <w:t> </w:t>
      </w:r>
      <w:r>
        <w:rPr/>
        <w:t>of</w:t>
      </w:r>
      <w:r>
        <w:rPr>
          <w:spacing w:val="-12"/>
        </w:rPr>
        <w:t> </w:t>
      </w:r>
      <w:r>
        <w:rPr/>
        <w:t>No</w:t>
      </w:r>
      <w:r>
        <w:rPr>
          <w:spacing w:val="-16"/>
        </w:rPr>
        <w:t> </w:t>
      </w:r>
      <w:r>
        <w:rPr/>
        <w:t>Objection</w:t>
      </w:r>
      <w:r>
        <w:rPr>
          <w:spacing w:val="-13"/>
        </w:rPr>
        <w:t> </w:t>
      </w:r>
      <w:r>
        <w:rPr/>
        <w:t>or</w:t>
      </w:r>
      <w:r>
        <w:rPr>
          <w:spacing w:val="-12"/>
        </w:rPr>
        <w:t> </w:t>
      </w:r>
      <w:r>
        <w:rPr/>
        <w:t>Support</w:t>
      </w:r>
      <w:r>
        <w:rPr>
          <w:spacing w:val="-15"/>
        </w:rPr>
        <w:t> </w:t>
      </w:r>
      <w:r>
        <w:rPr/>
        <w:t>must</w:t>
      </w:r>
      <w:r>
        <w:rPr>
          <w:spacing w:val="-15"/>
        </w:rPr>
        <w:t> </w:t>
      </w:r>
      <w:r>
        <w:rPr/>
        <w:t>be</w:t>
      </w:r>
      <w:r>
        <w:rPr>
          <w:spacing w:val="-14"/>
        </w:rPr>
        <w:t> </w:t>
      </w:r>
      <w:r>
        <w:rPr/>
        <w:t>aligned</w:t>
      </w:r>
      <w:r>
        <w:rPr>
          <w:spacing w:val="-14"/>
        </w:rPr>
        <w:t> </w:t>
      </w:r>
      <w:r>
        <w:rPr/>
        <w:t>with</w:t>
      </w:r>
      <w:r>
        <w:rPr>
          <w:spacing w:val="-14"/>
        </w:rPr>
        <w:t> </w:t>
      </w:r>
      <w:r>
        <w:rPr/>
        <w:t>these</w:t>
      </w:r>
      <w:r>
        <w:rPr>
          <w:spacing w:val="-14"/>
        </w:rPr>
        <w:t> </w:t>
      </w:r>
      <w:r>
        <w:rPr/>
        <w:t>goals. Unlike other City programs that directly invest in specific projects or provide direct incentives, such</w:t>
      </w:r>
      <w:r>
        <w:rPr>
          <w:spacing w:val="-2"/>
        </w:rPr>
        <w:t> </w:t>
      </w:r>
      <w:r>
        <w:rPr/>
        <w:t>as</w:t>
      </w:r>
      <w:r>
        <w:rPr>
          <w:spacing w:val="-4"/>
        </w:rPr>
        <w:t> </w:t>
      </w:r>
      <w:r>
        <w:rPr/>
        <w:t>fee</w:t>
      </w:r>
      <w:r>
        <w:rPr>
          <w:spacing w:val="-4"/>
        </w:rPr>
        <w:t> </w:t>
      </w:r>
      <w:r>
        <w:rPr/>
        <w:t>waivers</w:t>
      </w:r>
      <w:r>
        <w:rPr>
          <w:spacing w:val="-4"/>
        </w:rPr>
        <w:t> </w:t>
      </w:r>
      <w:r>
        <w:rPr/>
        <w:t>or</w:t>
      </w:r>
      <w:r>
        <w:rPr>
          <w:spacing w:val="-3"/>
        </w:rPr>
        <w:t> </w:t>
      </w:r>
      <w:r>
        <w:rPr/>
        <w:t>tax</w:t>
      </w:r>
      <w:r>
        <w:rPr>
          <w:spacing w:val="-1"/>
        </w:rPr>
        <w:t> </w:t>
      </w:r>
      <w:r>
        <w:rPr/>
        <w:t>abatements,</w:t>
      </w:r>
      <w:r>
        <w:rPr>
          <w:spacing w:val="-2"/>
        </w:rPr>
        <w:t> </w:t>
      </w:r>
      <w:r>
        <w:rPr/>
        <w:t>the</w:t>
      </w:r>
      <w:r>
        <w:rPr>
          <w:spacing w:val="-6"/>
        </w:rPr>
        <w:t> </w:t>
      </w:r>
      <w:r>
        <w:rPr/>
        <w:t>resolutions</w:t>
      </w:r>
      <w:r>
        <w:rPr>
          <w:spacing w:val="-1"/>
        </w:rPr>
        <w:t> </w:t>
      </w:r>
      <w:r>
        <w:rPr/>
        <w:t>are</w:t>
      </w:r>
      <w:r>
        <w:rPr>
          <w:spacing w:val="-4"/>
        </w:rPr>
        <w:t> </w:t>
      </w:r>
      <w:r>
        <w:rPr/>
        <w:t>an</w:t>
      </w:r>
      <w:r>
        <w:rPr>
          <w:spacing w:val="-4"/>
        </w:rPr>
        <w:t> </w:t>
      </w:r>
      <w:r>
        <w:rPr/>
        <w:t>indirect</w:t>
      </w:r>
      <w:r>
        <w:rPr>
          <w:spacing w:val="-2"/>
        </w:rPr>
        <w:t> </w:t>
      </w:r>
      <w:r>
        <w:rPr/>
        <w:t>way</w:t>
      </w:r>
      <w:r>
        <w:rPr>
          <w:spacing w:val="-6"/>
        </w:rPr>
        <w:t> </w:t>
      </w:r>
      <w:r>
        <w:rPr/>
        <w:t>for</w:t>
      </w:r>
      <w:r>
        <w:rPr>
          <w:spacing w:val="-5"/>
        </w:rPr>
        <w:t> </w:t>
      </w:r>
      <w:r>
        <w:rPr/>
        <w:t>the</w:t>
      </w:r>
      <w:r>
        <w:rPr>
          <w:spacing w:val="-4"/>
        </w:rPr>
        <w:t> </w:t>
      </w:r>
      <w:r>
        <w:rPr/>
        <w:t>City</w:t>
      </w:r>
      <w:r>
        <w:rPr>
          <w:spacing w:val="-4"/>
        </w:rPr>
        <w:t> </w:t>
      </w:r>
      <w:r>
        <w:rPr/>
        <w:t>to</w:t>
      </w:r>
      <w:r>
        <w:rPr>
          <w:spacing w:val="-4"/>
        </w:rPr>
        <w:t> </w:t>
      </w:r>
      <w:r>
        <w:rPr/>
        <w:t>support the proposed development. Because of the points allocation for a Resolution of No Objection or Support</w:t>
      </w:r>
      <w:r>
        <w:rPr>
          <w:spacing w:val="-3"/>
        </w:rPr>
        <w:t> </w:t>
      </w:r>
      <w:r>
        <w:rPr/>
        <w:t>for</w:t>
      </w:r>
      <w:r>
        <w:rPr>
          <w:spacing w:val="-3"/>
        </w:rPr>
        <w:t> </w:t>
      </w:r>
      <w:r>
        <w:rPr/>
        <w:t>9%</w:t>
      </w:r>
      <w:r>
        <w:rPr>
          <w:spacing w:val="-3"/>
        </w:rPr>
        <w:t> </w:t>
      </w:r>
      <w:r>
        <w:rPr/>
        <w:t>HTC</w:t>
      </w:r>
      <w:r>
        <w:rPr>
          <w:spacing w:val="-2"/>
        </w:rPr>
        <w:t> </w:t>
      </w:r>
      <w:r>
        <w:rPr/>
        <w:t>and</w:t>
      </w:r>
      <w:r>
        <w:rPr>
          <w:spacing w:val="-4"/>
        </w:rPr>
        <w:t> </w:t>
      </w:r>
      <w:r>
        <w:rPr/>
        <w:t>the</w:t>
      </w:r>
      <w:r>
        <w:rPr>
          <w:spacing w:val="-4"/>
        </w:rPr>
        <w:t> </w:t>
      </w:r>
      <w:r>
        <w:rPr/>
        <w:t>threshold</w:t>
      </w:r>
      <w:r>
        <w:rPr>
          <w:spacing w:val="-2"/>
        </w:rPr>
        <w:t> </w:t>
      </w:r>
      <w:r>
        <w:rPr/>
        <w:t>requirement of</w:t>
      </w:r>
      <w:r>
        <w:rPr>
          <w:spacing w:val="-3"/>
        </w:rPr>
        <w:t> </w:t>
      </w:r>
      <w:r>
        <w:rPr/>
        <w:t>a</w:t>
      </w:r>
      <w:r>
        <w:rPr>
          <w:spacing w:val="-2"/>
        </w:rPr>
        <w:t> </w:t>
      </w:r>
      <w:r>
        <w:rPr/>
        <w:t>Resolution</w:t>
      </w:r>
      <w:r>
        <w:rPr>
          <w:spacing w:val="-4"/>
        </w:rPr>
        <w:t> </w:t>
      </w:r>
      <w:r>
        <w:rPr/>
        <w:t>of No</w:t>
      </w:r>
      <w:r>
        <w:rPr>
          <w:spacing w:val="-5"/>
        </w:rPr>
        <w:t> </w:t>
      </w:r>
      <w:r>
        <w:rPr/>
        <w:t>Objection</w:t>
      </w:r>
      <w:r>
        <w:rPr>
          <w:spacing w:val="-4"/>
        </w:rPr>
        <w:t> </w:t>
      </w:r>
      <w:r>
        <w:rPr/>
        <w:t>for</w:t>
      </w:r>
      <w:r>
        <w:rPr>
          <w:spacing w:val="-3"/>
        </w:rPr>
        <w:t> </w:t>
      </w:r>
      <w:r>
        <w:rPr/>
        <w:t>4%</w:t>
      </w:r>
      <w:r>
        <w:rPr>
          <w:spacing w:val="-1"/>
        </w:rPr>
        <w:t> </w:t>
      </w:r>
      <w:r>
        <w:rPr/>
        <w:t>HTC,</w:t>
      </w:r>
    </w:p>
    <w:p>
      <w:pPr>
        <w:spacing w:after="0"/>
        <w:jc w:val="both"/>
        <w:sectPr>
          <w:pgSz w:w="12240" w:h="15840"/>
          <w:pgMar w:header="0" w:footer="1176" w:top="1380" w:bottom="1420" w:left="1320" w:right="1280"/>
        </w:sectPr>
      </w:pPr>
    </w:p>
    <w:p>
      <w:pPr>
        <w:pStyle w:val="BodyText"/>
        <w:spacing w:before="80"/>
        <w:ind w:left="119" w:right="156"/>
        <w:jc w:val="both"/>
      </w:pPr>
      <w:r>
        <w:rPr/>
        <w:t>the City’s position regarding a proposed development can greatly affect whether the proposed development is awarded HTC by TDHCA.</w:t>
      </w:r>
    </w:p>
    <w:p>
      <w:pPr>
        <w:pStyle w:val="BodyText"/>
        <w:spacing w:before="10"/>
        <w:rPr>
          <w:sz w:val="21"/>
        </w:rPr>
      </w:pPr>
    </w:p>
    <w:p>
      <w:pPr>
        <w:pStyle w:val="BodyText"/>
        <w:ind w:left="119" w:right="156"/>
        <w:jc w:val="both"/>
      </w:pPr>
      <w:r>
        <w:rPr/>
        <w:t>Given the substantial need for affordable housing across the City and that TDHCA administers the process for awarding HTC, the City has an interest in broadly supporting quality and responsible HTC proposals across the City. As such, the City will be supportive of maximizing production using HTC.</w:t>
      </w:r>
    </w:p>
    <w:p>
      <w:pPr>
        <w:pStyle w:val="BodyText"/>
        <w:spacing w:before="5"/>
        <w:rPr>
          <w:sz w:val="26"/>
        </w:rPr>
      </w:pPr>
    </w:p>
    <w:p>
      <w:pPr>
        <w:pStyle w:val="Heading3"/>
        <w:spacing w:before="0"/>
        <w:rPr>
          <w:sz w:val="22"/>
        </w:rPr>
      </w:pPr>
      <w:r>
        <w:rPr/>
        <w:pict>
          <v:shape style="position:absolute;margin-left:90.065002pt;margin-top:10.788791pt;width:395.3pt;height:419pt;mso-position-horizontal-relative:page;mso-position-vertical-relative:paragraph;z-index:-17696768" id="docshape96" coordorigin="1801,216" coordsize="7906,8380" path="m4498,7479l4492,7406,4477,7328,4455,7245,4432,7176,4403,7104,4367,7029,4325,6951,4276,6870,4237,6811,4200,6761,4200,7446,4197,7503,4186,7559,4167,7617,4138,7676,4097,7739,4044,7805,3979,7875,3674,8180,2216,6722,2517,6422,2598,6345,2672,6286,2740,6242,2801,6216,2868,6201,2941,6197,3020,6204,3105,6222,3195,6251,3255,6276,3317,6309,3380,6347,3446,6392,3514,6444,3584,6502,3656,6567,3729,6638,3789,6700,3845,6760,3896,6819,3943,6877,3986,6933,4025,6988,4059,7042,4101,7117,4136,7189,4163,7259,4183,7326,4196,7390,4200,7446,4200,6761,4194,6752,4148,6692,4098,6631,4045,6570,3989,6509,3929,6447,3865,6385,3801,6326,3737,6271,3673,6220,3643,6197,3609,6172,3546,6127,3482,6086,3419,6048,3346,6010,3274,5978,3203,5951,3132,5929,3062,5912,2992,5900,2923,5893,2850,5891,2779,5898,2709,5913,2642,5936,2577,5966,2528,5994,2476,6031,2420,6077,2359,6131,2294,6194,1801,6687,3710,8595,4124,8180,4226,8078,4287,8013,4341,7948,4386,7882,4424,7815,4454,7749,4476,7682,4491,7616,4498,7548,4498,7479xm6418,5886l6056,5759,5650,5616,5561,5587,5475,5563,5393,5544,5365,5538,5314,5529,5239,5519,5193,5518,5143,5521,5089,5528,5030,5538,5073,5469,5109,5399,5136,5330,5154,5261,5164,5193,5165,5124,5157,5057,5139,4979,5111,4902,5075,4828,5030,4755,4976,4685,4956,4662,4913,4616,4872,4578,4872,5135,4868,5191,4854,5246,4830,5302,4794,5360,4747,5421,4687,5485,4280,5892,3649,5261,4102,4808,4166,4751,4229,4708,4293,4678,4358,4663,4422,4662,4501,4677,4577,4707,4649,4751,4718,4811,4761,4859,4797,4909,4827,4963,4851,5020,4867,5078,4872,5135,4872,4578,4849,4556,4782,4504,4713,4458,4641,4420,4566,4388,4474,4359,4386,4347,4303,4349,4225,4365,4163,4390,4098,4426,4030,4474,3958,4534,3883,4605,3248,5240,5157,7148,5346,6958,4499,6111,4718,5892,4753,5858,4783,5830,4810,5809,4833,5795,4863,5781,4896,5770,4932,5763,4971,5759,5014,5759,5066,5764,5125,5774,5194,5791,5256,5808,5328,5829,5407,5854,5496,5883,6180,6124,6418,5886xm7780,4524l7415,4329,6555,3875,6555,4182,6070,4667,6030,4596,5989,4524,5748,4093,5708,4022,5668,3950,5629,3885,5590,3820,5550,3756,5509,3693,5467,3631,5424,3569,5380,3509,5436,3544,5498,3582,5564,3622,5635,3664,5792,3754,6555,4182,6555,3875,5862,3509,5286,3202,5082,3406,5277,3756,5316,3826,5701,4524,6207,5443,6441,5864,6642,5663,6565,5529,6298,5061,6221,4927,6481,4667,6820,4329,7173,4524,7565,4740,7780,4524xm8131,4174l7264,3307,7936,2635,7711,2410,7039,3081,6448,2491,7224,1714,6999,1489,6033,2455,7941,4363,8131,4174xm9707,2598l8024,915,8497,441,8272,216,7138,1350,7363,1576,7834,1104,9517,2787,9707,2598xe" filled="true" fillcolor="#c0c0c0" stroked="false">
            <v:path arrowok="t"/>
            <v:fill opacity="32896f" type="solid"/>
            <w10:wrap type="none"/>
          </v:shape>
        </w:pict>
      </w:r>
      <w:bookmarkStart w:name="_bookmark25" w:id="63"/>
      <w:bookmarkEnd w:id="63"/>
      <w:r>
        <w:rPr/>
      </w:r>
      <w:r>
        <w:rPr>
          <w:spacing w:val="-2"/>
        </w:rPr>
        <w:t>Definitions</w:t>
      </w:r>
      <w:r>
        <w:rPr>
          <w:spacing w:val="-2"/>
          <w:sz w:val="22"/>
        </w:rPr>
        <w:t>:</w:t>
      </w:r>
    </w:p>
    <w:p>
      <w:pPr>
        <w:pStyle w:val="ListParagraph"/>
        <w:numPr>
          <w:ilvl w:val="1"/>
          <w:numId w:val="16"/>
        </w:numPr>
        <w:tabs>
          <w:tab w:pos="841" w:val="left" w:leader="none"/>
        </w:tabs>
        <w:spacing w:line="283" w:lineRule="auto" w:before="76" w:after="0"/>
        <w:ind w:left="840" w:right="161" w:hanging="361"/>
        <w:jc w:val="both"/>
        <w:rPr>
          <w:rFonts w:ascii="Symbol" w:hAnsi="Symbol"/>
          <w:sz w:val="22"/>
        </w:rPr>
      </w:pPr>
      <w:r>
        <w:rPr>
          <w:sz w:val="22"/>
        </w:rPr>
        <w:t>Affordability</w:t>
      </w:r>
      <w:r>
        <w:rPr>
          <w:spacing w:val="-16"/>
          <w:sz w:val="22"/>
        </w:rPr>
        <w:t> </w:t>
      </w:r>
      <w:r>
        <w:rPr>
          <w:sz w:val="22"/>
        </w:rPr>
        <w:t>Period</w:t>
      </w:r>
      <w:r>
        <w:rPr>
          <w:spacing w:val="-15"/>
          <w:sz w:val="22"/>
        </w:rPr>
        <w:t> </w:t>
      </w:r>
      <w:r>
        <w:rPr>
          <w:sz w:val="22"/>
        </w:rPr>
        <w:t>has</w:t>
      </w:r>
      <w:r>
        <w:rPr>
          <w:spacing w:val="-15"/>
          <w:sz w:val="22"/>
        </w:rPr>
        <w:t> </w:t>
      </w:r>
      <w:r>
        <w:rPr>
          <w:sz w:val="22"/>
        </w:rPr>
        <w:t>the</w:t>
      </w:r>
      <w:r>
        <w:rPr>
          <w:spacing w:val="-16"/>
          <w:sz w:val="22"/>
        </w:rPr>
        <w:t> </w:t>
      </w:r>
      <w:r>
        <w:rPr>
          <w:sz w:val="22"/>
        </w:rPr>
        <w:t>same</w:t>
      </w:r>
      <w:r>
        <w:rPr>
          <w:spacing w:val="-15"/>
          <w:sz w:val="22"/>
        </w:rPr>
        <w:t> </w:t>
      </w:r>
      <w:r>
        <w:rPr>
          <w:sz w:val="22"/>
        </w:rPr>
        <w:t>meaning</w:t>
      </w:r>
      <w:r>
        <w:rPr>
          <w:spacing w:val="-15"/>
          <w:sz w:val="22"/>
        </w:rPr>
        <w:t> </w:t>
      </w:r>
      <w:r>
        <w:rPr>
          <w:sz w:val="22"/>
        </w:rPr>
        <w:t>as</w:t>
      </w:r>
      <w:r>
        <w:rPr>
          <w:spacing w:val="-15"/>
          <w:sz w:val="22"/>
        </w:rPr>
        <w:t> </w:t>
      </w:r>
      <w:r>
        <w:rPr>
          <w:sz w:val="22"/>
        </w:rPr>
        <w:t>the</w:t>
      </w:r>
      <w:r>
        <w:rPr>
          <w:spacing w:val="-16"/>
          <w:sz w:val="22"/>
        </w:rPr>
        <w:t> </w:t>
      </w:r>
      <w:r>
        <w:rPr>
          <w:sz w:val="22"/>
        </w:rPr>
        <w:t>term</w:t>
      </w:r>
      <w:r>
        <w:rPr>
          <w:spacing w:val="-15"/>
          <w:sz w:val="22"/>
        </w:rPr>
        <w:t> </w:t>
      </w:r>
      <w:r>
        <w:rPr>
          <w:sz w:val="22"/>
        </w:rPr>
        <w:t>is</w:t>
      </w:r>
      <w:r>
        <w:rPr>
          <w:spacing w:val="-15"/>
          <w:sz w:val="22"/>
        </w:rPr>
        <w:t> </w:t>
      </w:r>
      <w:r>
        <w:rPr>
          <w:sz w:val="22"/>
        </w:rPr>
        <w:t>defined</w:t>
      </w:r>
      <w:r>
        <w:rPr>
          <w:spacing w:val="-16"/>
          <w:sz w:val="22"/>
        </w:rPr>
        <w:t> </w:t>
      </w:r>
      <w:r>
        <w:rPr>
          <w:sz w:val="22"/>
        </w:rPr>
        <w:t>in</w:t>
      </w:r>
      <w:r>
        <w:rPr>
          <w:spacing w:val="-15"/>
          <w:sz w:val="22"/>
        </w:rPr>
        <w:t> </w:t>
      </w:r>
      <w:r>
        <w:rPr>
          <w:sz w:val="22"/>
        </w:rPr>
        <w:t>the</w:t>
      </w:r>
      <w:r>
        <w:rPr>
          <w:spacing w:val="-15"/>
          <w:sz w:val="22"/>
        </w:rPr>
        <w:t> </w:t>
      </w:r>
      <w:r>
        <w:rPr>
          <w:sz w:val="22"/>
        </w:rPr>
        <w:t>Qualified</w:t>
      </w:r>
      <w:r>
        <w:rPr>
          <w:spacing w:val="-15"/>
          <w:sz w:val="22"/>
        </w:rPr>
        <w:t> </w:t>
      </w:r>
      <w:r>
        <w:rPr>
          <w:sz w:val="22"/>
        </w:rPr>
        <w:t>Allocation Plan, as amended.</w:t>
      </w:r>
    </w:p>
    <w:p>
      <w:pPr>
        <w:pStyle w:val="ListParagraph"/>
        <w:numPr>
          <w:ilvl w:val="1"/>
          <w:numId w:val="16"/>
        </w:numPr>
        <w:tabs>
          <w:tab w:pos="841" w:val="left" w:leader="none"/>
        </w:tabs>
        <w:spacing w:line="283" w:lineRule="auto" w:before="5" w:after="0"/>
        <w:ind w:left="840" w:right="161" w:hanging="361"/>
        <w:jc w:val="both"/>
        <w:rPr>
          <w:rFonts w:ascii="Symbol" w:hAnsi="Symbol"/>
          <w:sz w:val="22"/>
        </w:rPr>
      </w:pPr>
      <w:r>
        <w:rPr>
          <w:sz w:val="22"/>
        </w:rPr>
        <w:t>Development has the same meaning as the term is defined in the Qualified Allocation Plan, as amended.</w:t>
      </w:r>
    </w:p>
    <w:p>
      <w:pPr>
        <w:pStyle w:val="ListParagraph"/>
        <w:numPr>
          <w:ilvl w:val="1"/>
          <w:numId w:val="16"/>
        </w:numPr>
        <w:tabs>
          <w:tab w:pos="841" w:val="left" w:leader="none"/>
        </w:tabs>
        <w:spacing w:line="280" w:lineRule="auto" w:before="7" w:after="0"/>
        <w:ind w:left="840" w:right="161" w:hanging="361"/>
        <w:jc w:val="both"/>
        <w:rPr>
          <w:rFonts w:ascii="Symbol" w:hAnsi="Symbol"/>
          <w:sz w:val="22"/>
        </w:rPr>
      </w:pPr>
      <w:r>
        <w:rPr>
          <w:sz w:val="22"/>
        </w:rPr>
        <w:t>Development</w:t>
      </w:r>
      <w:r>
        <w:rPr>
          <w:spacing w:val="-8"/>
          <w:sz w:val="22"/>
        </w:rPr>
        <w:t> </w:t>
      </w:r>
      <w:r>
        <w:rPr>
          <w:sz w:val="22"/>
        </w:rPr>
        <w:t>Site</w:t>
      </w:r>
      <w:r>
        <w:rPr>
          <w:spacing w:val="-10"/>
          <w:sz w:val="22"/>
        </w:rPr>
        <w:t> </w:t>
      </w:r>
      <w:r>
        <w:rPr>
          <w:sz w:val="22"/>
        </w:rPr>
        <w:t>has</w:t>
      </w:r>
      <w:r>
        <w:rPr>
          <w:spacing w:val="-9"/>
          <w:sz w:val="22"/>
        </w:rPr>
        <w:t> </w:t>
      </w:r>
      <w:r>
        <w:rPr>
          <w:sz w:val="22"/>
        </w:rPr>
        <w:t>the</w:t>
      </w:r>
      <w:r>
        <w:rPr>
          <w:spacing w:val="-10"/>
          <w:sz w:val="22"/>
        </w:rPr>
        <w:t> </w:t>
      </w:r>
      <w:r>
        <w:rPr>
          <w:sz w:val="22"/>
        </w:rPr>
        <w:t>same</w:t>
      </w:r>
      <w:r>
        <w:rPr>
          <w:spacing w:val="-12"/>
          <w:sz w:val="22"/>
        </w:rPr>
        <w:t> </w:t>
      </w:r>
      <w:r>
        <w:rPr>
          <w:sz w:val="22"/>
        </w:rPr>
        <w:t>meaning</w:t>
      </w:r>
      <w:r>
        <w:rPr>
          <w:spacing w:val="-10"/>
          <w:sz w:val="22"/>
        </w:rPr>
        <w:t> </w:t>
      </w:r>
      <w:r>
        <w:rPr>
          <w:sz w:val="22"/>
        </w:rPr>
        <w:t>as</w:t>
      </w:r>
      <w:r>
        <w:rPr>
          <w:spacing w:val="-12"/>
          <w:sz w:val="22"/>
        </w:rPr>
        <w:t> </w:t>
      </w:r>
      <w:r>
        <w:rPr>
          <w:sz w:val="22"/>
        </w:rPr>
        <w:t>the</w:t>
      </w:r>
      <w:r>
        <w:rPr>
          <w:spacing w:val="-12"/>
          <w:sz w:val="22"/>
        </w:rPr>
        <w:t> </w:t>
      </w:r>
      <w:r>
        <w:rPr>
          <w:sz w:val="22"/>
        </w:rPr>
        <w:t>term</w:t>
      </w:r>
      <w:r>
        <w:rPr>
          <w:spacing w:val="-9"/>
          <w:sz w:val="22"/>
        </w:rPr>
        <w:t> </w:t>
      </w:r>
      <w:r>
        <w:rPr>
          <w:sz w:val="22"/>
        </w:rPr>
        <w:t>is</w:t>
      </w:r>
      <w:r>
        <w:rPr>
          <w:spacing w:val="-9"/>
          <w:sz w:val="22"/>
        </w:rPr>
        <w:t> </w:t>
      </w:r>
      <w:r>
        <w:rPr>
          <w:sz w:val="22"/>
        </w:rPr>
        <w:t>defined</w:t>
      </w:r>
      <w:r>
        <w:rPr>
          <w:spacing w:val="-10"/>
          <w:sz w:val="22"/>
        </w:rPr>
        <w:t> </w:t>
      </w:r>
      <w:r>
        <w:rPr>
          <w:sz w:val="22"/>
        </w:rPr>
        <w:t>in</w:t>
      </w:r>
      <w:r>
        <w:rPr>
          <w:spacing w:val="-10"/>
          <w:sz w:val="22"/>
        </w:rPr>
        <w:t> </w:t>
      </w:r>
      <w:r>
        <w:rPr>
          <w:sz w:val="22"/>
        </w:rPr>
        <w:t>the</w:t>
      </w:r>
      <w:r>
        <w:rPr>
          <w:spacing w:val="-12"/>
          <w:sz w:val="22"/>
        </w:rPr>
        <w:t> </w:t>
      </w:r>
      <w:r>
        <w:rPr>
          <w:sz w:val="22"/>
        </w:rPr>
        <w:t>Qualified</w:t>
      </w:r>
      <w:r>
        <w:rPr>
          <w:spacing w:val="-10"/>
          <w:sz w:val="22"/>
        </w:rPr>
        <w:t> </w:t>
      </w:r>
      <w:r>
        <w:rPr>
          <w:sz w:val="22"/>
        </w:rPr>
        <w:t>Allocation Plan, as amended.</w:t>
      </w:r>
    </w:p>
    <w:p>
      <w:pPr>
        <w:pStyle w:val="ListParagraph"/>
        <w:numPr>
          <w:ilvl w:val="1"/>
          <w:numId w:val="16"/>
        </w:numPr>
        <w:tabs>
          <w:tab w:pos="841" w:val="left" w:leader="none"/>
        </w:tabs>
        <w:spacing w:line="280" w:lineRule="auto" w:before="11" w:after="0"/>
        <w:ind w:left="840" w:right="158" w:hanging="361"/>
        <w:jc w:val="both"/>
        <w:rPr>
          <w:rFonts w:ascii="Symbol" w:hAnsi="Symbol"/>
          <w:sz w:val="22"/>
        </w:rPr>
      </w:pPr>
      <w:r>
        <w:rPr>
          <w:sz w:val="22"/>
        </w:rPr>
        <w:t>Historically Underutilized Business has the same meaning as the term is defined in the Qualified Allocation Plan, as amended.</w:t>
      </w:r>
    </w:p>
    <w:p>
      <w:pPr>
        <w:pStyle w:val="ListParagraph"/>
        <w:numPr>
          <w:ilvl w:val="1"/>
          <w:numId w:val="16"/>
        </w:numPr>
        <w:tabs>
          <w:tab w:pos="841" w:val="left" w:leader="none"/>
        </w:tabs>
        <w:spacing w:line="283" w:lineRule="auto" w:before="10" w:after="0"/>
        <w:ind w:left="840" w:right="157" w:hanging="361"/>
        <w:jc w:val="both"/>
        <w:rPr>
          <w:rFonts w:ascii="Symbol" w:hAnsi="Symbol"/>
          <w:sz w:val="22"/>
        </w:rPr>
      </w:pPr>
      <w:r>
        <w:rPr>
          <w:sz w:val="22"/>
        </w:rPr>
        <w:t>Market Analysis has the same meaning as the term is defined in the Qualified Allocation Plan, as amended.</w:t>
      </w:r>
    </w:p>
    <w:p>
      <w:pPr>
        <w:pStyle w:val="ListParagraph"/>
        <w:numPr>
          <w:ilvl w:val="1"/>
          <w:numId w:val="16"/>
        </w:numPr>
        <w:tabs>
          <w:tab w:pos="841" w:val="left" w:leader="none"/>
        </w:tabs>
        <w:spacing w:line="288" w:lineRule="auto" w:before="6" w:after="0"/>
        <w:ind w:left="840" w:right="155" w:hanging="361"/>
        <w:jc w:val="both"/>
        <w:rPr>
          <w:rFonts w:ascii="Symbol" w:hAnsi="Symbol"/>
          <w:sz w:val="22"/>
        </w:rPr>
      </w:pPr>
      <w:r>
        <w:rPr/>
        <w:pict>
          <v:shape style="position:absolute;margin-left:108.000008pt;margin-top:91.956337pt;width:432pt;height:58.95pt;mso-position-horizontal-relative:page;mso-position-vertical-relative:paragraph;z-index:-17696256" id="docshape97" coordorigin="2160,1839" coordsize="8640,1179" path="m10800,2766l2160,2766,2160,3018,10800,3018,10800,2766xm10800,2461l2160,2461,2160,2715,10800,2715,10800,2461xm10800,2158l2160,2158,2160,2410,10800,2410,10800,2158xm10800,1839l5474,1839,5474,2108,10800,2108,10800,1839xe" filled="true" fillcolor="#ffffff" stroked="false">
            <v:path arrowok="t"/>
            <v:fill type="solid"/>
            <w10:wrap type="none"/>
          </v:shape>
        </w:pict>
      </w:r>
      <w:r>
        <w:rPr>
          <w:sz w:val="22"/>
        </w:rPr>
        <w:t>Market</w:t>
      </w:r>
      <w:r>
        <w:rPr>
          <w:spacing w:val="-7"/>
          <w:sz w:val="22"/>
        </w:rPr>
        <w:t> </w:t>
      </w:r>
      <w:r>
        <w:rPr>
          <w:sz w:val="22"/>
        </w:rPr>
        <w:t>Rate</w:t>
      </w:r>
      <w:r>
        <w:rPr>
          <w:spacing w:val="-9"/>
          <w:sz w:val="22"/>
        </w:rPr>
        <w:t> </w:t>
      </w:r>
      <w:r>
        <w:rPr>
          <w:sz w:val="22"/>
        </w:rPr>
        <w:t>Housing</w:t>
      </w:r>
      <w:r>
        <w:rPr>
          <w:spacing w:val="-6"/>
          <w:sz w:val="22"/>
        </w:rPr>
        <w:t> </w:t>
      </w:r>
      <w:r>
        <w:rPr>
          <w:sz w:val="22"/>
        </w:rPr>
        <w:t>Units</w:t>
      </w:r>
      <w:r>
        <w:rPr>
          <w:spacing w:val="-8"/>
          <w:sz w:val="22"/>
        </w:rPr>
        <w:t> </w:t>
      </w:r>
      <w:r>
        <w:rPr>
          <w:sz w:val="22"/>
        </w:rPr>
        <w:t>means</w:t>
      </w:r>
      <w:r>
        <w:rPr>
          <w:spacing w:val="-8"/>
          <w:sz w:val="22"/>
        </w:rPr>
        <w:t> </w:t>
      </w:r>
      <w:r>
        <w:rPr>
          <w:sz w:val="22"/>
        </w:rPr>
        <w:t>units</w:t>
      </w:r>
      <w:r>
        <w:rPr>
          <w:spacing w:val="-11"/>
          <w:sz w:val="22"/>
        </w:rPr>
        <w:t> </w:t>
      </w:r>
      <w:r>
        <w:rPr>
          <w:sz w:val="22"/>
        </w:rPr>
        <w:t>for</w:t>
      </w:r>
      <w:r>
        <w:rPr>
          <w:spacing w:val="-8"/>
          <w:sz w:val="22"/>
        </w:rPr>
        <w:t> </w:t>
      </w:r>
      <w:r>
        <w:rPr>
          <w:sz w:val="22"/>
        </w:rPr>
        <w:t>which</w:t>
      </w:r>
      <w:r>
        <w:rPr>
          <w:spacing w:val="-9"/>
          <w:sz w:val="22"/>
        </w:rPr>
        <w:t> </w:t>
      </w:r>
      <w:r>
        <w:rPr>
          <w:sz w:val="22"/>
        </w:rPr>
        <w:t>the</w:t>
      </w:r>
      <w:r>
        <w:rPr>
          <w:spacing w:val="-6"/>
          <w:sz w:val="22"/>
        </w:rPr>
        <w:t> </w:t>
      </w:r>
      <w:r>
        <w:rPr>
          <w:sz w:val="22"/>
        </w:rPr>
        <w:t>rent</w:t>
      </w:r>
      <w:r>
        <w:rPr>
          <w:spacing w:val="-7"/>
          <w:sz w:val="22"/>
        </w:rPr>
        <w:t> </w:t>
      </w:r>
      <w:r>
        <w:rPr>
          <w:sz w:val="22"/>
        </w:rPr>
        <w:t>may</w:t>
      </w:r>
      <w:r>
        <w:rPr>
          <w:spacing w:val="-8"/>
          <w:sz w:val="22"/>
        </w:rPr>
        <w:t> </w:t>
      </w:r>
      <w:r>
        <w:rPr>
          <w:sz w:val="22"/>
        </w:rPr>
        <w:t>by</w:t>
      </w:r>
      <w:r>
        <w:rPr>
          <w:spacing w:val="-8"/>
          <w:sz w:val="22"/>
        </w:rPr>
        <w:t> </w:t>
      </w:r>
      <w:r>
        <w:rPr>
          <w:sz w:val="22"/>
        </w:rPr>
        <w:t>adjusted</w:t>
      </w:r>
      <w:r>
        <w:rPr>
          <w:spacing w:val="-11"/>
          <w:sz w:val="22"/>
        </w:rPr>
        <w:t> </w:t>
      </w:r>
      <w:r>
        <w:rPr>
          <w:sz w:val="22"/>
        </w:rPr>
        <w:t>by</w:t>
      </w:r>
      <w:r>
        <w:rPr>
          <w:spacing w:val="-6"/>
          <w:sz w:val="22"/>
        </w:rPr>
        <w:t> </w:t>
      </w:r>
      <w:r>
        <w:rPr>
          <w:sz w:val="22"/>
        </w:rPr>
        <w:t>the</w:t>
      </w:r>
      <w:r>
        <w:rPr>
          <w:spacing w:val="-11"/>
          <w:sz w:val="22"/>
        </w:rPr>
        <w:t> </w:t>
      </w:r>
      <w:r>
        <w:rPr>
          <w:sz w:val="22"/>
        </w:rPr>
        <w:t>Owner, as defined in the Qualified Allocation Plan, as amended, subject only to the terms of the lease.</w:t>
      </w:r>
      <w:r>
        <w:rPr>
          <w:spacing w:val="-7"/>
          <w:sz w:val="22"/>
        </w:rPr>
        <w:t> </w:t>
      </w:r>
      <w:r>
        <w:rPr>
          <w:sz w:val="22"/>
        </w:rPr>
        <w:t>Housing</w:t>
      </w:r>
      <w:r>
        <w:rPr>
          <w:spacing w:val="-9"/>
          <w:sz w:val="22"/>
        </w:rPr>
        <w:t> </w:t>
      </w:r>
      <w:r>
        <w:rPr>
          <w:sz w:val="22"/>
        </w:rPr>
        <w:t>units</w:t>
      </w:r>
      <w:r>
        <w:rPr>
          <w:spacing w:val="-11"/>
          <w:sz w:val="22"/>
        </w:rPr>
        <w:t> </w:t>
      </w:r>
      <w:r>
        <w:rPr>
          <w:sz w:val="22"/>
        </w:rPr>
        <w:t>are</w:t>
      </w:r>
      <w:r>
        <w:rPr>
          <w:spacing w:val="-14"/>
          <w:sz w:val="22"/>
        </w:rPr>
        <w:t> </w:t>
      </w:r>
      <w:r>
        <w:rPr>
          <w:sz w:val="22"/>
        </w:rPr>
        <w:t>not</w:t>
      </w:r>
      <w:r>
        <w:rPr>
          <w:spacing w:val="-7"/>
          <w:sz w:val="22"/>
        </w:rPr>
        <w:t> </w:t>
      </w:r>
      <w:r>
        <w:rPr>
          <w:sz w:val="22"/>
        </w:rPr>
        <w:t>considered</w:t>
      </w:r>
      <w:r>
        <w:rPr>
          <w:spacing w:val="-14"/>
          <w:sz w:val="22"/>
        </w:rPr>
        <w:t> </w:t>
      </w:r>
      <w:r>
        <w:rPr>
          <w:sz w:val="22"/>
        </w:rPr>
        <w:t>Market</w:t>
      </w:r>
      <w:r>
        <w:rPr>
          <w:spacing w:val="-7"/>
          <w:sz w:val="22"/>
        </w:rPr>
        <w:t> </w:t>
      </w:r>
      <w:r>
        <w:rPr>
          <w:sz w:val="22"/>
        </w:rPr>
        <w:t>Rate</w:t>
      </w:r>
      <w:r>
        <w:rPr>
          <w:spacing w:val="-9"/>
          <w:sz w:val="22"/>
        </w:rPr>
        <w:t> </w:t>
      </w:r>
      <w:r>
        <w:rPr>
          <w:sz w:val="22"/>
        </w:rPr>
        <w:t>Housing</w:t>
      </w:r>
      <w:r>
        <w:rPr>
          <w:spacing w:val="-9"/>
          <w:sz w:val="22"/>
        </w:rPr>
        <w:t> </w:t>
      </w:r>
      <w:r>
        <w:rPr>
          <w:sz w:val="22"/>
        </w:rPr>
        <w:t>Units</w:t>
      </w:r>
      <w:r>
        <w:rPr>
          <w:spacing w:val="-11"/>
          <w:sz w:val="22"/>
        </w:rPr>
        <w:t> </w:t>
      </w:r>
      <w:r>
        <w:rPr>
          <w:sz w:val="22"/>
        </w:rPr>
        <w:t>if</w:t>
      </w:r>
      <w:r>
        <w:rPr>
          <w:spacing w:val="-10"/>
          <w:sz w:val="22"/>
        </w:rPr>
        <w:t> </w:t>
      </w:r>
      <w:r>
        <w:rPr>
          <w:sz w:val="22"/>
        </w:rPr>
        <w:t>the</w:t>
      </w:r>
      <w:r>
        <w:rPr>
          <w:spacing w:val="-11"/>
          <w:sz w:val="22"/>
        </w:rPr>
        <w:t> </w:t>
      </w:r>
      <w:r>
        <w:rPr>
          <w:sz w:val="22"/>
        </w:rPr>
        <w:t>rent</w:t>
      </w:r>
      <w:r>
        <w:rPr>
          <w:spacing w:val="-7"/>
          <w:sz w:val="22"/>
        </w:rPr>
        <w:t> </w:t>
      </w:r>
      <w:r>
        <w:rPr>
          <w:sz w:val="22"/>
        </w:rPr>
        <w:t>that</w:t>
      </w:r>
      <w:r>
        <w:rPr>
          <w:spacing w:val="-10"/>
          <w:sz w:val="22"/>
        </w:rPr>
        <w:t> </w:t>
      </w:r>
      <w:r>
        <w:rPr>
          <w:sz w:val="22"/>
        </w:rPr>
        <w:t>may</w:t>
      </w:r>
      <w:r>
        <w:rPr>
          <w:spacing w:val="-11"/>
          <w:sz w:val="22"/>
        </w:rPr>
        <w:t> </w:t>
      </w:r>
      <w:r>
        <w:rPr>
          <w:sz w:val="22"/>
        </w:rPr>
        <w:t>be charged and/or the tenant(s) who may occupy the units are limited by a: (1) a Land Use Restrictive</w:t>
      </w:r>
      <w:r>
        <w:rPr>
          <w:spacing w:val="-1"/>
          <w:sz w:val="22"/>
        </w:rPr>
        <w:t> </w:t>
      </w:r>
      <w:r>
        <w:rPr>
          <w:sz w:val="22"/>
        </w:rPr>
        <w:t>Agreement</w:t>
      </w:r>
      <w:r>
        <w:rPr>
          <w:spacing w:val="-2"/>
          <w:sz w:val="22"/>
        </w:rPr>
        <w:t> </w:t>
      </w:r>
      <w:r>
        <w:rPr>
          <w:sz w:val="22"/>
        </w:rPr>
        <w:t>(LURA) or other</w:t>
      </w:r>
      <w:r>
        <w:rPr>
          <w:spacing w:val="-2"/>
          <w:sz w:val="22"/>
        </w:rPr>
        <w:t> </w:t>
      </w:r>
      <w:r>
        <w:rPr>
          <w:sz w:val="22"/>
        </w:rPr>
        <w:t>restrictive</w:t>
      </w:r>
      <w:r>
        <w:rPr>
          <w:spacing w:val="-3"/>
          <w:sz w:val="22"/>
        </w:rPr>
        <w:t> </w:t>
      </w:r>
      <w:r>
        <w:rPr>
          <w:sz w:val="22"/>
        </w:rPr>
        <w:t>covenants, or</w:t>
      </w:r>
      <w:r>
        <w:rPr>
          <w:spacing w:val="-2"/>
          <w:sz w:val="22"/>
        </w:rPr>
        <w:t> </w:t>
      </w:r>
      <w:r>
        <w:rPr>
          <w:sz w:val="22"/>
        </w:rPr>
        <w:t>(2) any</w:t>
      </w:r>
      <w:r>
        <w:rPr>
          <w:spacing w:val="-2"/>
          <w:sz w:val="22"/>
        </w:rPr>
        <w:t> </w:t>
      </w:r>
      <w:r>
        <w:rPr>
          <w:sz w:val="22"/>
        </w:rPr>
        <w:t>other contractual </w:t>
      </w:r>
      <w:r>
        <w:rPr>
          <w:spacing w:val="-2"/>
          <w:sz w:val="22"/>
        </w:rPr>
        <w:t>agreement.</w:t>
      </w:r>
    </w:p>
    <w:p>
      <w:pPr>
        <w:pStyle w:val="ListParagraph"/>
        <w:numPr>
          <w:ilvl w:val="1"/>
          <w:numId w:val="16"/>
        </w:numPr>
        <w:tabs>
          <w:tab w:pos="841" w:val="left" w:leader="none"/>
        </w:tabs>
        <w:spacing w:line="285" w:lineRule="auto" w:before="0" w:after="0"/>
        <w:ind w:left="840" w:right="157" w:hanging="360"/>
        <w:jc w:val="both"/>
        <w:rPr>
          <w:rFonts w:ascii="Symbol" w:hAnsi="Symbol"/>
          <w:sz w:val="22"/>
        </w:rPr>
      </w:pPr>
      <w:r>
        <w:rPr>
          <w:sz w:val="22"/>
        </w:rPr>
        <w:t>Plan and Cost Review means an analysis, usually conducted by a third-party consultant on behalf of a lender prior to approval of a construction loan or of construction-related information</w:t>
      </w:r>
      <w:r>
        <w:rPr>
          <w:spacing w:val="-12"/>
          <w:sz w:val="22"/>
        </w:rPr>
        <w:t> </w:t>
      </w:r>
      <w:r>
        <w:rPr>
          <w:sz w:val="22"/>
        </w:rPr>
        <w:t>and</w:t>
      </w:r>
      <w:r>
        <w:rPr>
          <w:spacing w:val="-12"/>
          <w:sz w:val="22"/>
        </w:rPr>
        <w:t> </w:t>
      </w:r>
      <w:r>
        <w:rPr>
          <w:sz w:val="22"/>
        </w:rPr>
        <w:t>documents</w:t>
      </w:r>
      <w:r>
        <w:rPr>
          <w:spacing w:val="-12"/>
          <w:sz w:val="22"/>
        </w:rPr>
        <w:t> </w:t>
      </w:r>
      <w:r>
        <w:rPr>
          <w:sz w:val="22"/>
        </w:rPr>
        <w:t>that</w:t>
      </w:r>
      <w:r>
        <w:rPr>
          <w:spacing w:val="-11"/>
          <w:sz w:val="22"/>
        </w:rPr>
        <w:t> </w:t>
      </w:r>
      <w:r>
        <w:rPr>
          <w:sz w:val="22"/>
        </w:rPr>
        <w:t>is</w:t>
      </w:r>
      <w:r>
        <w:rPr>
          <w:spacing w:val="-12"/>
          <w:sz w:val="22"/>
        </w:rPr>
        <w:t> </w:t>
      </w:r>
      <w:r>
        <w:rPr>
          <w:sz w:val="22"/>
        </w:rPr>
        <w:t>intended</w:t>
      </w:r>
      <w:r>
        <w:rPr>
          <w:spacing w:val="-15"/>
          <w:sz w:val="22"/>
        </w:rPr>
        <w:t> </w:t>
      </w:r>
      <w:r>
        <w:rPr>
          <w:sz w:val="22"/>
        </w:rPr>
        <w:t>to</w:t>
      </w:r>
      <w:r>
        <w:rPr>
          <w:spacing w:val="-12"/>
          <w:sz w:val="22"/>
        </w:rPr>
        <w:t> </w:t>
      </w:r>
      <w:r>
        <w:rPr>
          <w:sz w:val="22"/>
        </w:rPr>
        <w:t>evaluate</w:t>
      </w:r>
      <w:r>
        <w:rPr>
          <w:spacing w:val="-12"/>
          <w:sz w:val="22"/>
        </w:rPr>
        <w:t> </w:t>
      </w:r>
      <w:r>
        <w:rPr>
          <w:sz w:val="22"/>
        </w:rPr>
        <w:t>whether</w:t>
      </w:r>
      <w:r>
        <w:rPr>
          <w:spacing w:val="-13"/>
          <w:sz w:val="22"/>
        </w:rPr>
        <w:t> </w:t>
      </w:r>
      <w:r>
        <w:rPr>
          <w:sz w:val="22"/>
        </w:rPr>
        <w:t>costs</w:t>
      </w:r>
      <w:r>
        <w:rPr>
          <w:spacing w:val="-14"/>
          <w:sz w:val="22"/>
        </w:rPr>
        <w:t> </w:t>
      </w:r>
      <w:r>
        <w:rPr>
          <w:sz w:val="22"/>
        </w:rPr>
        <w:t>are</w:t>
      </w:r>
      <w:r>
        <w:rPr>
          <w:spacing w:val="-15"/>
          <w:sz w:val="22"/>
        </w:rPr>
        <w:t> </w:t>
      </w:r>
      <w:r>
        <w:rPr>
          <w:sz w:val="22"/>
        </w:rPr>
        <w:t>appropriate,</w:t>
      </w:r>
      <w:r>
        <w:rPr>
          <w:spacing w:val="-11"/>
          <w:sz w:val="22"/>
        </w:rPr>
        <w:t> </w:t>
      </w:r>
      <w:r>
        <w:rPr>
          <w:sz w:val="22"/>
        </w:rPr>
        <w:t>the construction</w:t>
      </w:r>
      <w:r>
        <w:rPr>
          <w:spacing w:val="-16"/>
          <w:sz w:val="22"/>
        </w:rPr>
        <w:t> </w:t>
      </w:r>
      <w:r>
        <w:rPr>
          <w:sz w:val="22"/>
        </w:rPr>
        <w:t>plan</w:t>
      </w:r>
      <w:r>
        <w:rPr>
          <w:spacing w:val="-15"/>
          <w:sz w:val="22"/>
        </w:rPr>
        <w:t> </w:t>
      </w:r>
      <w:r>
        <w:rPr>
          <w:sz w:val="22"/>
        </w:rPr>
        <w:t>is</w:t>
      </w:r>
      <w:r>
        <w:rPr>
          <w:spacing w:val="-15"/>
          <w:sz w:val="22"/>
        </w:rPr>
        <w:t> </w:t>
      </w:r>
      <w:r>
        <w:rPr>
          <w:sz w:val="22"/>
        </w:rPr>
        <w:t>well-designed</w:t>
      </w:r>
      <w:r>
        <w:rPr>
          <w:spacing w:val="-16"/>
          <w:sz w:val="22"/>
        </w:rPr>
        <w:t> </w:t>
      </w:r>
      <w:r>
        <w:rPr>
          <w:sz w:val="22"/>
        </w:rPr>
        <w:t>and</w:t>
      </w:r>
      <w:r>
        <w:rPr>
          <w:spacing w:val="-15"/>
          <w:sz w:val="22"/>
        </w:rPr>
        <w:t> </w:t>
      </w:r>
      <w:r>
        <w:rPr>
          <w:sz w:val="22"/>
        </w:rPr>
        <w:t>there</w:t>
      </w:r>
      <w:r>
        <w:rPr>
          <w:spacing w:val="-15"/>
          <w:sz w:val="22"/>
        </w:rPr>
        <w:t> </w:t>
      </w:r>
      <w:r>
        <w:rPr>
          <w:sz w:val="22"/>
        </w:rPr>
        <w:t>are</w:t>
      </w:r>
      <w:r>
        <w:rPr>
          <w:spacing w:val="-15"/>
          <w:sz w:val="22"/>
        </w:rPr>
        <w:t> </w:t>
      </w:r>
      <w:r>
        <w:rPr>
          <w:sz w:val="22"/>
        </w:rPr>
        <w:t>appropriate</w:t>
      </w:r>
      <w:r>
        <w:rPr>
          <w:spacing w:val="-16"/>
          <w:sz w:val="22"/>
        </w:rPr>
        <w:t> </w:t>
      </w:r>
      <w:r>
        <w:rPr>
          <w:sz w:val="22"/>
        </w:rPr>
        <w:t>allowances</w:t>
      </w:r>
      <w:r>
        <w:rPr>
          <w:spacing w:val="-15"/>
          <w:sz w:val="22"/>
        </w:rPr>
        <w:t> </w:t>
      </w:r>
      <w:r>
        <w:rPr>
          <w:sz w:val="22"/>
        </w:rPr>
        <w:t>for</w:t>
      </w:r>
      <w:r>
        <w:rPr>
          <w:spacing w:val="-15"/>
          <w:sz w:val="22"/>
        </w:rPr>
        <w:t> </w:t>
      </w:r>
      <w:r>
        <w:rPr>
          <w:sz w:val="22"/>
        </w:rPr>
        <w:t>contingencies.</w:t>
      </w:r>
    </w:p>
    <w:p>
      <w:pPr>
        <w:pStyle w:val="ListParagraph"/>
        <w:numPr>
          <w:ilvl w:val="1"/>
          <w:numId w:val="16"/>
        </w:numPr>
        <w:tabs>
          <w:tab w:pos="841" w:val="left" w:leader="none"/>
        </w:tabs>
        <w:spacing w:line="283" w:lineRule="auto" w:before="0" w:after="0"/>
        <w:ind w:left="840" w:right="158" w:hanging="361"/>
        <w:jc w:val="both"/>
        <w:rPr>
          <w:rFonts w:ascii="Symbol" w:hAnsi="Symbol"/>
          <w:sz w:val="22"/>
        </w:rPr>
      </w:pPr>
      <w:r>
        <w:rPr>
          <w:sz w:val="22"/>
        </w:rPr>
        <w:t>Proposer</w:t>
      </w:r>
      <w:r>
        <w:rPr>
          <w:spacing w:val="-15"/>
          <w:sz w:val="22"/>
        </w:rPr>
        <w:t> </w:t>
      </w:r>
      <w:r>
        <w:rPr>
          <w:sz w:val="22"/>
        </w:rPr>
        <w:t>means</w:t>
      </w:r>
      <w:r>
        <w:rPr>
          <w:spacing w:val="-15"/>
          <w:sz w:val="22"/>
        </w:rPr>
        <w:t> </w:t>
      </w:r>
      <w:r>
        <w:rPr>
          <w:sz w:val="22"/>
        </w:rPr>
        <w:t>the</w:t>
      </w:r>
      <w:r>
        <w:rPr>
          <w:spacing w:val="-14"/>
          <w:sz w:val="22"/>
        </w:rPr>
        <w:t> </w:t>
      </w:r>
      <w:r>
        <w:rPr>
          <w:sz w:val="22"/>
        </w:rPr>
        <w:t>Proposer,</w:t>
      </w:r>
      <w:r>
        <w:rPr>
          <w:spacing w:val="-13"/>
          <w:sz w:val="22"/>
        </w:rPr>
        <w:t> </w:t>
      </w:r>
      <w:r>
        <w:rPr>
          <w:sz w:val="22"/>
        </w:rPr>
        <w:t>Developer,</w:t>
      </w:r>
      <w:r>
        <w:rPr>
          <w:spacing w:val="-13"/>
          <w:sz w:val="22"/>
        </w:rPr>
        <w:t> </w:t>
      </w:r>
      <w:r>
        <w:rPr>
          <w:sz w:val="22"/>
        </w:rPr>
        <w:t>Development</w:t>
      </w:r>
      <w:r>
        <w:rPr>
          <w:spacing w:val="-15"/>
          <w:sz w:val="22"/>
        </w:rPr>
        <w:t> </w:t>
      </w:r>
      <w:r>
        <w:rPr>
          <w:sz w:val="22"/>
        </w:rPr>
        <w:t>Owner,</w:t>
      </w:r>
      <w:r>
        <w:rPr>
          <w:spacing w:val="-13"/>
          <w:sz w:val="22"/>
        </w:rPr>
        <w:t> </w:t>
      </w:r>
      <w:r>
        <w:rPr>
          <w:sz w:val="22"/>
        </w:rPr>
        <w:t>Development</w:t>
      </w:r>
      <w:r>
        <w:rPr>
          <w:spacing w:val="-13"/>
          <w:sz w:val="22"/>
        </w:rPr>
        <w:t> </w:t>
      </w:r>
      <w:r>
        <w:rPr>
          <w:sz w:val="22"/>
        </w:rPr>
        <w:t>Team,</w:t>
      </w:r>
      <w:r>
        <w:rPr>
          <w:spacing w:val="-13"/>
          <w:sz w:val="22"/>
        </w:rPr>
        <w:t> </w:t>
      </w:r>
      <w:r>
        <w:rPr>
          <w:sz w:val="22"/>
        </w:rPr>
        <w:t>and Owner as those terms are defined in the Qualified Allocation Plan, as amended.</w:t>
      </w:r>
    </w:p>
    <w:p>
      <w:pPr>
        <w:pStyle w:val="ListParagraph"/>
        <w:numPr>
          <w:ilvl w:val="1"/>
          <w:numId w:val="16"/>
        </w:numPr>
        <w:tabs>
          <w:tab w:pos="841" w:val="left" w:leader="none"/>
        </w:tabs>
        <w:spacing w:line="280" w:lineRule="auto" w:before="6" w:after="0"/>
        <w:ind w:left="840" w:right="155" w:hanging="361"/>
        <w:jc w:val="both"/>
        <w:rPr>
          <w:rFonts w:ascii="Symbol" w:hAnsi="Symbol"/>
          <w:sz w:val="22"/>
        </w:rPr>
      </w:pPr>
      <w:r>
        <w:rPr>
          <w:sz w:val="22"/>
        </w:rPr>
        <w:t>Qualified Non-Profit Organization has the same meaning as the term is defined in the Qualified Allocation Plan, as amended.</w:t>
      </w:r>
    </w:p>
    <w:p>
      <w:pPr>
        <w:pStyle w:val="ListParagraph"/>
        <w:numPr>
          <w:ilvl w:val="1"/>
          <w:numId w:val="16"/>
        </w:numPr>
        <w:tabs>
          <w:tab w:pos="841" w:val="left" w:leader="none"/>
        </w:tabs>
        <w:spacing w:line="285" w:lineRule="auto" w:before="10" w:after="0"/>
        <w:ind w:left="840" w:right="158" w:hanging="361"/>
        <w:jc w:val="both"/>
        <w:rPr>
          <w:rFonts w:ascii="Symbol" w:hAnsi="Symbol"/>
          <w:sz w:val="22"/>
        </w:rPr>
      </w:pPr>
      <w:r>
        <w:rPr>
          <w:sz w:val="22"/>
        </w:rPr>
        <w:t>Registered Neighborhood Organizations means an organization that has registered with and provided its boundaries to the City of Dallas Department of Planning and Urban </w:t>
      </w:r>
      <w:r>
        <w:rPr>
          <w:spacing w:val="-2"/>
          <w:sz w:val="22"/>
        </w:rPr>
        <w:t>Design.</w:t>
      </w:r>
    </w:p>
    <w:p>
      <w:pPr>
        <w:pStyle w:val="BodyText"/>
        <w:spacing w:before="1"/>
      </w:pPr>
    </w:p>
    <w:p>
      <w:pPr>
        <w:pStyle w:val="Heading5"/>
        <w:jc w:val="left"/>
      </w:pPr>
      <w:r>
        <w:rPr>
          <w:spacing w:val="-2"/>
        </w:rPr>
        <w:t>Calendar</w:t>
      </w:r>
    </w:p>
    <w:p>
      <w:pPr>
        <w:pStyle w:val="BodyText"/>
        <w:spacing w:before="50"/>
        <w:ind w:left="120" w:right="155"/>
        <w:jc w:val="both"/>
      </w:pPr>
      <w:r>
        <w:rPr/>
        <w:t>Proposers</w:t>
      </w:r>
      <w:r>
        <w:rPr>
          <w:spacing w:val="-8"/>
        </w:rPr>
        <w:t> </w:t>
      </w:r>
      <w:r>
        <w:rPr/>
        <w:t>may</w:t>
      </w:r>
      <w:r>
        <w:rPr>
          <w:spacing w:val="-8"/>
        </w:rPr>
        <w:t> </w:t>
      </w:r>
      <w:r>
        <w:rPr/>
        <w:t>submit</w:t>
      </w:r>
      <w:r>
        <w:rPr>
          <w:spacing w:val="-5"/>
        </w:rPr>
        <w:t> </w:t>
      </w:r>
      <w:r>
        <w:rPr/>
        <w:t>a</w:t>
      </w:r>
      <w:r>
        <w:rPr>
          <w:spacing w:val="-9"/>
        </w:rPr>
        <w:t> </w:t>
      </w:r>
      <w:r>
        <w:rPr/>
        <w:t>proposal</w:t>
      </w:r>
      <w:r>
        <w:rPr>
          <w:spacing w:val="-7"/>
        </w:rPr>
        <w:t> </w:t>
      </w:r>
      <w:r>
        <w:rPr/>
        <w:t>in</w:t>
      </w:r>
      <w:r>
        <w:rPr>
          <w:spacing w:val="-6"/>
        </w:rPr>
        <w:t> </w:t>
      </w:r>
      <w:r>
        <w:rPr/>
        <w:t>response</w:t>
      </w:r>
      <w:r>
        <w:rPr>
          <w:spacing w:val="-9"/>
        </w:rPr>
        <w:t> </w:t>
      </w:r>
      <w:r>
        <w:rPr/>
        <w:t>to</w:t>
      </w:r>
      <w:r>
        <w:rPr>
          <w:spacing w:val="-9"/>
        </w:rPr>
        <w:t> </w:t>
      </w:r>
      <w:r>
        <w:rPr/>
        <w:t>this</w:t>
      </w:r>
      <w:r>
        <w:rPr>
          <w:spacing w:val="-6"/>
        </w:rPr>
        <w:t> </w:t>
      </w:r>
      <w:r>
        <w:rPr/>
        <w:t>policy</w:t>
      </w:r>
      <w:r>
        <w:rPr>
          <w:spacing w:val="-6"/>
        </w:rPr>
        <w:t> </w:t>
      </w:r>
      <w:r>
        <w:rPr/>
        <w:t>regarding</w:t>
      </w:r>
      <w:r>
        <w:rPr>
          <w:spacing w:val="-6"/>
        </w:rPr>
        <w:t> </w:t>
      </w:r>
      <w:r>
        <w:rPr/>
        <w:t>HTC</w:t>
      </w:r>
      <w:r>
        <w:rPr>
          <w:spacing w:val="-9"/>
        </w:rPr>
        <w:t> </w:t>
      </w:r>
      <w:r>
        <w:rPr/>
        <w:t>at</w:t>
      </w:r>
      <w:r>
        <w:rPr>
          <w:spacing w:val="-5"/>
        </w:rPr>
        <w:t> </w:t>
      </w:r>
      <w:r>
        <w:rPr/>
        <w:t>any</w:t>
      </w:r>
      <w:r>
        <w:rPr>
          <w:spacing w:val="-8"/>
        </w:rPr>
        <w:t> </w:t>
      </w:r>
      <w:r>
        <w:rPr/>
        <w:t>time</w:t>
      </w:r>
      <w:r>
        <w:rPr>
          <w:spacing w:val="-6"/>
        </w:rPr>
        <w:t> </w:t>
      </w:r>
      <w:r>
        <w:rPr/>
        <w:t>during</w:t>
      </w:r>
      <w:r>
        <w:rPr>
          <w:spacing w:val="-6"/>
        </w:rPr>
        <w:t> </w:t>
      </w:r>
      <w:r>
        <w:rPr/>
        <w:t>the year. However, City staff will only review applications and schedule proposals for City Council consideration four times per year. This calendar will be updated and published annually to align with the TDHCA timeline by the City Manager or his/her designee.</w:t>
      </w:r>
    </w:p>
    <w:p>
      <w:pPr>
        <w:pStyle w:val="BodyText"/>
        <w:spacing w:before="11"/>
        <w:rPr>
          <w:sz w:val="21"/>
        </w:rPr>
      </w:pPr>
    </w:p>
    <w:p>
      <w:pPr>
        <w:pStyle w:val="Heading5"/>
        <w:jc w:val="left"/>
      </w:pPr>
      <w:r>
        <w:rPr/>
        <w:t>Review</w:t>
      </w:r>
      <w:r>
        <w:rPr>
          <w:spacing w:val="-7"/>
        </w:rPr>
        <w:t> </w:t>
      </w:r>
      <w:r>
        <w:rPr/>
        <w:t>&amp;</w:t>
      </w:r>
      <w:r>
        <w:rPr>
          <w:spacing w:val="-7"/>
        </w:rPr>
        <w:t> </w:t>
      </w:r>
      <w:r>
        <w:rPr/>
        <w:t>Recommendation</w:t>
      </w:r>
      <w:r>
        <w:rPr>
          <w:spacing w:val="-7"/>
        </w:rPr>
        <w:t> </w:t>
      </w:r>
      <w:r>
        <w:rPr>
          <w:spacing w:val="-2"/>
        </w:rPr>
        <w:t>Process</w:t>
      </w:r>
    </w:p>
    <w:p>
      <w:pPr>
        <w:spacing w:after="0"/>
        <w:jc w:val="left"/>
        <w:sectPr>
          <w:pgSz w:w="12240" w:h="15840"/>
          <w:pgMar w:header="0" w:footer="1176" w:top="1360" w:bottom="1380" w:left="1320" w:right="1280"/>
        </w:sectPr>
      </w:pPr>
    </w:p>
    <w:p>
      <w:pPr>
        <w:pStyle w:val="ListParagraph"/>
        <w:numPr>
          <w:ilvl w:val="1"/>
          <w:numId w:val="16"/>
        </w:numPr>
        <w:tabs>
          <w:tab w:pos="841" w:val="left" w:leader="none"/>
        </w:tabs>
        <w:spacing w:line="237" w:lineRule="auto" w:before="84" w:after="0"/>
        <w:ind w:left="840" w:right="157" w:hanging="361"/>
        <w:jc w:val="both"/>
        <w:rPr>
          <w:rFonts w:ascii="Symbol" w:hAnsi="Symbol"/>
          <w:sz w:val="22"/>
        </w:rPr>
      </w:pPr>
      <w:r>
        <w:rPr>
          <w:sz w:val="22"/>
        </w:rPr>
        <w:t>City</w:t>
      </w:r>
      <w:r>
        <w:rPr>
          <w:spacing w:val="-2"/>
          <w:sz w:val="22"/>
        </w:rPr>
        <w:t> </w:t>
      </w:r>
      <w:r>
        <w:rPr>
          <w:sz w:val="22"/>
        </w:rPr>
        <w:t>staff</w:t>
      </w:r>
      <w:r>
        <w:rPr>
          <w:spacing w:val="-3"/>
          <w:sz w:val="22"/>
        </w:rPr>
        <w:t> </w:t>
      </w:r>
      <w:r>
        <w:rPr>
          <w:sz w:val="22"/>
        </w:rPr>
        <w:t>will</w:t>
      </w:r>
      <w:r>
        <w:rPr>
          <w:spacing w:val="-3"/>
          <w:sz w:val="22"/>
        </w:rPr>
        <w:t> </w:t>
      </w:r>
      <w:r>
        <w:rPr>
          <w:sz w:val="22"/>
        </w:rPr>
        <w:t>review</w:t>
      </w:r>
      <w:r>
        <w:rPr>
          <w:spacing w:val="-3"/>
          <w:sz w:val="22"/>
        </w:rPr>
        <w:t> </w:t>
      </w:r>
      <w:r>
        <w:rPr>
          <w:sz w:val="22"/>
        </w:rPr>
        <w:t>all</w:t>
      </w:r>
      <w:r>
        <w:rPr>
          <w:spacing w:val="-3"/>
          <w:sz w:val="22"/>
        </w:rPr>
        <w:t> </w:t>
      </w:r>
      <w:r>
        <w:rPr>
          <w:sz w:val="22"/>
        </w:rPr>
        <w:t>applications.</w:t>
      </w:r>
      <w:r>
        <w:rPr>
          <w:spacing w:val="-1"/>
          <w:sz w:val="22"/>
        </w:rPr>
        <w:t> </w:t>
      </w:r>
      <w:r>
        <w:rPr>
          <w:sz w:val="22"/>
        </w:rPr>
        <w:t>For</w:t>
      </w:r>
      <w:r>
        <w:rPr>
          <w:spacing w:val="-1"/>
          <w:sz w:val="22"/>
        </w:rPr>
        <w:t> </w:t>
      </w:r>
      <w:r>
        <w:rPr>
          <w:sz w:val="22"/>
        </w:rPr>
        <w:t>both</w:t>
      </w:r>
      <w:r>
        <w:rPr>
          <w:spacing w:val="-3"/>
          <w:sz w:val="22"/>
        </w:rPr>
        <w:t> </w:t>
      </w:r>
      <w:r>
        <w:rPr>
          <w:sz w:val="22"/>
        </w:rPr>
        <w:t>4%</w:t>
      </w:r>
      <w:r>
        <w:rPr>
          <w:spacing w:val="-4"/>
          <w:sz w:val="22"/>
        </w:rPr>
        <w:t> </w:t>
      </w:r>
      <w:r>
        <w:rPr>
          <w:sz w:val="22"/>
        </w:rPr>
        <w:t>and</w:t>
      </w:r>
      <w:r>
        <w:rPr>
          <w:spacing w:val="-3"/>
          <w:sz w:val="22"/>
        </w:rPr>
        <w:t> </w:t>
      </w:r>
      <w:r>
        <w:rPr>
          <w:sz w:val="22"/>
        </w:rPr>
        <w:t>9%</w:t>
      </w:r>
      <w:r>
        <w:rPr>
          <w:spacing w:val="-2"/>
          <w:sz w:val="22"/>
        </w:rPr>
        <w:t> </w:t>
      </w:r>
      <w:r>
        <w:rPr>
          <w:sz w:val="22"/>
        </w:rPr>
        <w:t>HTC</w:t>
      </w:r>
      <w:r>
        <w:rPr>
          <w:spacing w:val="-3"/>
          <w:sz w:val="22"/>
        </w:rPr>
        <w:t> </w:t>
      </w:r>
      <w:r>
        <w:rPr>
          <w:sz w:val="22"/>
        </w:rPr>
        <w:t>applications,</w:t>
      </w:r>
      <w:r>
        <w:rPr>
          <w:spacing w:val="-1"/>
          <w:sz w:val="22"/>
        </w:rPr>
        <w:t> </w:t>
      </w:r>
      <w:r>
        <w:rPr>
          <w:sz w:val="22"/>
        </w:rPr>
        <w:t>City</w:t>
      </w:r>
      <w:r>
        <w:rPr>
          <w:spacing w:val="-5"/>
          <w:sz w:val="22"/>
        </w:rPr>
        <w:t> </w:t>
      </w:r>
      <w:r>
        <w:rPr>
          <w:sz w:val="22"/>
        </w:rPr>
        <w:t>staff</w:t>
      </w:r>
      <w:r>
        <w:rPr>
          <w:spacing w:val="-3"/>
          <w:sz w:val="22"/>
        </w:rPr>
        <w:t> </w:t>
      </w:r>
      <w:r>
        <w:rPr>
          <w:sz w:val="22"/>
        </w:rPr>
        <w:t>will recommend a Resolution of No Objection to City Council if City staff has determined, in its sole discretion, that the threshold requirements, as outlined below, have been met.</w:t>
      </w:r>
    </w:p>
    <w:p>
      <w:pPr>
        <w:pStyle w:val="ListParagraph"/>
        <w:numPr>
          <w:ilvl w:val="1"/>
          <w:numId w:val="16"/>
        </w:numPr>
        <w:tabs>
          <w:tab w:pos="841" w:val="left" w:leader="none"/>
        </w:tabs>
        <w:spacing w:line="240" w:lineRule="auto" w:before="2" w:after="0"/>
        <w:ind w:left="840" w:right="157" w:hanging="361"/>
        <w:jc w:val="both"/>
        <w:rPr>
          <w:rFonts w:ascii="Symbol" w:hAnsi="Symbol"/>
          <w:sz w:val="22"/>
        </w:rPr>
      </w:pPr>
      <w:r>
        <w:rPr/>
        <w:pict>
          <v:shape style="position:absolute;margin-left:90.065002pt;margin-top:75.835876pt;width:395.3pt;height:419pt;mso-position-horizontal-relative:page;mso-position-vertical-relative:paragraph;z-index:-17695744" id="docshape98" coordorigin="1801,1517" coordsize="7906,8380" path="m4498,8780l4492,8707,4477,8629,4455,8546,4432,8477,4403,8405,4367,8330,4325,8252,4276,8171,4237,8112,4200,8062,4200,8747,4197,8803,4186,8860,4167,8918,4138,8977,4097,9040,4044,9106,3979,9175,3674,9481,2216,8023,2517,7723,2598,7646,2672,7587,2740,7543,2801,7517,2868,7502,2941,7498,3020,7505,3105,7522,3195,7552,3255,7577,3317,7610,3380,7648,3446,7693,3514,7745,3584,7803,3656,7868,3729,7939,3789,8000,3845,8061,3896,8120,3943,8178,3986,8234,4025,8289,4059,8343,4101,8418,4136,8490,4163,8560,4183,8627,4196,8691,4200,8747,4200,8062,4194,8053,4148,7993,4098,7932,4045,7871,3989,7810,3929,7748,3865,7686,3801,7627,3737,7572,3673,7521,3643,7498,3609,7473,3546,7428,3482,7387,3419,7349,3346,7311,3274,7279,3203,7252,3132,7230,3062,7213,2992,7201,2923,7194,2850,7192,2779,7199,2709,7214,2642,7237,2577,7267,2528,7295,2476,7332,2420,7378,2359,7432,2294,7494,1801,7988,3710,9896,4124,9481,4226,9379,4287,9314,4341,9249,4386,9183,4424,9116,4454,9050,4476,8983,4491,8917,4498,8849,4498,8780xm6418,7187l6056,7060,5650,6917,5561,6888,5475,6864,5393,6845,5365,6839,5314,6830,5239,6820,5193,6819,5143,6822,5089,6829,5030,6839,5073,6770,5109,6700,5136,6631,5154,6562,5164,6494,5165,6425,5157,6358,5139,6280,5111,6203,5075,6129,5030,6056,4976,5985,4956,5963,4913,5917,4872,5879,4872,6436,4868,6492,4854,6546,4830,6603,4794,6661,4747,6722,4687,6786,4280,7193,3649,6562,4102,6109,4166,6052,4229,6009,4293,5979,4358,5964,4422,5963,4501,5978,4577,6008,4649,6052,4718,6112,4761,6160,4797,6210,4827,6264,4851,6321,4867,6379,4872,6436,4872,5879,4849,5857,4782,5805,4713,5759,4641,5721,4566,5689,4474,5660,4386,5648,4303,5650,4225,5666,4163,5690,4098,5727,4030,5775,3958,5835,3883,5906,3248,6541,5157,8449,5346,8259,4499,7412,4718,7193,4753,7159,4783,7131,4810,7110,4833,7096,4863,7082,4896,7071,4932,7064,4971,7060,5014,7060,5066,7065,5125,7075,5194,7092,5256,7109,5328,7130,5407,7155,5496,7184,6180,7425,6418,7187xm7780,5825l7415,5630,6555,5176,6555,5483,6070,5968,6030,5897,5989,5825,5748,5394,5708,5323,5668,5251,5629,5186,5590,5121,5550,5057,5509,4994,5467,4932,5424,4870,5380,4810,5436,4845,5498,4883,5564,4923,5635,4965,5792,5055,6555,5483,6555,5176,5862,4810,5286,4503,5082,4707,5277,5057,5316,5127,5701,5825,6207,6744,6441,7165,6642,6964,6565,6830,6298,6362,6221,6228,6481,5968,6820,5630,7173,5825,7565,6041,7780,5825xm8131,5475l7264,4608,7936,3936,7711,3711,7039,4382,6448,3791,7224,3015,6999,2790,6033,3756,7941,5664,8131,5475xm9707,3899l8024,2216,8497,1742,8272,1517,7138,2651,7363,2876,7834,2405,9517,4088,9707,3899xe" filled="true" fillcolor="#c0c0c0" stroked="false">
            <v:path arrowok="t"/>
            <v:fill opacity="32896f" type="solid"/>
            <w10:wrap type="none"/>
          </v:shape>
        </w:pict>
      </w:r>
      <w:r>
        <w:rPr>
          <w:sz w:val="22"/>
        </w:rPr>
        <w:t>For 9% HTC applications that have met the threshold requirements, as outlined below, and address Priority Housing Needs Developments, as described below, City staff may designate these applications as “Priority Housing Needs Developments” and will recommend</w:t>
      </w:r>
      <w:r>
        <w:rPr>
          <w:spacing w:val="-7"/>
          <w:sz w:val="22"/>
        </w:rPr>
        <w:t> </w:t>
      </w:r>
      <w:r>
        <w:rPr>
          <w:sz w:val="22"/>
        </w:rPr>
        <w:t>a</w:t>
      </w:r>
      <w:r>
        <w:rPr>
          <w:spacing w:val="-7"/>
          <w:sz w:val="22"/>
        </w:rPr>
        <w:t> </w:t>
      </w:r>
      <w:r>
        <w:rPr>
          <w:sz w:val="22"/>
        </w:rPr>
        <w:t>Resolution</w:t>
      </w:r>
      <w:r>
        <w:rPr>
          <w:spacing w:val="-7"/>
          <w:sz w:val="22"/>
        </w:rPr>
        <w:t> </w:t>
      </w:r>
      <w:r>
        <w:rPr>
          <w:sz w:val="22"/>
        </w:rPr>
        <w:t>of</w:t>
      </w:r>
      <w:r>
        <w:rPr>
          <w:spacing w:val="-6"/>
          <w:sz w:val="22"/>
        </w:rPr>
        <w:t> </w:t>
      </w:r>
      <w:r>
        <w:rPr>
          <w:sz w:val="22"/>
        </w:rPr>
        <w:t>Support</w:t>
      </w:r>
      <w:r>
        <w:rPr>
          <w:spacing w:val="-6"/>
          <w:sz w:val="22"/>
        </w:rPr>
        <w:t> </w:t>
      </w:r>
      <w:r>
        <w:rPr>
          <w:sz w:val="22"/>
        </w:rPr>
        <w:t>and</w:t>
      </w:r>
      <w:r>
        <w:rPr>
          <w:spacing w:val="-7"/>
          <w:sz w:val="22"/>
        </w:rPr>
        <w:t> </w:t>
      </w:r>
      <w:r>
        <w:rPr>
          <w:sz w:val="22"/>
        </w:rPr>
        <w:t>a</w:t>
      </w:r>
      <w:r>
        <w:rPr>
          <w:spacing w:val="-7"/>
          <w:sz w:val="22"/>
        </w:rPr>
        <w:t> </w:t>
      </w:r>
      <w:r>
        <w:rPr>
          <w:sz w:val="22"/>
        </w:rPr>
        <w:t>$500.00</w:t>
      </w:r>
      <w:r>
        <w:rPr>
          <w:spacing w:val="-5"/>
          <w:sz w:val="22"/>
        </w:rPr>
        <w:t> </w:t>
      </w:r>
      <w:r>
        <w:rPr>
          <w:sz w:val="22"/>
        </w:rPr>
        <w:t>funding</w:t>
      </w:r>
      <w:r>
        <w:rPr>
          <w:spacing w:val="-7"/>
          <w:sz w:val="22"/>
        </w:rPr>
        <w:t> </w:t>
      </w:r>
      <w:r>
        <w:rPr>
          <w:sz w:val="22"/>
        </w:rPr>
        <w:t>commitment</w:t>
      </w:r>
      <w:r>
        <w:rPr>
          <w:spacing w:val="-6"/>
          <w:sz w:val="22"/>
        </w:rPr>
        <w:t> </w:t>
      </w:r>
      <w:r>
        <w:rPr>
          <w:sz w:val="22"/>
        </w:rPr>
        <w:t>to</w:t>
      </w:r>
      <w:r>
        <w:rPr>
          <w:spacing w:val="-7"/>
          <w:sz w:val="22"/>
        </w:rPr>
        <w:t> </w:t>
      </w:r>
      <w:r>
        <w:rPr>
          <w:sz w:val="22"/>
        </w:rPr>
        <w:t>City</w:t>
      </w:r>
      <w:r>
        <w:rPr>
          <w:spacing w:val="-7"/>
          <w:sz w:val="22"/>
        </w:rPr>
        <w:t> </w:t>
      </w:r>
      <w:r>
        <w:rPr>
          <w:sz w:val="22"/>
        </w:rPr>
        <w:t>Council</w:t>
      </w:r>
      <w:r>
        <w:rPr>
          <w:spacing w:val="-6"/>
          <w:sz w:val="22"/>
        </w:rPr>
        <w:t> </w:t>
      </w:r>
      <w:r>
        <w:rPr>
          <w:sz w:val="22"/>
        </w:rPr>
        <w:t>if City</w:t>
      </w:r>
      <w:r>
        <w:rPr>
          <w:spacing w:val="-16"/>
          <w:sz w:val="22"/>
        </w:rPr>
        <w:t> </w:t>
      </w:r>
      <w:r>
        <w:rPr>
          <w:sz w:val="22"/>
        </w:rPr>
        <w:t>staff</w:t>
      </w:r>
      <w:r>
        <w:rPr>
          <w:spacing w:val="-15"/>
          <w:sz w:val="22"/>
        </w:rPr>
        <w:t> </w:t>
      </w:r>
      <w:r>
        <w:rPr>
          <w:sz w:val="22"/>
        </w:rPr>
        <w:t>has</w:t>
      </w:r>
      <w:r>
        <w:rPr>
          <w:spacing w:val="-15"/>
          <w:sz w:val="22"/>
        </w:rPr>
        <w:t> </w:t>
      </w:r>
      <w:r>
        <w:rPr>
          <w:sz w:val="22"/>
        </w:rPr>
        <w:t>determined,</w:t>
      </w:r>
      <w:r>
        <w:rPr>
          <w:spacing w:val="-16"/>
          <w:sz w:val="22"/>
        </w:rPr>
        <w:t> </w:t>
      </w:r>
      <w:r>
        <w:rPr>
          <w:sz w:val="22"/>
        </w:rPr>
        <w:t>in</w:t>
      </w:r>
      <w:r>
        <w:rPr>
          <w:spacing w:val="-15"/>
          <w:sz w:val="22"/>
        </w:rPr>
        <w:t> </w:t>
      </w:r>
      <w:r>
        <w:rPr>
          <w:sz w:val="22"/>
        </w:rPr>
        <w:t>its</w:t>
      </w:r>
      <w:r>
        <w:rPr>
          <w:spacing w:val="-15"/>
          <w:sz w:val="22"/>
        </w:rPr>
        <w:t> </w:t>
      </w:r>
      <w:r>
        <w:rPr>
          <w:sz w:val="22"/>
        </w:rPr>
        <w:t>sole</w:t>
      </w:r>
      <w:r>
        <w:rPr>
          <w:spacing w:val="-15"/>
          <w:sz w:val="22"/>
        </w:rPr>
        <w:t> </w:t>
      </w:r>
      <w:r>
        <w:rPr>
          <w:sz w:val="22"/>
        </w:rPr>
        <w:t>discretion,</w:t>
      </w:r>
      <w:r>
        <w:rPr>
          <w:spacing w:val="-16"/>
          <w:sz w:val="22"/>
        </w:rPr>
        <w:t> </w:t>
      </w:r>
      <w:r>
        <w:rPr>
          <w:sz w:val="22"/>
        </w:rPr>
        <w:t>that</w:t>
      </w:r>
      <w:r>
        <w:rPr>
          <w:spacing w:val="-15"/>
          <w:sz w:val="22"/>
        </w:rPr>
        <w:t> </w:t>
      </w:r>
      <w:r>
        <w:rPr>
          <w:sz w:val="22"/>
        </w:rPr>
        <w:t>the</w:t>
      </w:r>
      <w:r>
        <w:rPr>
          <w:spacing w:val="-15"/>
          <w:sz w:val="22"/>
        </w:rPr>
        <w:t> </w:t>
      </w:r>
      <w:r>
        <w:rPr>
          <w:sz w:val="22"/>
        </w:rPr>
        <w:t>threshold</w:t>
      </w:r>
      <w:r>
        <w:rPr>
          <w:spacing w:val="-16"/>
          <w:sz w:val="22"/>
        </w:rPr>
        <w:t> </w:t>
      </w:r>
      <w:r>
        <w:rPr>
          <w:sz w:val="22"/>
        </w:rPr>
        <w:t>requirements</w:t>
      </w:r>
      <w:r>
        <w:rPr>
          <w:spacing w:val="-15"/>
          <w:sz w:val="22"/>
        </w:rPr>
        <w:t> </w:t>
      </w:r>
      <w:r>
        <w:rPr>
          <w:sz w:val="22"/>
        </w:rPr>
        <w:t>and</w:t>
      </w:r>
      <w:r>
        <w:rPr>
          <w:spacing w:val="-15"/>
          <w:sz w:val="22"/>
        </w:rPr>
        <w:t> </w:t>
      </w:r>
      <w:r>
        <w:rPr>
          <w:sz w:val="22"/>
        </w:rPr>
        <w:t>Priority Housing Needs Developments criteria have been met.</w:t>
      </w:r>
    </w:p>
    <w:p>
      <w:pPr>
        <w:pStyle w:val="ListParagraph"/>
        <w:numPr>
          <w:ilvl w:val="1"/>
          <w:numId w:val="16"/>
        </w:numPr>
        <w:tabs>
          <w:tab w:pos="841" w:val="left" w:leader="none"/>
        </w:tabs>
        <w:spacing w:line="240" w:lineRule="auto" w:before="0" w:after="0"/>
        <w:ind w:left="840" w:right="156" w:hanging="361"/>
        <w:jc w:val="both"/>
        <w:rPr>
          <w:rFonts w:ascii="Symbol" w:hAnsi="Symbol"/>
          <w:sz w:val="22"/>
        </w:rPr>
      </w:pPr>
      <w:r>
        <w:rPr>
          <w:sz w:val="22"/>
        </w:rPr>
        <w:t>For 9% HTC applications that have met the threshold requirements, as outlined below, and obtain a minimum score of 50 points under the Scoring Factors for Other 9% HTC Applications section, and</w:t>
      </w:r>
      <w:r>
        <w:rPr>
          <w:spacing w:val="-1"/>
          <w:sz w:val="22"/>
        </w:rPr>
        <w:t> </w:t>
      </w:r>
      <w:r>
        <w:rPr>
          <w:sz w:val="22"/>
        </w:rPr>
        <w:t>do</w:t>
      </w:r>
      <w:r>
        <w:rPr>
          <w:spacing w:val="-1"/>
          <w:sz w:val="22"/>
        </w:rPr>
        <w:t> </w:t>
      </w:r>
      <w:r>
        <w:rPr>
          <w:sz w:val="22"/>
        </w:rPr>
        <w:t>not qualify</w:t>
      </w:r>
      <w:r>
        <w:rPr>
          <w:spacing w:val="-1"/>
          <w:sz w:val="22"/>
        </w:rPr>
        <w:t> </w:t>
      </w:r>
      <w:r>
        <w:rPr>
          <w:sz w:val="22"/>
        </w:rPr>
        <w:t>as</w:t>
      </w:r>
      <w:r>
        <w:rPr>
          <w:spacing w:val="-1"/>
          <w:sz w:val="22"/>
        </w:rPr>
        <w:t> </w:t>
      </w:r>
      <w:r>
        <w:rPr>
          <w:sz w:val="22"/>
        </w:rPr>
        <w:t>a</w:t>
      </w:r>
      <w:r>
        <w:rPr>
          <w:spacing w:val="-1"/>
          <w:sz w:val="22"/>
        </w:rPr>
        <w:t> </w:t>
      </w:r>
      <w:r>
        <w:rPr>
          <w:sz w:val="22"/>
        </w:rPr>
        <w:t>“Priority</w:t>
      </w:r>
      <w:r>
        <w:rPr>
          <w:spacing w:val="-1"/>
          <w:sz w:val="22"/>
        </w:rPr>
        <w:t> </w:t>
      </w:r>
      <w:r>
        <w:rPr>
          <w:sz w:val="22"/>
        </w:rPr>
        <w:t>Housing Needs</w:t>
      </w:r>
      <w:r>
        <w:rPr>
          <w:spacing w:val="-1"/>
          <w:sz w:val="22"/>
        </w:rPr>
        <w:t> </w:t>
      </w:r>
      <w:r>
        <w:rPr>
          <w:sz w:val="22"/>
        </w:rPr>
        <w:t>Development”, City staff will recommend a Resolution of Support and a $500.00 funding commitment to City Council</w:t>
      </w:r>
      <w:r>
        <w:rPr>
          <w:spacing w:val="-10"/>
          <w:sz w:val="22"/>
        </w:rPr>
        <w:t> </w:t>
      </w:r>
      <w:r>
        <w:rPr>
          <w:sz w:val="22"/>
        </w:rPr>
        <w:t>if</w:t>
      </w:r>
      <w:r>
        <w:rPr>
          <w:spacing w:val="-8"/>
          <w:sz w:val="22"/>
        </w:rPr>
        <w:t> </w:t>
      </w:r>
      <w:r>
        <w:rPr>
          <w:sz w:val="22"/>
        </w:rPr>
        <w:t>City</w:t>
      </w:r>
      <w:r>
        <w:rPr>
          <w:spacing w:val="-9"/>
          <w:sz w:val="22"/>
        </w:rPr>
        <w:t> </w:t>
      </w:r>
      <w:r>
        <w:rPr>
          <w:sz w:val="22"/>
        </w:rPr>
        <w:t>staff</w:t>
      </w:r>
      <w:r>
        <w:rPr>
          <w:spacing w:val="-11"/>
          <w:sz w:val="22"/>
        </w:rPr>
        <w:t> </w:t>
      </w:r>
      <w:r>
        <w:rPr>
          <w:sz w:val="22"/>
        </w:rPr>
        <w:t>determines,</w:t>
      </w:r>
      <w:r>
        <w:rPr>
          <w:spacing w:val="-8"/>
          <w:sz w:val="22"/>
        </w:rPr>
        <w:t> </w:t>
      </w:r>
      <w:r>
        <w:rPr>
          <w:sz w:val="22"/>
        </w:rPr>
        <w:t>in</w:t>
      </w:r>
      <w:r>
        <w:rPr>
          <w:spacing w:val="-10"/>
          <w:sz w:val="22"/>
        </w:rPr>
        <w:t> </w:t>
      </w:r>
      <w:r>
        <w:rPr>
          <w:sz w:val="22"/>
        </w:rPr>
        <w:t>its</w:t>
      </w:r>
      <w:r>
        <w:rPr>
          <w:spacing w:val="-9"/>
          <w:sz w:val="22"/>
        </w:rPr>
        <w:t> </w:t>
      </w:r>
      <w:r>
        <w:rPr>
          <w:sz w:val="22"/>
        </w:rPr>
        <w:t>sole</w:t>
      </w:r>
      <w:r>
        <w:rPr>
          <w:spacing w:val="-10"/>
          <w:sz w:val="22"/>
        </w:rPr>
        <w:t> </w:t>
      </w:r>
      <w:r>
        <w:rPr>
          <w:sz w:val="22"/>
        </w:rPr>
        <w:t>discretion,</w:t>
      </w:r>
      <w:r>
        <w:rPr>
          <w:spacing w:val="-8"/>
          <w:sz w:val="22"/>
        </w:rPr>
        <w:t> </w:t>
      </w:r>
      <w:r>
        <w:rPr>
          <w:sz w:val="22"/>
        </w:rPr>
        <w:t>that</w:t>
      </w:r>
      <w:r>
        <w:rPr>
          <w:spacing w:val="-8"/>
          <w:sz w:val="22"/>
        </w:rPr>
        <w:t> </w:t>
      </w:r>
      <w:r>
        <w:rPr>
          <w:sz w:val="22"/>
        </w:rPr>
        <w:t>the</w:t>
      </w:r>
      <w:r>
        <w:rPr>
          <w:spacing w:val="-12"/>
          <w:sz w:val="22"/>
        </w:rPr>
        <w:t> </w:t>
      </w:r>
      <w:r>
        <w:rPr>
          <w:sz w:val="22"/>
        </w:rPr>
        <w:t>threshold</w:t>
      </w:r>
      <w:r>
        <w:rPr>
          <w:spacing w:val="-10"/>
          <w:sz w:val="22"/>
        </w:rPr>
        <w:t> </w:t>
      </w:r>
      <w:r>
        <w:rPr>
          <w:sz w:val="22"/>
        </w:rPr>
        <w:t>requirements</w:t>
      </w:r>
      <w:r>
        <w:rPr>
          <w:spacing w:val="-12"/>
          <w:sz w:val="22"/>
        </w:rPr>
        <w:t> </w:t>
      </w:r>
      <w:r>
        <w:rPr>
          <w:sz w:val="22"/>
        </w:rPr>
        <w:t>have been met and that the application has scored at least 50 points.</w:t>
      </w:r>
    </w:p>
    <w:p>
      <w:pPr>
        <w:pStyle w:val="Heading5"/>
        <w:spacing w:line="556" w:lineRule="exact" w:before="60"/>
        <w:ind w:right="2806"/>
        <w:jc w:val="left"/>
      </w:pPr>
      <w:r>
        <w:rPr/>
        <w:t>4%</w:t>
      </w:r>
      <w:r>
        <w:rPr>
          <w:spacing w:val="-3"/>
        </w:rPr>
        <w:t> </w:t>
      </w:r>
      <w:r>
        <w:rPr/>
        <w:t>and</w:t>
      </w:r>
      <w:r>
        <w:rPr>
          <w:spacing w:val="-6"/>
        </w:rPr>
        <w:t> </w:t>
      </w:r>
      <w:r>
        <w:rPr/>
        <w:t>9%</w:t>
      </w:r>
      <w:r>
        <w:rPr>
          <w:spacing w:val="-5"/>
        </w:rPr>
        <w:t> </w:t>
      </w:r>
      <w:r>
        <w:rPr/>
        <w:t>HTC</w:t>
      </w:r>
      <w:r>
        <w:rPr>
          <w:spacing w:val="-9"/>
        </w:rPr>
        <w:t> </w:t>
      </w:r>
      <w:r>
        <w:rPr/>
        <w:t>Applications</w:t>
      </w:r>
      <w:r>
        <w:rPr>
          <w:spacing w:val="-8"/>
        </w:rPr>
        <w:t> </w:t>
      </w:r>
      <w:r>
        <w:rPr/>
        <w:t>Threshold</w:t>
      </w:r>
      <w:r>
        <w:rPr>
          <w:spacing w:val="-6"/>
        </w:rPr>
        <w:t> </w:t>
      </w:r>
      <w:r>
        <w:rPr/>
        <w:t>Requirements Applicable to All Applications</w:t>
      </w:r>
    </w:p>
    <w:p>
      <w:pPr>
        <w:pStyle w:val="ListParagraph"/>
        <w:numPr>
          <w:ilvl w:val="1"/>
          <w:numId w:val="16"/>
        </w:numPr>
        <w:tabs>
          <w:tab w:pos="841" w:val="left" w:leader="none"/>
        </w:tabs>
        <w:spacing w:line="257" w:lineRule="exact" w:before="0" w:after="0"/>
        <w:ind w:left="840" w:right="0" w:hanging="361"/>
        <w:jc w:val="both"/>
        <w:rPr>
          <w:rFonts w:ascii="Symbol" w:hAnsi="Symbol"/>
          <w:sz w:val="22"/>
        </w:rPr>
      </w:pPr>
      <w:r>
        <w:rPr>
          <w:sz w:val="22"/>
        </w:rPr>
        <w:t>Submission</w:t>
      </w:r>
      <w:r>
        <w:rPr>
          <w:spacing w:val="-5"/>
          <w:sz w:val="22"/>
        </w:rPr>
        <w:t> </w:t>
      </w:r>
      <w:r>
        <w:rPr>
          <w:sz w:val="22"/>
        </w:rPr>
        <w:t>of</w:t>
      </w:r>
      <w:r>
        <w:rPr>
          <w:spacing w:val="-5"/>
          <w:sz w:val="22"/>
        </w:rPr>
        <w:t> </w:t>
      </w:r>
      <w:r>
        <w:rPr>
          <w:sz w:val="22"/>
        </w:rPr>
        <w:t>a</w:t>
      </w:r>
      <w:r>
        <w:rPr>
          <w:spacing w:val="-4"/>
          <w:sz w:val="22"/>
        </w:rPr>
        <w:t> </w:t>
      </w:r>
      <w:r>
        <w:rPr>
          <w:sz w:val="22"/>
        </w:rPr>
        <w:t>complete</w:t>
      </w:r>
      <w:r>
        <w:rPr>
          <w:spacing w:val="-4"/>
          <w:sz w:val="22"/>
        </w:rPr>
        <w:t> </w:t>
      </w:r>
      <w:r>
        <w:rPr>
          <w:sz w:val="22"/>
        </w:rPr>
        <w:t>application</w:t>
      </w:r>
      <w:r>
        <w:rPr>
          <w:spacing w:val="-4"/>
          <w:sz w:val="22"/>
        </w:rPr>
        <w:t> </w:t>
      </w:r>
      <w:r>
        <w:rPr>
          <w:sz w:val="22"/>
        </w:rPr>
        <w:t>to</w:t>
      </w:r>
      <w:r>
        <w:rPr>
          <w:spacing w:val="-6"/>
          <w:sz w:val="22"/>
        </w:rPr>
        <w:t> </w:t>
      </w:r>
      <w:r>
        <w:rPr>
          <w:sz w:val="22"/>
        </w:rPr>
        <w:t>the</w:t>
      </w:r>
      <w:r>
        <w:rPr>
          <w:spacing w:val="-5"/>
          <w:sz w:val="22"/>
        </w:rPr>
        <w:t> </w:t>
      </w:r>
      <w:r>
        <w:rPr>
          <w:spacing w:val="-4"/>
          <w:sz w:val="22"/>
        </w:rPr>
        <w:t>City</w:t>
      </w:r>
    </w:p>
    <w:p>
      <w:pPr>
        <w:pStyle w:val="ListParagraph"/>
        <w:numPr>
          <w:ilvl w:val="1"/>
          <w:numId w:val="16"/>
        </w:numPr>
        <w:tabs>
          <w:tab w:pos="841" w:val="left" w:leader="none"/>
        </w:tabs>
        <w:spacing w:line="268" w:lineRule="exact" w:before="0" w:after="0"/>
        <w:ind w:left="840" w:right="0" w:hanging="361"/>
        <w:jc w:val="both"/>
        <w:rPr>
          <w:rFonts w:ascii="Symbol" w:hAnsi="Symbol"/>
          <w:sz w:val="22"/>
        </w:rPr>
      </w:pPr>
      <w:r>
        <w:rPr>
          <w:sz w:val="22"/>
        </w:rPr>
        <w:t>The</w:t>
      </w:r>
      <w:r>
        <w:rPr>
          <w:spacing w:val="-6"/>
          <w:sz w:val="22"/>
        </w:rPr>
        <w:t> </w:t>
      </w:r>
      <w:r>
        <w:rPr>
          <w:sz w:val="22"/>
        </w:rPr>
        <w:t>Proposer</w:t>
      </w:r>
      <w:r>
        <w:rPr>
          <w:spacing w:val="-5"/>
          <w:sz w:val="22"/>
        </w:rPr>
        <w:t> </w:t>
      </w:r>
      <w:r>
        <w:rPr>
          <w:sz w:val="22"/>
        </w:rPr>
        <w:t>must</w:t>
      </w:r>
      <w:r>
        <w:rPr>
          <w:spacing w:val="-4"/>
          <w:sz w:val="22"/>
        </w:rPr>
        <w:t> </w:t>
      </w:r>
      <w:r>
        <w:rPr>
          <w:sz w:val="22"/>
        </w:rPr>
        <w:t>have</w:t>
      </w:r>
      <w:r>
        <w:rPr>
          <w:spacing w:val="-6"/>
          <w:sz w:val="22"/>
        </w:rPr>
        <w:t> </w:t>
      </w:r>
      <w:r>
        <w:rPr>
          <w:sz w:val="22"/>
        </w:rPr>
        <w:t>site</w:t>
      </w:r>
      <w:r>
        <w:rPr>
          <w:spacing w:val="-5"/>
          <w:sz w:val="22"/>
        </w:rPr>
        <w:t> </w:t>
      </w:r>
      <w:r>
        <w:rPr>
          <w:sz w:val="22"/>
        </w:rPr>
        <w:t>control</w:t>
      </w:r>
      <w:r>
        <w:rPr>
          <w:spacing w:val="-4"/>
          <w:sz w:val="22"/>
        </w:rPr>
        <w:t> </w:t>
      </w:r>
      <w:r>
        <w:rPr>
          <w:sz w:val="22"/>
        </w:rPr>
        <w:t>(e.g.</w:t>
      </w:r>
      <w:r>
        <w:rPr>
          <w:spacing w:val="-5"/>
          <w:sz w:val="22"/>
        </w:rPr>
        <w:t> </w:t>
      </w:r>
      <w:r>
        <w:rPr>
          <w:sz w:val="22"/>
        </w:rPr>
        <w:t>purchase</w:t>
      </w:r>
      <w:r>
        <w:rPr>
          <w:spacing w:val="-4"/>
          <w:sz w:val="22"/>
        </w:rPr>
        <w:t> </w:t>
      </w:r>
      <w:r>
        <w:rPr>
          <w:spacing w:val="-2"/>
          <w:sz w:val="22"/>
        </w:rPr>
        <w:t>option)</w:t>
      </w:r>
    </w:p>
    <w:p>
      <w:pPr>
        <w:pStyle w:val="ListParagraph"/>
        <w:numPr>
          <w:ilvl w:val="1"/>
          <w:numId w:val="16"/>
        </w:numPr>
        <w:tabs>
          <w:tab w:pos="841" w:val="left" w:leader="none"/>
        </w:tabs>
        <w:spacing w:line="240" w:lineRule="auto" w:before="0" w:after="0"/>
        <w:ind w:left="840" w:right="157" w:hanging="361"/>
        <w:jc w:val="both"/>
        <w:rPr>
          <w:rFonts w:ascii="Symbol" w:hAnsi="Symbol"/>
          <w:sz w:val="22"/>
        </w:rPr>
      </w:pPr>
      <w:r>
        <w:rPr>
          <w:sz w:val="22"/>
        </w:rPr>
        <w:t>If not currently zoned for the intended use, the Proposer must have completed a formal consultation with City Planning staff outlining the process and requirements for rezoning the site</w:t>
      </w:r>
    </w:p>
    <w:p>
      <w:pPr>
        <w:pStyle w:val="ListParagraph"/>
        <w:numPr>
          <w:ilvl w:val="1"/>
          <w:numId w:val="16"/>
        </w:numPr>
        <w:tabs>
          <w:tab w:pos="841" w:val="left" w:leader="none"/>
        </w:tabs>
        <w:spacing w:line="237" w:lineRule="auto" w:before="0" w:after="0"/>
        <w:ind w:left="840" w:right="156" w:hanging="361"/>
        <w:jc w:val="both"/>
        <w:rPr>
          <w:rFonts w:ascii="Symbol" w:hAnsi="Symbol"/>
          <w:sz w:val="22"/>
        </w:rPr>
      </w:pPr>
      <w:r>
        <w:rPr>
          <w:sz w:val="22"/>
        </w:rPr>
        <w:t>The Development must meet TDHCA minimum site and development requirements. If undesirable</w:t>
      </w:r>
      <w:r>
        <w:rPr>
          <w:spacing w:val="-10"/>
          <w:sz w:val="22"/>
        </w:rPr>
        <w:t> </w:t>
      </w:r>
      <w:r>
        <w:rPr>
          <w:sz w:val="22"/>
        </w:rPr>
        <w:t>site</w:t>
      </w:r>
      <w:r>
        <w:rPr>
          <w:spacing w:val="-10"/>
          <w:sz w:val="22"/>
        </w:rPr>
        <w:t> </w:t>
      </w:r>
      <w:r>
        <w:rPr>
          <w:sz w:val="22"/>
        </w:rPr>
        <w:t>features</w:t>
      </w:r>
      <w:r>
        <w:rPr>
          <w:spacing w:val="-12"/>
          <w:sz w:val="22"/>
        </w:rPr>
        <w:t> </w:t>
      </w:r>
      <w:r>
        <w:rPr>
          <w:sz w:val="22"/>
        </w:rPr>
        <w:t>exist,</w:t>
      </w:r>
      <w:r>
        <w:rPr>
          <w:spacing w:val="-11"/>
          <w:sz w:val="22"/>
        </w:rPr>
        <w:t> </w:t>
      </w:r>
      <w:r>
        <w:rPr>
          <w:sz w:val="22"/>
        </w:rPr>
        <w:t>the</w:t>
      </w:r>
      <w:r>
        <w:rPr>
          <w:spacing w:val="-10"/>
          <w:sz w:val="22"/>
        </w:rPr>
        <w:t> </w:t>
      </w:r>
      <w:r>
        <w:rPr>
          <w:sz w:val="22"/>
        </w:rPr>
        <w:t>Proposer</w:t>
      </w:r>
      <w:r>
        <w:rPr>
          <w:spacing w:val="-11"/>
          <w:sz w:val="22"/>
        </w:rPr>
        <w:t> </w:t>
      </w:r>
      <w:r>
        <w:rPr>
          <w:sz w:val="22"/>
        </w:rPr>
        <w:t>must</w:t>
      </w:r>
      <w:r>
        <w:rPr>
          <w:spacing w:val="-11"/>
          <w:sz w:val="22"/>
        </w:rPr>
        <w:t> </w:t>
      </w:r>
      <w:r>
        <w:rPr>
          <w:sz w:val="22"/>
        </w:rPr>
        <w:t>submit</w:t>
      </w:r>
      <w:r>
        <w:rPr>
          <w:spacing w:val="-7"/>
          <w:sz w:val="22"/>
        </w:rPr>
        <w:t> </w:t>
      </w:r>
      <w:r>
        <w:rPr>
          <w:sz w:val="22"/>
        </w:rPr>
        <w:t>a</w:t>
      </w:r>
      <w:r>
        <w:rPr>
          <w:spacing w:val="-12"/>
          <w:sz w:val="22"/>
        </w:rPr>
        <w:t> </w:t>
      </w:r>
      <w:r>
        <w:rPr>
          <w:sz w:val="22"/>
        </w:rPr>
        <w:t>mitigation</w:t>
      </w:r>
      <w:r>
        <w:rPr>
          <w:spacing w:val="-10"/>
          <w:sz w:val="22"/>
        </w:rPr>
        <w:t> </w:t>
      </w:r>
      <w:r>
        <w:rPr>
          <w:sz w:val="22"/>
        </w:rPr>
        <w:t>plan</w:t>
      </w:r>
      <w:r>
        <w:rPr>
          <w:spacing w:val="-10"/>
          <w:sz w:val="22"/>
        </w:rPr>
        <w:t> </w:t>
      </w:r>
      <w:r>
        <w:rPr>
          <w:sz w:val="22"/>
        </w:rPr>
        <w:t>that</w:t>
      </w:r>
      <w:r>
        <w:rPr>
          <w:spacing w:val="-8"/>
          <w:sz w:val="22"/>
        </w:rPr>
        <w:t> </w:t>
      </w:r>
      <w:r>
        <w:rPr>
          <w:sz w:val="22"/>
        </w:rPr>
        <w:t>sufficiently mitigates undesirable site features and supports site eligibility pursuant to TDHCA </w:t>
      </w:r>
      <w:r>
        <w:rPr>
          <w:spacing w:val="-2"/>
          <w:sz w:val="22"/>
        </w:rPr>
        <w:t>standards</w:t>
      </w:r>
    </w:p>
    <w:p>
      <w:pPr>
        <w:pStyle w:val="ListParagraph"/>
        <w:numPr>
          <w:ilvl w:val="1"/>
          <w:numId w:val="16"/>
        </w:numPr>
        <w:tabs>
          <w:tab w:pos="841" w:val="left" w:leader="none"/>
        </w:tabs>
        <w:spacing w:line="269" w:lineRule="exact" w:before="5" w:after="0"/>
        <w:ind w:left="840" w:right="0" w:hanging="361"/>
        <w:jc w:val="both"/>
        <w:rPr>
          <w:rFonts w:ascii="Symbol" w:hAnsi="Symbol"/>
          <w:sz w:val="22"/>
        </w:rPr>
      </w:pPr>
      <w:r>
        <w:rPr>
          <w:sz w:val="22"/>
        </w:rPr>
        <w:t>The</w:t>
      </w:r>
      <w:r>
        <w:rPr>
          <w:spacing w:val="-6"/>
          <w:sz w:val="22"/>
        </w:rPr>
        <w:t> </w:t>
      </w:r>
      <w:r>
        <w:rPr>
          <w:sz w:val="22"/>
        </w:rPr>
        <w:t>Development</w:t>
      </w:r>
      <w:r>
        <w:rPr>
          <w:spacing w:val="-8"/>
          <w:sz w:val="22"/>
        </w:rPr>
        <w:t> </w:t>
      </w:r>
      <w:r>
        <w:rPr>
          <w:sz w:val="22"/>
        </w:rPr>
        <w:t>must</w:t>
      </w:r>
      <w:r>
        <w:rPr>
          <w:spacing w:val="-9"/>
          <w:sz w:val="22"/>
        </w:rPr>
        <w:t> </w:t>
      </w:r>
      <w:r>
        <w:rPr>
          <w:sz w:val="22"/>
        </w:rPr>
        <w:t>meet</w:t>
      </w:r>
      <w:r>
        <w:rPr>
          <w:spacing w:val="-7"/>
          <w:sz w:val="22"/>
        </w:rPr>
        <w:t> </w:t>
      </w:r>
      <w:r>
        <w:rPr>
          <w:sz w:val="22"/>
        </w:rPr>
        <w:t>TDHCA</w:t>
      </w:r>
      <w:r>
        <w:rPr>
          <w:spacing w:val="-6"/>
          <w:sz w:val="22"/>
        </w:rPr>
        <w:t> </w:t>
      </w:r>
      <w:r>
        <w:rPr>
          <w:sz w:val="22"/>
        </w:rPr>
        <w:t>underwriting</w:t>
      </w:r>
      <w:r>
        <w:rPr>
          <w:spacing w:val="-5"/>
          <w:sz w:val="22"/>
        </w:rPr>
        <w:t> </w:t>
      </w:r>
      <w:r>
        <w:rPr>
          <w:spacing w:val="-2"/>
          <w:sz w:val="22"/>
        </w:rPr>
        <w:t>standards</w:t>
      </w:r>
    </w:p>
    <w:p>
      <w:pPr>
        <w:pStyle w:val="ListParagraph"/>
        <w:numPr>
          <w:ilvl w:val="1"/>
          <w:numId w:val="16"/>
        </w:numPr>
        <w:tabs>
          <w:tab w:pos="841" w:val="left" w:leader="none"/>
        </w:tabs>
        <w:spacing w:line="237" w:lineRule="auto" w:before="1" w:after="0"/>
        <w:ind w:left="840" w:right="156" w:hanging="361"/>
        <w:jc w:val="both"/>
        <w:rPr>
          <w:rFonts w:ascii="Symbol" w:hAnsi="Symbol"/>
          <w:sz w:val="22"/>
        </w:rPr>
      </w:pPr>
      <w:r>
        <w:rPr>
          <w:sz w:val="22"/>
        </w:rPr>
        <w:t>The Development must contribute to the City’s obligations to affirmatively further fair </w:t>
      </w:r>
      <w:r>
        <w:rPr>
          <w:spacing w:val="-2"/>
          <w:sz w:val="22"/>
        </w:rPr>
        <w:t>housing</w:t>
      </w:r>
    </w:p>
    <w:p>
      <w:pPr>
        <w:pStyle w:val="ListParagraph"/>
        <w:numPr>
          <w:ilvl w:val="1"/>
          <w:numId w:val="16"/>
        </w:numPr>
        <w:tabs>
          <w:tab w:pos="841" w:val="left" w:leader="none"/>
        </w:tabs>
        <w:spacing w:line="237" w:lineRule="auto" w:before="4" w:after="0"/>
        <w:ind w:left="840" w:right="157" w:hanging="361"/>
        <w:jc w:val="both"/>
        <w:rPr>
          <w:rFonts w:ascii="Symbol" w:hAnsi="Symbol"/>
          <w:sz w:val="22"/>
        </w:rPr>
      </w:pPr>
      <w:r>
        <w:rPr>
          <w:sz w:val="22"/>
        </w:rPr>
        <w:t>The Proposer</w:t>
      </w:r>
      <w:r>
        <w:rPr>
          <w:spacing w:val="-4"/>
          <w:sz w:val="22"/>
        </w:rPr>
        <w:t> </w:t>
      </w:r>
      <w:r>
        <w:rPr>
          <w:sz w:val="22"/>
        </w:rPr>
        <w:t>must</w:t>
      </w:r>
      <w:r>
        <w:rPr>
          <w:spacing w:val="-1"/>
          <w:sz w:val="22"/>
        </w:rPr>
        <w:t> </w:t>
      </w:r>
      <w:r>
        <w:rPr>
          <w:sz w:val="22"/>
        </w:rPr>
        <w:t>notify existing</w:t>
      </w:r>
      <w:r>
        <w:rPr>
          <w:spacing w:val="-3"/>
          <w:sz w:val="22"/>
        </w:rPr>
        <w:t> </w:t>
      </w:r>
      <w:r>
        <w:rPr>
          <w:sz w:val="22"/>
        </w:rPr>
        <w:t>tenants</w:t>
      </w:r>
      <w:r>
        <w:rPr>
          <w:spacing w:val="-2"/>
          <w:sz w:val="22"/>
        </w:rPr>
        <w:t> </w:t>
      </w:r>
      <w:r>
        <w:rPr>
          <w:sz w:val="22"/>
        </w:rPr>
        <w:t>living at</w:t>
      </w:r>
      <w:r>
        <w:rPr>
          <w:spacing w:val="-1"/>
          <w:sz w:val="22"/>
        </w:rPr>
        <w:t> </w:t>
      </w:r>
      <w:r>
        <w:rPr>
          <w:sz w:val="22"/>
        </w:rPr>
        <w:t>the</w:t>
      </w:r>
      <w:r>
        <w:rPr>
          <w:spacing w:val="-3"/>
          <w:sz w:val="22"/>
        </w:rPr>
        <w:t> </w:t>
      </w:r>
      <w:r>
        <w:rPr>
          <w:sz w:val="22"/>
        </w:rPr>
        <w:t>Development</w:t>
      </w:r>
      <w:r>
        <w:rPr>
          <w:spacing w:val="-1"/>
          <w:sz w:val="22"/>
        </w:rPr>
        <w:t> </w:t>
      </w:r>
      <w:r>
        <w:rPr>
          <w:sz w:val="22"/>
        </w:rPr>
        <w:t>Site</w:t>
      </w:r>
      <w:r>
        <w:rPr>
          <w:spacing w:val="-3"/>
          <w:sz w:val="22"/>
        </w:rPr>
        <w:t> </w:t>
      </w:r>
      <w:r>
        <w:rPr>
          <w:sz w:val="22"/>
        </w:rPr>
        <w:t>at</w:t>
      </w:r>
      <w:r>
        <w:rPr>
          <w:spacing w:val="-1"/>
          <w:sz w:val="22"/>
        </w:rPr>
        <w:t> </w:t>
      </w:r>
      <w:r>
        <w:rPr>
          <w:sz w:val="22"/>
        </w:rPr>
        <w:t>least</w:t>
      </w:r>
      <w:r>
        <w:rPr>
          <w:spacing w:val="-1"/>
          <w:sz w:val="22"/>
        </w:rPr>
        <w:t> </w:t>
      </w:r>
      <w:r>
        <w:rPr>
          <w:sz w:val="22"/>
        </w:rPr>
        <w:t>45</w:t>
      </w:r>
      <w:r>
        <w:rPr>
          <w:spacing w:val="-3"/>
          <w:sz w:val="22"/>
        </w:rPr>
        <w:t> </w:t>
      </w:r>
      <w:r>
        <w:rPr>
          <w:sz w:val="22"/>
        </w:rPr>
        <w:t>days prior to submitting the proposal</w:t>
      </w:r>
    </w:p>
    <w:p>
      <w:pPr>
        <w:pStyle w:val="ListParagraph"/>
        <w:numPr>
          <w:ilvl w:val="1"/>
          <w:numId w:val="16"/>
        </w:numPr>
        <w:tabs>
          <w:tab w:pos="841" w:val="left" w:leader="none"/>
        </w:tabs>
        <w:spacing w:line="237" w:lineRule="auto" w:before="3" w:after="0"/>
        <w:ind w:left="840" w:right="153" w:hanging="361"/>
        <w:jc w:val="both"/>
        <w:rPr>
          <w:rFonts w:ascii="Symbol" w:hAnsi="Symbol"/>
          <w:sz w:val="22"/>
        </w:rPr>
      </w:pPr>
      <w:r>
        <w:rPr>
          <w:sz w:val="22"/>
        </w:rPr>
        <w:t>For any Development</w:t>
      </w:r>
      <w:r>
        <w:rPr>
          <w:spacing w:val="-1"/>
          <w:sz w:val="22"/>
        </w:rPr>
        <w:t> </w:t>
      </w:r>
      <w:r>
        <w:rPr>
          <w:sz w:val="22"/>
        </w:rPr>
        <w:t>that is occupied by</w:t>
      </w:r>
      <w:r>
        <w:rPr>
          <w:spacing w:val="-2"/>
          <w:sz w:val="22"/>
        </w:rPr>
        <w:t> </w:t>
      </w:r>
      <w:r>
        <w:rPr>
          <w:sz w:val="22"/>
        </w:rPr>
        <w:t>existing tenants that is not otherwise subject</w:t>
      </w:r>
      <w:r>
        <w:rPr>
          <w:spacing w:val="-1"/>
          <w:sz w:val="22"/>
        </w:rPr>
        <w:t> </w:t>
      </w:r>
      <w:r>
        <w:rPr>
          <w:sz w:val="22"/>
        </w:rPr>
        <w:t>to the Uniform Relocation Act (URA), the development proposal must include a City- approved relocation plan that:</w:t>
      </w:r>
    </w:p>
    <w:p>
      <w:pPr>
        <w:pStyle w:val="ListParagraph"/>
        <w:numPr>
          <w:ilvl w:val="0"/>
          <w:numId w:val="21"/>
        </w:numPr>
        <w:tabs>
          <w:tab w:pos="1561" w:val="left" w:leader="none"/>
        </w:tabs>
        <w:spacing w:line="240" w:lineRule="auto" w:before="3" w:after="0"/>
        <w:ind w:left="1560" w:right="156" w:hanging="360"/>
        <w:jc w:val="both"/>
        <w:rPr>
          <w:sz w:val="22"/>
        </w:rPr>
      </w:pPr>
      <w:r>
        <w:rPr>
          <w:sz w:val="22"/>
        </w:rPr>
        <w:t>Minimizes permanent displacement from the Development. In the event of permanent displacement, Proposers will be required to provide compensation to affected tenants that is otherwise in alignment with URA requirements;</w:t>
      </w:r>
    </w:p>
    <w:p>
      <w:pPr>
        <w:pStyle w:val="ListParagraph"/>
        <w:numPr>
          <w:ilvl w:val="0"/>
          <w:numId w:val="21"/>
        </w:numPr>
        <w:tabs>
          <w:tab w:pos="1561" w:val="left" w:leader="none"/>
        </w:tabs>
        <w:spacing w:line="240" w:lineRule="auto" w:before="0" w:after="0"/>
        <w:ind w:left="1560" w:right="157" w:hanging="360"/>
        <w:jc w:val="both"/>
        <w:rPr>
          <w:sz w:val="22"/>
        </w:rPr>
      </w:pPr>
      <w:r>
        <w:rPr>
          <w:sz w:val="22"/>
        </w:rPr>
        <w:t>Must provide reasonable notice to affected tenants prior to any temporary relocation and covers all reasonable out of pocket costs incurred by tenants as a result of moving from one unit to another within the Development or temporarily vacating their units to allow rehabilitation work to proceed; and</w:t>
      </w:r>
    </w:p>
    <w:p>
      <w:pPr>
        <w:pStyle w:val="ListParagraph"/>
        <w:numPr>
          <w:ilvl w:val="0"/>
          <w:numId w:val="21"/>
        </w:numPr>
        <w:tabs>
          <w:tab w:pos="1561" w:val="left" w:leader="none"/>
        </w:tabs>
        <w:spacing w:line="240" w:lineRule="auto" w:before="0" w:after="0"/>
        <w:ind w:left="1560" w:right="157" w:hanging="360"/>
        <w:jc w:val="both"/>
        <w:rPr>
          <w:sz w:val="22"/>
        </w:rPr>
      </w:pPr>
      <w:r>
        <w:rPr>
          <w:sz w:val="22"/>
        </w:rPr>
        <w:t>Proposer must meet all applicable state, federal, or local laws relating to displacement of tenants.</w:t>
      </w:r>
    </w:p>
    <w:p>
      <w:pPr>
        <w:pStyle w:val="ListParagraph"/>
        <w:numPr>
          <w:ilvl w:val="1"/>
          <w:numId w:val="16"/>
        </w:numPr>
        <w:tabs>
          <w:tab w:pos="841" w:val="left" w:leader="none"/>
        </w:tabs>
        <w:spacing w:line="240" w:lineRule="auto" w:before="0" w:after="0"/>
        <w:ind w:left="840" w:right="156" w:hanging="361"/>
        <w:jc w:val="both"/>
        <w:rPr>
          <w:rFonts w:ascii="Symbol" w:hAnsi="Symbol"/>
          <w:sz w:val="22"/>
        </w:rPr>
      </w:pPr>
      <w:r>
        <w:rPr>
          <w:sz w:val="22"/>
        </w:rPr>
        <w:t>For any Development involving rehabilitation</w:t>
      </w:r>
      <w:r>
        <w:rPr>
          <w:spacing w:val="-1"/>
          <w:sz w:val="22"/>
        </w:rPr>
        <w:t> </w:t>
      </w:r>
      <w:r>
        <w:rPr>
          <w:sz w:val="22"/>
        </w:rPr>
        <w:t>or adaptive</w:t>
      </w:r>
      <w:r>
        <w:rPr>
          <w:spacing w:val="-1"/>
          <w:sz w:val="22"/>
        </w:rPr>
        <w:t> </w:t>
      </w:r>
      <w:r>
        <w:rPr>
          <w:sz w:val="22"/>
        </w:rPr>
        <w:t>reuse</w:t>
      </w:r>
      <w:r>
        <w:rPr>
          <w:spacing w:val="-1"/>
          <w:sz w:val="22"/>
        </w:rPr>
        <w:t> </w:t>
      </w:r>
      <w:r>
        <w:rPr>
          <w:sz w:val="22"/>
        </w:rPr>
        <w:t>(i.e., conversion of space originally</w:t>
      </w:r>
      <w:r>
        <w:rPr>
          <w:spacing w:val="-16"/>
          <w:sz w:val="22"/>
        </w:rPr>
        <w:t> </w:t>
      </w:r>
      <w:r>
        <w:rPr>
          <w:sz w:val="22"/>
        </w:rPr>
        <w:t>designed</w:t>
      </w:r>
      <w:r>
        <w:rPr>
          <w:spacing w:val="-15"/>
          <w:sz w:val="22"/>
        </w:rPr>
        <w:t> </w:t>
      </w:r>
      <w:r>
        <w:rPr>
          <w:sz w:val="22"/>
        </w:rPr>
        <w:t>and</w:t>
      </w:r>
      <w:r>
        <w:rPr>
          <w:spacing w:val="-15"/>
          <w:sz w:val="22"/>
        </w:rPr>
        <w:t> </w:t>
      </w:r>
      <w:r>
        <w:rPr>
          <w:sz w:val="22"/>
        </w:rPr>
        <w:t>built</w:t>
      </w:r>
      <w:r>
        <w:rPr>
          <w:spacing w:val="-16"/>
          <w:sz w:val="22"/>
        </w:rPr>
        <w:t> </w:t>
      </w:r>
      <w:r>
        <w:rPr>
          <w:sz w:val="22"/>
        </w:rPr>
        <w:t>for</w:t>
      </w:r>
      <w:r>
        <w:rPr>
          <w:spacing w:val="-15"/>
          <w:sz w:val="22"/>
        </w:rPr>
        <w:t> </w:t>
      </w:r>
      <w:r>
        <w:rPr>
          <w:sz w:val="22"/>
        </w:rPr>
        <w:t>other</w:t>
      </w:r>
      <w:r>
        <w:rPr>
          <w:spacing w:val="-15"/>
          <w:sz w:val="22"/>
        </w:rPr>
        <w:t> </w:t>
      </w:r>
      <w:r>
        <w:rPr>
          <w:sz w:val="22"/>
        </w:rPr>
        <w:t>than</w:t>
      </w:r>
      <w:r>
        <w:rPr>
          <w:spacing w:val="-15"/>
          <w:sz w:val="22"/>
        </w:rPr>
        <w:t> </w:t>
      </w:r>
      <w:r>
        <w:rPr>
          <w:sz w:val="22"/>
        </w:rPr>
        <w:t>residential</w:t>
      </w:r>
      <w:r>
        <w:rPr>
          <w:spacing w:val="-16"/>
          <w:sz w:val="22"/>
        </w:rPr>
        <w:t> </w:t>
      </w:r>
      <w:r>
        <w:rPr>
          <w:sz w:val="22"/>
        </w:rPr>
        <w:t>purposes),</w:t>
      </w:r>
      <w:r>
        <w:rPr>
          <w:spacing w:val="-15"/>
          <w:sz w:val="22"/>
        </w:rPr>
        <w:t> </w:t>
      </w:r>
      <w:r>
        <w:rPr>
          <w:sz w:val="22"/>
        </w:rPr>
        <w:t>the</w:t>
      </w:r>
      <w:r>
        <w:rPr>
          <w:spacing w:val="-15"/>
          <w:sz w:val="22"/>
        </w:rPr>
        <w:t> </w:t>
      </w:r>
      <w:r>
        <w:rPr>
          <w:sz w:val="22"/>
        </w:rPr>
        <w:t>Proposer</w:t>
      </w:r>
      <w:r>
        <w:rPr>
          <w:spacing w:val="-16"/>
          <w:sz w:val="22"/>
        </w:rPr>
        <w:t> </w:t>
      </w:r>
      <w:r>
        <w:rPr>
          <w:sz w:val="22"/>
        </w:rPr>
        <w:t>must</w:t>
      </w:r>
      <w:r>
        <w:rPr>
          <w:spacing w:val="-15"/>
          <w:sz w:val="22"/>
        </w:rPr>
        <w:t> </w:t>
      </w:r>
      <w:r>
        <w:rPr>
          <w:sz w:val="22"/>
        </w:rPr>
        <w:t>submit a Plan and</w:t>
      </w:r>
      <w:r>
        <w:rPr>
          <w:spacing w:val="-3"/>
          <w:sz w:val="22"/>
        </w:rPr>
        <w:t> </w:t>
      </w:r>
      <w:r>
        <w:rPr>
          <w:sz w:val="22"/>
        </w:rPr>
        <w:t>Cost</w:t>
      </w:r>
      <w:r>
        <w:rPr>
          <w:spacing w:val="-1"/>
          <w:sz w:val="22"/>
        </w:rPr>
        <w:t> </w:t>
      </w:r>
      <w:r>
        <w:rPr>
          <w:sz w:val="22"/>
        </w:rPr>
        <w:t>Review</w:t>
      </w:r>
      <w:r>
        <w:rPr>
          <w:spacing w:val="-3"/>
          <w:sz w:val="22"/>
        </w:rPr>
        <w:t> </w:t>
      </w:r>
      <w:r>
        <w:rPr>
          <w:sz w:val="22"/>
        </w:rPr>
        <w:t>for</w:t>
      </w:r>
      <w:r>
        <w:rPr>
          <w:spacing w:val="-1"/>
          <w:sz w:val="22"/>
        </w:rPr>
        <w:t> </w:t>
      </w:r>
      <w:r>
        <w:rPr>
          <w:sz w:val="22"/>
        </w:rPr>
        <w:t>the</w:t>
      </w:r>
      <w:r>
        <w:rPr>
          <w:spacing w:val="-3"/>
          <w:sz w:val="22"/>
        </w:rPr>
        <w:t> </w:t>
      </w:r>
      <w:r>
        <w:rPr>
          <w:sz w:val="22"/>
        </w:rPr>
        <w:t>Development</w:t>
      </w:r>
      <w:r>
        <w:rPr>
          <w:spacing w:val="-1"/>
          <w:sz w:val="22"/>
        </w:rPr>
        <w:t> </w:t>
      </w:r>
      <w:r>
        <w:rPr>
          <w:sz w:val="22"/>
        </w:rPr>
        <w:t>including all</w:t>
      </w:r>
      <w:r>
        <w:rPr>
          <w:spacing w:val="-1"/>
          <w:sz w:val="22"/>
        </w:rPr>
        <w:t> </w:t>
      </w:r>
      <w:r>
        <w:rPr>
          <w:sz w:val="22"/>
        </w:rPr>
        <w:t>supporting</w:t>
      </w:r>
      <w:r>
        <w:rPr>
          <w:spacing w:val="-3"/>
          <w:sz w:val="22"/>
        </w:rPr>
        <w:t> </w:t>
      </w:r>
      <w:r>
        <w:rPr>
          <w:sz w:val="22"/>
        </w:rPr>
        <w:t>documentation</w:t>
      </w:r>
      <w:r>
        <w:rPr>
          <w:spacing w:val="-3"/>
          <w:sz w:val="22"/>
        </w:rPr>
        <w:t> </w:t>
      </w:r>
      <w:r>
        <w:rPr>
          <w:sz w:val="22"/>
        </w:rPr>
        <w:t>that formed the basis of the review</w:t>
      </w:r>
    </w:p>
    <w:p>
      <w:pPr>
        <w:spacing w:after="0" w:line="240" w:lineRule="auto"/>
        <w:jc w:val="both"/>
        <w:rPr>
          <w:rFonts w:ascii="Symbol" w:hAnsi="Symbol"/>
          <w:sz w:val="22"/>
        </w:rPr>
        <w:sectPr>
          <w:pgSz w:w="12240" w:h="15840"/>
          <w:pgMar w:header="0" w:footer="1176" w:top="1360" w:bottom="1420" w:left="1320" w:right="1280"/>
        </w:sectPr>
      </w:pPr>
    </w:p>
    <w:p>
      <w:pPr>
        <w:pStyle w:val="ListParagraph"/>
        <w:numPr>
          <w:ilvl w:val="1"/>
          <w:numId w:val="16"/>
        </w:numPr>
        <w:tabs>
          <w:tab w:pos="841" w:val="left" w:leader="none"/>
        </w:tabs>
        <w:spacing w:line="237" w:lineRule="auto" w:before="84" w:after="0"/>
        <w:ind w:left="840" w:right="155" w:hanging="361"/>
        <w:jc w:val="both"/>
        <w:rPr>
          <w:rFonts w:ascii="Symbol" w:hAnsi="Symbol"/>
          <w:sz w:val="22"/>
        </w:rPr>
      </w:pPr>
      <w:r>
        <w:rPr>
          <w:sz w:val="22"/>
        </w:rPr>
        <w:t>For any Development located in a census tract with a poverty rate of 40% or higher, the Development must achieve a minimum score under Resident Services element of the scoring factors below of:</w:t>
      </w:r>
    </w:p>
    <w:p>
      <w:pPr>
        <w:pStyle w:val="ListParagraph"/>
        <w:numPr>
          <w:ilvl w:val="0"/>
          <w:numId w:val="22"/>
        </w:numPr>
        <w:tabs>
          <w:tab w:pos="1560" w:val="left" w:leader="none"/>
        </w:tabs>
        <w:spacing w:line="240" w:lineRule="auto" w:before="1" w:after="0"/>
        <w:ind w:left="1559" w:right="0" w:hanging="361"/>
        <w:jc w:val="left"/>
        <w:rPr>
          <w:sz w:val="22"/>
        </w:rPr>
      </w:pPr>
      <w:r>
        <w:rPr>
          <w:sz w:val="22"/>
        </w:rPr>
        <w:t>17</w:t>
      </w:r>
      <w:r>
        <w:rPr>
          <w:spacing w:val="-4"/>
          <w:sz w:val="22"/>
        </w:rPr>
        <w:t> </w:t>
      </w:r>
      <w:r>
        <w:rPr>
          <w:sz w:val="22"/>
        </w:rPr>
        <w:t>points</w:t>
      </w:r>
      <w:r>
        <w:rPr>
          <w:spacing w:val="-5"/>
          <w:sz w:val="22"/>
        </w:rPr>
        <w:t> </w:t>
      </w:r>
      <w:r>
        <w:rPr>
          <w:sz w:val="22"/>
        </w:rPr>
        <w:t>for</w:t>
      </w:r>
      <w:r>
        <w:rPr>
          <w:spacing w:val="-4"/>
          <w:sz w:val="22"/>
        </w:rPr>
        <w:t> </w:t>
      </w:r>
      <w:r>
        <w:rPr>
          <w:sz w:val="22"/>
        </w:rPr>
        <w:t>elderly</w:t>
      </w:r>
      <w:r>
        <w:rPr>
          <w:spacing w:val="-5"/>
          <w:sz w:val="22"/>
        </w:rPr>
        <w:t> </w:t>
      </w:r>
      <w:r>
        <w:rPr>
          <w:spacing w:val="-2"/>
          <w:sz w:val="22"/>
        </w:rPr>
        <w:t>developments;</w:t>
      </w:r>
    </w:p>
    <w:p>
      <w:pPr>
        <w:pStyle w:val="ListParagraph"/>
        <w:numPr>
          <w:ilvl w:val="0"/>
          <w:numId w:val="22"/>
        </w:numPr>
        <w:tabs>
          <w:tab w:pos="1560" w:val="left" w:leader="none"/>
        </w:tabs>
        <w:spacing w:line="252" w:lineRule="exact" w:before="1" w:after="0"/>
        <w:ind w:left="1559" w:right="0" w:hanging="361"/>
        <w:jc w:val="left"/>
        <w:rPr>
          <w:sz w:val="22"/>
        </w:rPr>
      </w:pPr>
      <w:r>
        <w:rPr>
          <w:sz w:val="22"/>
        </w:rPr>
        <w:t>23</w:t>
      </w:r>
      <w:r>
        <w:rPr>
          <w:spacing w:val="-5"/>
          <w:sz w:val="22"/>
        </w:rPr>
        <w:t> </w:t>
      </w:r>
      <w:r>
        <w:rPr>
          <w:sz w:val="22"/>
        </w:rPr>
        <w:t>points</w:t>
      </w:r>
      <w:r>
        <w:rPr>
          <w:spacing w:val="-7"/>
          <w:sz w:val="22"/>
        </w:rPr>
        <w:t> </w:t>
      </w:r>
      <w:r>
        <w:rPr>
          <w:sz w:val="22"/>
        </w:rPr>
        <w:t>for</w:t>
      </w:r>
      <w:r>
        <w:rPr>
          <w:spacing w:val="-8"/>
          <w:sz w:val="22"/>
        </w:rPr>
        <w:t> </w:t>
      </w:r>
      <w:r>
        <w:rPr>
          <w:sz w:val="22"/>
        </w:rPr>
        <w:t>family</w:t>
      </w:r>
      <w:r>
        <w:rPr>
          <w:spacing w:val="-4"/>
          <w:sz w:val="22"/>
        </w:rPr>
        <w:t> </w:t>
      </w:r>
      <w:r>
        <w:rPr>
          <w:sz w:val="22"/>
        </w:rPr>
        <w:t>developments;</w:t>
      </w:r>
      <w:r>
        <w:rPr>
          <w:spacing w:val="-2"/>
          <w:sz w:val="22"/>
        </w:rPr>
        <w:t> </w:t>
      </w:r>
      <w:r>
        <w:rPr>
          <w:spacing w:val="-5"/>
          <w:sz w:val="22"/>
        </w:rPr>
        <w:t>or</w:t>
      </w:r>
    </w:p>
    <w:p>
      <w:pPr>
        <w:pStyle w:val="ListParagraph"/>
        <w:numPr>
          <w:ilvl w:val="0"/>
          <w:numId w:val="22"/>
        </w:numPr>
        <w:tabs>
          <w:tab w:pos="1560" w:val="left" w:leader="none"/>
        </w:tabs>
        <w:spacing w:line="252" w:lineRule="exact" w:before="0" w:after="0"/>
        <w:ind w:left="1559" w:right="0" w:hanging="361"/>
        <w:jc w:val="left"/>
        <w:rPr>
          <w:sz w:val="22"/>
        </w:rPr>
      </w:pPr>
      <w:r>
        <w:rPr>
          <w:sz w:val="22"/>
        </w:rPr>
        <w:t>22</w:t>
      </w:r>
      <w:r>
        <w:rPr>
          <w:spacing w:val="-7"/>
          <w:sz w:val="22"/>
        </w:rPr>
        <w:t> </w:t>
      </w:r>
      <w:r>
        <w:rPr>
          <w:sz w:val="22"/>
        </w:rPr>
        <w:t>points</w:t>
      </w:r>
      <w:r>
        <w:rPr>
          <w:spacing w:val="-8"/>
          <w:sz w:val="22"/>
        </w:rPr>
        <w:t> </w:t>
      </w:r>
      <w:r>
        <w:rPr>
          <w:sz w:val="22"/>
        </w:rPr>
        <w:t>for</w:t>
      </w:r>
      <w:r>
        <w:rPr>
          <w:spacing w:val="-7"/>
          <w:sz w:val="22"/>
        </w:rPr>
        <w:t> </w:t>
      </w:r>
      <w:r>
        <w:rPr>
          <w:sz w:val="22"/>
        </w:rPr>
        <w:t>permanent</w:t>
      </w:r>
      <w:r>
        <w:rPr>
          <w:spacing w:val="-7"/>
          <w:sz w:val="22"/>
        </w:rPr>
        <w:t> </w:t>
      </w:r>
      <w:r>
        <w:rPr>
          <w:sz w:val="22"/>
        </w:rPr>
        <w:t>supportive</w:t>
      </w:r>
      <w:r>
        <w:rPr>
          <w:spacing w:val="-8"/>
          <w:sz w:val="22"/>
        </w:rPr>
        <w:t> </w:t>
      </w:r>
      <w:r>
        <w:rPr>
          <w:sz w:val="22"/>
        </w:rPr>
        <w:t>housing</w:t>
      </w:r>
      <w:r>
        <w:rPr>
          <w:spacing w:val="-6"/>
          <w:sz w:val="22"/>
        </w:rPr>
        <w:t> </w:t>
      </w:r>
      <w:r>
        <w:rPr>
          <w:sz w:val="22"/>
        </w:rPr>
        <w:t>developments;</w:t>
      </w:r>
      <w:r>
        <w:rPr>
          <w:spacing w:val="-4"/>
          <w:sz w:val="22"/>
        </w:rPr>
        <w:t> </w:t>
      </w:r>
      <w:r>
        <w:rPr>
          <w:spacing w:val="-5"/>
          <w:sz w:val="22"/>
        </w:rPr>
        <w:t>and</w:t>
      </w:r>
    </w:p>
    <w:p>
      <w:pPr>
        <w:pStyle w:val="ListParagraph"/>
        <w:numPr>
          <w:ilvl w:val="1"/>
          <w:numId w:val="16"/>
        </w:numPr>
        <w:tabs>
          <w:tab w:pos="840" w:val="left" w:leader="none"/>
          <w:tab w:pos="841" w:val="left" w:leader="none"/>
        </w:tabs>
        <w:spacing w:line="268" w:lineRule="exact" w:before="1" w:after="0"/>
        <w:ind w:left="840" w:right="0" w:hanging="362"/>
        <w:jc w:val="left"/>
        <w:rPr>
          <w:rFonts w:ascii="Symbol" w:hAnsi="Symbol"/>
          <w:sz w:val="22"/>
        </w:rPr>
      </w:pPr>
      <w:r>
        <w:rPr>
          <w:sz w:val="22"/>
        </w:rPr>
        <w:t>The</w:t>
      </w:r>
      <w:r>
        <w:rPr>
          <w:spacing w:val="-6"/>
          <w:sz w:val="22"/>
        </w:rPr>
        <w:t> </w:t>
      </w:r>
      <w:r>
        <w:rPr>
          <w:sz w:val="22"/>
        </w:rPr>
        <w:t>Proposer</w:t>
      </w:r>
      <w:r>
        <w:rPr>
          <w:spacing w:val="-5"/>
          <w:sz w:val="22"/>
        </w:rPr>
        <w:t> </w:t>
      </w:r>
      <w:r>
        <w:rPr>
          <w:sz w:val="22"/>
        </w:rPr>
        <w:t>must</w:t>
      </w:r>
      <w:r>
        <w:rPr>
          <w:spacing w:val="-4"/>
          <w:sz w:val="22"/>
        </w:rPr>
        <w:t> </w:t>
      </w:r>
      <w:r>
        <w:rPr>
          <w:sz w:val="22"/>
        </w:rPr>
        <w:t>be</w:t>
      </w:r>
      <w:r>
        <w:rPr>
          <w:spacing w:val="-7"/>
          <w:sz w:val="22"/>
        </w:rPr>
        <w:t> </w:t>
      </w:r>
      <w:r>
        <w:rPr>
          <w:sz w:val="22"/>
        </w:rPr>
        <w:t>eligible</w:t>
      </w:r>
      <w:r>
        <w:rPr>
          <w:spacing w:val="-4"/>
          <w:sz w:val="22"/>
        </w:rPr>
        <w:t> </w:t>
      </w:r>
      <w:r>
        <w:rPr>
          <w:sz w:val="22"/>
        </w:rPr>
        <w:t>pursuant</w:t>
      </w:r>
      <w:r>
        <w:rPr>
          <w:spacing w:val="-5"/>
          <w:sz w:val="22"/>
        </w:rPr>
        <w:t> </w:t>
      </w:r>
      <w:r>
        <w:rPr>
          <w:sz w:val="22"/>
        </w:rPr>
        <w:t>to</w:t>
      </w:r>
      <w:r>
        <w:rPr>
          <w:spacing w:val="-4"/>
          <w:sz w:val="22"/>
        </w:rPr>
        <w:t> </w:t>
      </w:r>
      <w:r>
        <w:rPr>
          <w:sz w:val="22"/>
        </w:rPr>
        <w:t>TDHCA</w:t>
      </w:r>
      <w:r>
        <w:rPr>
          <w:spacing w:val="-5"/>
          <w:sz w:val="22"/>
        </w:rPr>
        <w:t> </w:t>
      </w:r>
      <w:r>
        <w:rPr>
          <w:sz w:val="22"/>
        </w:rPr>
        <w:t>standards</w:t>
      </w:r>
      <w:r>
        <w:rPr>
          <w:spacing w:val="-3"/>
          <w:sz w:val="22"/>
        </w:rPr>
        <w:t> </w:t>
      </w:r>
      <w:r>
        <w:rPr>
          <w:sz w:val="22"/>
        </w:rPr>
        <w:t>and</w:t>
      </w:r>
      <w:r>
        <w:rPr>
          <w:spacing w:val="-6"/>
          <w:sz w:val="22"/>
        </w:rPr>
        <w:t> </w:t>
      </w:r>
      <w:r>
        <w:rPr>
          <w:sz w:val="22"/>
        </w:rPr>
        <w:t>City</w:t>
      </w:r>
      <w:r>
        <w:rPr>
          <w:spacing w:val="-6"/>
          <w:sz w:val="22"/>
        </w:rPr>
        <w:t> </w:t>
      </w:r>
      <w:r>
        <w:rPr>
          <w:spacing w:val="-2"/>
          <w:sz w:val="22"/>
        </w:rPr>
        <w:t>standards:</w:t>
      </w:r>
    </w:p>
    <w:p>
      <w:pPr>
        <w:pStyle w:val="BodyText"/>
        <w:ind w:left="1559" w:right="154" w:hanging="360"/>
        <w:jc w:val="both"/>
      </w:pPr>
      <w:r>
        <w:rPr/>
        <w:pict>
          <v:shape style="position:absolute;margin-left:90.065002pt;margin-top:24.486668pt;width:395.3pt;height:419pt;mso-position-horizontal-relative:page;mso-position-vertical-relative:paragraph;z-index:-17695232" id="docshape99" coordorigin="1801,490" coordsize="7906,8380" path="m4498,7753l4492,7680,4477,7602,4455,7519,4432,7450,4403,7378,4367,7303,4325,7225,4276,7144,4237,7085,4200,7035,4200,7720,4197,7776,4186,7833,4167,7891,4138,7950,4097,8013,4044,8079,3979,8149,3674,8454,2216,6996,2517,6696,2598,6619,2672,6560,2740,6516,2801,6490,2868,6475,2941,6471,3020,6478,3105,6496,3195,6525,3255,6550,3317,6583,3380,6621,3446,6666,3514,6718,3584,6776,3656,6841,3729,6912,3789,6974,3845,7034,3896,7093,3943,7151,3986,7207,4025,7262,4059,7316,4101,7391,4136,7463,4163,7533,4183,7600,4196,7664,4200,7720,4200,7035,4194,7026,4148,6966,4098,6905,4045,6844,3989,6783,3929,6721,3865,6659,3801,6600,3737,6545,3673,6494,3643,6471,3609,6446,3546,6401,3482,6360,3419,6322,3346,6284,3274,6252,3203,6225,3132,6203,3062,6186,2992,6174,2923,6167,2850,6165,2779,6172,2709,6187,2642,6210,2577,6240,2528,6268,2476,6305,2420,6351,2359,6405,2294,6467,1801,6961,3710,8869,4124,8454,4226,8352,4287,8287,4341,8222,4386,8156,4424,8089,4454,8023,4476,7956,4491,7890,4498,7822,4498,7753xm6418,6160l6056,6033,5650,5890,5561,5861,5475,5837,5393,5818,5365,5812,5314,5803,5239,5793,5193,5792,5143,5795,5089,5802,5030,5812,5073,5743,5109,5673,5136,5604,5154,5535,5164,5467,5165,5398,5157,5331,5139,5253,5111,5176,5075,5102,5030,5029,4976,4959,4956,4936,4913,4890,4872,4852,4872,5409,4868,5465,4854,5520,4830,5576,4794,5634,4747,5695,4687,5759,4280,6166,3649,5535,4102,5082,4166,5025,4229,4982,4293,4952,4358,4937,4422,4936,4501,4951,4577,4981,4649,5025,4718,5085,4761,5133,4797,5183,4827,5237,4851,5294,4867,5352,4872,5409,4872,4852,4849,4830,4782,4778,4713,4732,4641,4694,4566,4662,4474,4633,4386,4621,4303,4623,4225,4639,4163,4663,4098,4700,4030,4748,3958,4808,3883,4879,3248,5514,5157,7422,5346,7232,4499,6385,4718,6166,4753,6132,4783,6104,4810,6083,4833,6069,4863,6055,4896,6044,4932,6037,4971,6033,5014,6033,5066,6038,5125,6048,5194,6065,5256,6082,5328,6103,5407,6128,5496,6157,6180,6398,6418,6160xm7780,4798l7415,4603,6555,4149,6555,4456,6070,4941,6030,4870,5989,4798,5748,4367,5708,4296,5668,4224,5629,4159,5590,4094,5550,4030,5509,3967,5467,3905,5424,3843,5380,3783,5436,3818,5498,3856,5564,3896,5635,3938,5792,4028,6555,4456,6555,4149,5862,3783,5286,3476,5082,3680,5277,4030,5316,4100,5701,4798,6207,5717,6441,6138,6642,5937,6565,5803,6298,5335,6221,5201,6481,4941,6820,4603,7173,4798,7565,5014,7780,4798xm8131,4448l7264,3581,7936,2909,7711,2684,7039,3355,6448,2765,7224,1988,6999,1763,6033,2729,7941,4637,8131,4448xm9707,2872l8024,1189,8497,715,8272,490,7138,1624,7363,1849,7834,1378,9517,3061,9707,2872xe" filled="true" fillcolor="#c0c0c0" stroked="false">
            <v:path arrowok="t"/>
            <v:fill opacity="32896f" type="solid"/>
            <w10:wrap type="none"/>
          </v:shape>
        </w:pict>
      </w:r>
      <w:r>
        <w:rPr/>
        <w:t>(1)</w:t>
      </w:r>
      <w:r>
        <w:rPr>
          <w:spacing w:val="26"/>
        </w:rPr>
        <w:t> </w:t>
      </w:r>
      <w:r>
        <w:rPr/>
        <w:t>A proposer is not eligible for any resolution if the Proposer i) is in debt to the City or</w:t>
      </w:r>
      <w:r>
        <w:rPr>
          <w:spacing w:val="-16"/>
        </w:rPr>
        <w:t> </w:t>
      </w:r>
      <w:r>
        <w:rPr/>
        <w:t>delinquent</w:t>
      </w:r>
      <w:r>
        <w:rPr>
          <w:spacing w:val="-15"/>
        </w:rPr>
        <w:t> </w:t>
      </w:r>
      <w:r>
        <w:rPr/>
        <w:t>in</w:t>
      </w:r>
      <w:r>
        <w:rPr>
          <w:spacing w:val="-15"/>
        </w:rPr>
        <w:t> </w:t>
      </w:r>
      <w:r>
        <w:rPr/>
        <w:t>any</w:t>
      </w:r>
      <w:r>
        <w:rPr>
          <w:spacing w:val="-16"/>
        </w:rPr>
        <w:t> </w:t>
      </w:r>
      <w:r>
        <w:rPr/>
        <w:t>payment</w:t>
      </w:r>
      <w:r>
        <w:rPr>
          <w:spacing w:val="-15"/>
        </w:rPr>
        <w:t> </w:t>
      </w:r>
      <w:r>
        <w:rPr/>
        <w:t>owed</w:t>
      </w:r>
      <w:r>
        <w:rPr>
          <w:spacing w:val="-15"/>
        </w:rPr>
        <w:t> </w:t>
      </w:r>
      <w:r>
        <w:rPr/>
        <w:t>to</w:t>
      </w:r>
      <w:r>
        <w:rPr>
          <w:spacing w:val="-15"/>
        </w:rPr>
        <w:t> </w:t>
      </w:r>
      <w:r>
        <w:rPr/>
        <w:t>the</w:t>
      </w:r>
      <w:r>
        <w:rPr>
          <w:spacing w:val="-16"/>
        </w:rPr>
        <w:t> </w:t>
      </w:r>
      <w:r>
        <w:rPr/>
        <w:t>City,</w:t>
      </w:r>
      <w:r>
        <w:rPr>
          <w:spacing w:val="-15"/>
        </w:rPr>
        <w:t> </w:t>
      </w:r>
      <w:r>
        <w:rPr/>
        <w:t>in</w:t>
      </w:r>
      <w:r>
        <w:rPr>
          <w:spacing w:val="-15"/>
        </w:rPr>
        <w:t> </w:t>
      </w:r>
      <w:r>
        <w:rPr/>
        <w:t>accordance</w:t>
      </w:r>
      <w:r>
        <w:rPr>
          <w:spacing w:val="-16"/>
        </w:rPr>
        <w:t> </w:t>
      </w:r>
      <w:r>
        <w:rPr/>
        <w:t>with</w:t>
      </w:r>
      <w:r>
        <w:rPr>
          <w:spacing w:val="-15"/>
        </w:rPr>
        <w:t> </w:t>
      </w:r>
      <w:r>
        <w:rPr/>
        <w:t>Dallas</w:t>
      </w:r>
      <w:r>
        <w:rPr>
          <w:spacing w:val="-15"/>
        </w:rPr>
        <w:t> </w:t>
      </w:r>
      <w:r>
        <w:rPr/>
        <w:t>City</w:t>
      </w:r>
      <w:r>
        <w:rPr>
          <w:spacing w:val="-15"/>
        </w:rPr>
        <w:t> </w:t>
      </w:r>
      <w:r>
        <w:rPr/>
        <w:t>Code Section 2-36, as amended; ii) is currently in litigation with the City, either as a defendant or plaintiff; or iii) within the last 10 years has been found liable of violating Chapter 20A (Fair Housing) or Chapter 46 (Human Rights and Sexual Orientation) of the Dallas City Code.</w:t>
      </w:r>
    </w:p>
    <w:p>
      <w:pPr>
        <w:pStyle w:val="BodyText"/>
        <w:spacing w:before="10"/>
        <w:rPr>
          <w:sz w:val="21"/>
        </w:rPr>
      </w:pPr>
    </w:p>
    <w:p>
      <w:pPr>
        <w:pStyle w:val="Heading5"/>
      </w:pPr>
      <w:r>
        <w:rPr/>
        <w:t>Developments</w:t>
      </w:r>
      <w:r>
        <w:rPr>
          <w:spacing w:val="-11"/>
        </w:rPr>
        <w:t> </w:t>
      </w:r>
      <w:r>
        <w:rPr/>
        <w:t>Involving</w:t>
      </w:r>
      <w:r>
        <w:rPr>
          <w:spacing w:val="-6"/>
        </w:rPr>
        <w:t> </w:t>
      </w:r>
      <w:r>
        <w:rPr/>
        <w:t>Rehabilitation</w:t>
      </w:r>
      <w:r>
        <w:rPr>
          <w:spacing w:val="-8"/>
        </w:rPr>
        <w:t> </w:t>
      </w:r>
      <w:r>
        <w:rPr/>
        <w:t>of</w:t>
      </w:r>
      <w:r>
        <w:rPr>
          <w:spacing w:val="-8"/>
        </w:rPr>
        <w:t> </w:t>
      </w:r>
      <w:r>
        <w:rPr/>
        <w:t>Existing</w:t>
      </w:r>
      <w:r>
        <w:rPr>
          <w:spacing w:val="-8"/>
        </w:rPr>
        <w:t> </w:t>
      </w:r>
      <w:r>
        <w:rPr>
          <w:spacing w:val="-2"/>
        </w:rPr>
        <w:t>Housing</w:t>
      </w:r>
    </w:p>
    <w:p>
      <w:pPr>
        <w:pStyle w:val="ListParagraph"/>
        <w:numPr>
          <w:ilvl w:val="1"/>
          <w:numId w:val="16"/>
        </w:numPr>
        <w:tabs>
          <w:tab w:pos="841" w:val="left" w:leader="none"/>
        </w:tabs>
        <w:spacing w:line="240" w:lineRule="auto" w:before="51" w:after="0"/>
        <w:ind w:left="840" w:right="155" w:hanging="361"/>
        <w:jc w:val="both"/>
        <w:rPr>
          <w:rFonts w:ascii="Symbol" w:hAnsi="Symbol"/>
          <w:sz w:val="22"/>
        </w:rPr>
      </w:pPr>
      <w:r>
        <w:rPr>
          <w:sz w:val="22"/>
        </w:rPr>
        <w:t>The proposed scope of work must be informed by a capital needs assessment (CNA), prepared by a qualified third-party professional that is independent from the Development’s architect or engineer, builder/general contractor, or other member of the Development</w:t>
      </w:r>
      <w:r>
        <w:rPr>
          <w:spacing w:val="-3"/>
          <w:sz w:val="22"/>
        </w:rPr>
        <w:t> </w:t>
      </w:r>
      <w:r>
        <w:rPr>
          <w:sz w:val="22"/>
        </w:rPr>
        <w:t>Team.</w:t>
      </w:r>
      <w:r>
        <w:rPr>
          <w:spacing w:val="-5"/>
          <w:sz w:val="22"/>
        </w:rPr>
        <w:t> </w:t>
      </w:r>
      <w:r>
        <w:rPr>
          <w:sz w:val="22"/>
        </w:rPr>
        <w:t>The</w:t>
      </w:r>
      <w:r>
        <w:rPr>
          <w:spacing w:val="-6"/>
          <w:sz w:val="22"/>
        </w:rPr>
        <w:t> </w:t>
      </w:r>
      <w:r>
        <w:rPr>
          <w:sz w:val="22"/>
        </w:rPr>
        <w:t>City</w:t>
      </w:r>
      <w:r>
        <w:rPr>
          <w:spacing w:val="-4"/>
          <w:sz w:val="22"/>
        </w:rPr>
        <w:t> </w:t>
      </w:r>
      <w:r>
        <w:rPr>
          <w:sz w:val="22"/>
        </w:rPr>
        <w:t>will</w:t>
      </w:r>
      <w:r>
        <w:rPr>
          <w:spacing w:val="-5"/>
          <w:sz w:val="22"/>
        </w:rPr>
        <w:t> </w:t>
      </w:r>
      <w:r>
        <w:rPr>
          <w:sz w:val="22"/>
        </w:rPr>
        <w:t>review</w:t>
      </w:r>
      <w:r>
        <w:rPr>
          <w:spacing w:val="-5"/>
          <w:sz w:val="22"/>
        </w:rPr>
        <w:t> </w:t>
      </w:r>
      <w:r>
        <w:rPr>
          <w:sz w:val="22"/>
        </w:rPr>
        <w:t>the</w:t>
      </w:r>
      <w:r>
        <w:rPr>
          <w:spacing w:val="-4"/>
          <w:sz w:val="22"/>
        </w:rPr>
        <w:t> </w:t>
      </w:r>
      <w:r>
        <w:rPr>
          <w:sz w:val="22"/>
        </w:rPr>
        <w:t>CNA</w:t>
      </w:r>
      <w:r>
        <w:rPr>
          <w:spacing w:val="-7"/>
          <w:sz w:val="22"/>
        </w:rPr>
        <w:t> </w:t>
      </w:r>
      <w:r>
        <w:rPr>
          <w:sz w:val="22"/>
        </w:rPr>
        <w:t>and</w:t>
      </w:r>
      <w:r>
        <w:rPr>
          <w:spacing w:val="-4"/>
          <w:sz w:val="22"/>
        </w:rPr>
        <w:t> </w:t>
      </w:r>
      <w:r>
        <w:rPr>
          <w:sz w:val="22"/>
        </w:rPr>
        <w:t>conduct</w:t>
      </w:r>
      <w:r>
        <w:rPr>
          <w:spacing w:val="-5"/>
          <w:sz w:val="22"/>
        </w:rPr>
        <w:t> </w:t>
      </w:r>
      <w:r>
        <w:rPr>
          <w:sz w:val="22"/>
        </w:rPr>
        <w:t>a</w:t>
      </w:r>
      <w:r>
        <w:rPr>
          <w:spacing w:val="-4"/>
          <w:sz w:val="22"/>
        </w:rPr>
        <w:t> </w:t>
      </w:r>
      <w:r>
        <w:rPr>
          <w:sz w:val="22"/>
        </w:rPr>
        <w:t>site</w:t>
      </w:r>
      <w:r>
        <w:rPr>
          <w:spacing w:val="-6"/>
          <w:sz w:val="22"/>
        </w:rPr>
        <w:t> </w:t>
      </w:r>
      <w:r>
        <w:rPr>
          <w:sz w:val="22"/>
        </w:rPr>
        <w:t>visit.</w:t>
      </w:r>
      <w:r>
        <w:rPr>
          <w:spacing w:val="-7"/>
          <w:sz w:val="22"/>
        </w:rPr>
        <w:t> </w:t>
      </w:r>
      <w:r>
        <w:rPr>
          <w:sz w:val="22"/>
        </w:rPr>
        <w:t>The</w:t>
      </w:r>
      <w:r>
        <w:rPr>
          <w:spacing w:val="-4"/>
          <w:sz w:val="22"/>
        </w:rPr>
        <w:t> </w:t>
      </w:r>
      <w:r>
        <w:rPr>
          <w:sz w:val="22"/>
        </w:rPr>
        <w:t>CNA</w:t>
      </w:r>
      <w:r>
        <w:rPr>
          <w:spacing w:val="-4"/>
          <w:sz w:val="22"/>
        </w:rPr>
        <w:t> </w:t>
      </w:r>
      <w:r>
        <w:rPr>
          <w:sz w:val="22"/>
        </w:rPr>
        <w:t>must demonstrate</w:t>
      </w:r>
      <w:r>
        <w:rPr>
          <w:spacing w:val="-4"/>
          <w:sz w:val="22"/>
        </w:rPr>
        <w:t> </w:t>
      </w:r>
      <w:r>
        <w:rPr>
          <w:sz w:val="22"/>
        </w:rPr>
        <w:t>to</w:t>
      </w:r>
      <w:r>
        <w:rPr>
          <w:spacing w:val="-2"/>
          <w:sz w:val="22"/>
        </w:rPr>
        <w:t> </w:t>
      </w:r>
      <w:r>
        <w:rPr>
          <w:sz w:val="22"/>
        </w:rPr>
        <w:t>the City’s</w:t>
      </w:r>
      <w:r>
        <w:rPr>
          <w:spacing w:val="-2"/>
          <w:sz w:val="22"/>
        </w:rPr>
        <w:t> </w:t>
      </w:r>
      <w:r>
        <w:rPr>
          <w:sz w:val="22"/>
        </w:rPr>
        <w:t>satisfaction</w:t>
      </w:r>
      <w:r>
        <w:rPr>
          <w:spacing w:val="-2"/>
          <w:sz w:val="22"/>
        </w:rPr>
        <w:t> </w:t>
      </w:r>
      <w:r>
        <w:rPr>
          <w:sz w:val="22"/>
        </w:rPr>
        <w:t>that</w:t>
      </w:r>
      <w:r>
        <w:rPr>
          <w:spacing w:val="-1"/>
          <w:sz w:val="22"/>
        </w:rPr>
        <w:t> </w:t>
      </w:r>
      <w:r>
        <w:rPr>
          <w:sz w:val="22"/>
        </w:rPr>
        <w:t>the initial</w:t>
      </w:r>
      <w:r>
        <w:rPr>
          <w:spacing w:val="-1"/>
          <w:sz w:val="22"/>
        </w:rPr>
        <w:t> </w:t>
      </w:r>
      <w:r>
        <w:rPr>
          <w:sz w:val="22"/>
        </w:rPr>
        <w:t>scope of work is</w:t>
      </w:r>
      <w:r>
        <w:rPr>
          <w:spacing w:val="-2"/>
          <w:sz w:val="22"/>
        </w:rPr>
        <w:t> </w:t>
      </w:r>
      <w:r>
        <w:rPr>
          <w:sz w:val="22"/>
        </w:rPr>
        <w:t>sufficient</w:t>
      </w:r>
      <w:r>
        <w:rPr>
          <w:spacing w:val="-1"/>
          <w:sz w:val="22"/>
        </w:rPr>
        <w:t> </w:t>
      </w:r>
      <w:r>
        <w:rPr>
          <w:sz w:val="22"/>
        </w:rPr>
        <w:t>to address all City code violations (whether formally cited or not). Further, the scope of work, combined with planned replacement reserve funding, must be determined sufficient to address</w:t>
      </w:r>
      <w:r>
        <w:rPr>
          <w:spacing w:val="-16"/>
          <w:sz w:val="22"/>
        </w:rPr>
        <w:t> </w:t>
      </w:r>
      <w:r>
        <w:rPr>
          <w:sz w:val="22"/>
        </w:rPr>
        <w:t>all</w:t>
      </w:r>
      <w:r>
        <w:rPr>
          <w:spacing w:val="-15"/>
          <w:sz w:val="22"/>
        </w:rPr>
        <w:t> </w:t>
      </w:r>
      <w:r>
        <w:rPr>
          <w:sz w:val="22"/>
        </w:rPr>
        <w:t>projected</w:t>
      </w:r>
      <w:r>
        <w:rPr>
          <w:spacing w:val="-15"/>
          <w:sz w:val="22"/>
        </w:rPr>
        <w:t> </w:t>
      </w:r>
      <w:r>
        <w:rPr>
          <w:sz w:val="22"/>
        </w:rPr>
        <w:t>repairs</w:t>
      </w:r>
      <w:r>
        <w:rPr>
          <w:spacing w:val="-16"/>
          <w:sz w:val="22"/>
        </w:rPr>
        <w:t> </w:t>
      </w:r>
      <w:r>
        <w:rPr>
          <w:sz w:val="22"/>
        </w:rPr>
        <w:t>or</w:t>
      </w:r>
      <w:r>
        <w:rPr>
          <w:spacing w:val="-15"/>
          <w:sz w:val="22"/>
        </w:rPr>
        <w:t> </w:t>
      </w:r>
      <w:r>
        <w:rPr>
          <w:sz w:val="22"/>
        </w:rPr>
        <w:t>replacements</w:t>
      </w:r>
      <w:r>
        <w:rPr>
          <w:spacing w:val="-15"/>
          <w:sz w:val="22"/>
        </w:rPr>
        <w:t> </w:t>
      </w:r>
      <w:r>
        <w:rPr>
          <w:sz w:val="22"/>
        </w:rPr>
        <w:t>of</w:t>
      </w:r>
      <w:r>
        <w:rPr>
          <w:spacing w:val="-15"/>
          <w:sz w:val="22"/>
        </w:rPr>
        <w:t> </w:t>
      </w:r>
      <w:r>
        <w:rPr>
          <w:sz w:val="22"/>
        </w:rPr>
        <w:t>the</w:t>
      </w:r>
      <w:r>
        <w:rPr>
          <w:spacing w:val="-16"/>
          <w:sz w:val="22"/>
        </w:rPr>
        <w:t> </w:t>
      </w:r>
      <w:r>
        <w:rPr>
          <w:sz w:val="22"/>
        </w:rPr>
        <w:t>following</w:t>
      </w:r>
      <w:r>
        <w:rPr>
          <w:spacing w:val="-15"/>
          <w:sz w:val="22"/>
        </w:rPr>
        <w:t> </w:t>
      </w:r>
      <w:r>
        <w:rPr>
          <w:sz w:val="22"/>
        </w:rPr>
        <w:t>items</w:t>
      </w:r>
      <w:r>
        <w:rPr>
          <w:spacing w:val="-15"/>
          <w:sz w:val="22"/>
        </w:rPr>
        <w:t> </w:t>
      </w:r>
      <w:r>
        <w:rPr>
          <w:sz w:val="22"/>
        </w:rPr>
        <w:t>through</w:t>
      </w:r>
      <w:r>
        <w:rPr>
          <w:spacing w:val="-16"/>
          <w:sz w:val="22"/>
        </w:rPr>
        <w:t> </w:t>
      </w:r>
      <w:r>
        <w:rPr>
          <w:sz w:val="22"/>
        </w:rPr>
        <w:t>the</w:t>
      </w:r>
      <w:r>
        <w:rPr>
          <w:spacing w:val="-15"/>
          <w:sz w:val="22"/>
        </w:rPr>
        <w:t> </w:t>
      </w:r>
      <w:r>
        <w:rPr>
          <w:sz w:val="22"/>
        </w:rPr>
        <w:t>entire</w:t>
      </w:r>
      <w:r>
        <w:rPr>
          <w:spacing w:val="-15"/>
          <w:sz w:val="22"/>
        </w:rPr>
        <w:t> </w:t>
      </w:r>
      <w:r>
        <w:rPr>
          <w:sz w:val="22"/>
        </w:rPr>
        <w:t>term of the Development’s affordability period:</w:t>
      </w:r>
    </w:p>
    <w:p>
      <w:pPr>
        <w:pStyle w:val="ListParagraph"/>
        <w:numPr>
          <w:ilvl w:val="0"/>
          <w:numId w:val="23"/>
        </w:numPr>
        <w:tabs>
          <w:tab w:pos="1561" w:val="left" w:leader="none"/>
        </w:tabs>
        <w:spacing w:line="249" w:lineRule="exact" w:before="0" w:after="0"/>
        <w:ind w:left="1560" w:right="0" w:hanging="361"/>
        <w:jc w:val="both"/>
        <w:rPr>
          <w:sz w:val="22"/>
        </w:rPr>
      </w:pPr>
      <w:r>
        <w:rPr>
          <w:sz w:val="22"/>
        </w:rPr>
        <w:t>All</w:t>
      </w:r>
      <w:r>
        <w:rPr>
          <w:spacing w:val="-8"/>
          <w:sz w:val="22"/>
        </w:rPr>
        <w:t> </w:t>
      </w:r>
      <w:r>
        <w:rPr>
          <w:sz w:val="22"/>
        </w:rPr>
        <w:t>major</w:t>
      </w:r>
      <w:r>
        <w:rPr>
          <w:spacing w:val="-7"/>
          <w:sz w:val="22"/>
        </w:rPr>
        <w:t> </w:t>
      </w:r>
      <w:r>
        <w:rPr>
          <w:sz w:val="22"/>
        </w:rPr>
        <w:t>systems</w:t>
      </w:r>
      <w:r>
        <w:rPr>
          <w:spacing w:val="-5"/>
          <w:sz w:val="22"/>
        </w:rPr>
        <w:t> </w:t>
      </w:r>
      <w:r>
        <w:rPr>
          <w:sz w:val="22"/>
        </w:rPr>
        <w:t>including</w:t>
      </w:r>
      <w:r>
        <w:rPr>
          <w:spacing w:val="-6"/>
          <w:sz w:val="22"/>
        </w:rPr>
        <w:t> </w:t>
      </w:r>
      <w:r>
        <w:rPr>
          <w:sz w:val="22"/>
        </w:rPr>
        <w:t>roof,</w:t>
      </w:r>
      <w:r>
        <w:rPr>
          <w:spacing w:val="-5"/>
          <w:sz w:val="22"/>
        </w:rPr>
        <w:t> </w:t>
      </w:r>
      <w:r>
        <w:rPr>
          <w:sz w:val="22"/>
        </w:rPr>
        <w:t>foundation,</w:t>
      </w:r>
      <w:r>
        <w:rPr>
          <w:spacing w:val="-7"/>
          <w:sz w:val="22"/>
        </w:rPr>
        <w:t> </w:t>
      </w:r>
      <w:r>
        <w:rPr>
          <w:sz w:val="22"/>
        </w:rPr>
        <w:t>electrical,</w:t>
      </w:r>
      <w:r>
        <w:rPr>
          <w:spacing w:val="-4"/>
          <w:sz w:val="22"/>
        </w:rPr>
        <w:t> </w:t>
      </w:r>
      <w:r>
        <w:rPr>
          <w:sz w:val="22"/>
        </w:rPr>
        <w:t>HVAC,</w:t>
      </w:r>
      <w:r>
        <w:rPr>
          <w:spacing w:val="-4"/>
          <w:sz w:val="22"/>
        </w:rPr>
        <w:t> </w:t>
      </w:r>
      <w:r>
        <w:rPr>
          <w:sz w:val="22"/>
        </w:rPr>
        <w:t>and</w:t>
      </w:r>
      <w:r>
        <w:rPr>
          <w:spacing w:val="-7"/>
          <w:sz w:val="22"/>
        </w:rPr>
        <w:t> </w:t>
      </w:r>
      <w:r>
        <w:rPr>
          <w:spacing w:val="-2"/>
          <w:sz w:val="22"/>
        </w:rPr>
        <w:t>plumbing;</w:t>
      </w:r>
    </w:p>
    <w:p>
      <w:pPr>
        <w:pStyle w:val="ListParagraph"/>
        <w:numPr>
          <w:ilvl w:val="0"/>
          <w:numId w:val="23"/>
        </w:numPr>
        <w:tabs>
          <w:tab w:pos="1561" w:val="left" w:leader="none"/>
        </w:tabs>
        <w:spacing w:line="252" w:lineRule="exact" w:before="2" w:after="0"/>
        <w:ind w:left="1560" w:right="0" w:hanging="361"/>
        <w:jc w:val="both"/>
        <w:rPr>
          <w:sz w:val="22"/>
        </w:rPr>
      </w:pPr>
      <w:r>
        <w:rPr>
          <w:sz w:val="22"/>
        </w:rPr>
        <w:t>Interior</w:t>
      </w:r>
      <w:r>
        <w:rPr>
          <w:spacing w:val="-4"/>
          <w:sz w:val="22"/>
        </w:rPr>
        <w:t> </w:t>
      </w:r>
      <w:r>
        <w:rPr>
          <w:sz w:val="22"/>
        </w:rPr>
        <w:t>and</w:t>
      </w:r>
      <w:r>
        <w:rPr>
          <w:spacing w:val="-7"/>
          <w:sz w:val="22"/>
        </w:rPr>
        <w:t> </w:t>
      </w:r>
      <w:r>
        <w:rPr>
          <w:sz w:val="22"/>
        </w:rPr>
        <w:t>exterior</w:t>
      </w:r>
      <w:r>
        <w:rPr>
          <w:spacing w:val="-7"/>
          <w:sz w:val="22"/>
        </w:rPr>
        <w:t> </w:t>
      </w:r>
      <w:r>
        <w:rPr>
          <w:sz w:val="22"/>
        </w:rPr>
        <w:t>windows</w:t>
      </w:r>
      <w:r>
        <w:rPr>
          <w:spacing w:val="-4"/>
          <w:sz w:val="22"/>
        </w:rPr>
        <w:t> </w:t>
      </w:r>
      <w:r>
        <w:rPr>
          <w:sz w:val="22"/>
        </w:rPr>
        <w:t>and</w:t>
      </w:r>
      <w:r>
        <w:rPr>
          <w:spacing w:val="-5"/>
          <w:sz w:val="22"/>
        </w:rPr>
        <w:t> </w:t>
      </w:r>
      <w:r>
        <w:rPr>
          <w:spacing w:val="-2"/>
          <w:sz w:val="22"/>
        </w:rPr>
        <w:t>doors;</w:t>
      </w:r>
    </w:p>
    <w:p>
      <w:pPr>
        <w:pStyle w:val="ListParagraph"/>
        <w:numPr>
          <w:ilvl w:val="0"/>
          <w:numId w:val="23"/>
        </w:numPr>
        <w:tabs>
          <w:tab w:pos="1561" w:val="left" w:leader="none"/>
        </w:tabs>
        <w:spacing w:line="240" w:lineRule="auto" w:before="0" w:after="0"/>
        <w:ind w:left="1560" w:right="157" w:hanging="360"/>
        <w:jc w:val="left"/>
        <w:rPr>
          <w:sz w:val="22"/>
        </w:rPr>
      </w:pPr>
      <w:r>
        <w:rPr>
          <w:sz w:val="22"/>
        </w:rPr>
        <w:t>The</w:t>
      </w:r>
      <w:r>
        <w:rPr>
          <w:spacing w:val="69"/>
          <w:sz w:val="22"/>
        </w:rPr>
        <w:t> </w:t>
      </w:r>
      <w:r>
        <w:rPr>
          <w:sz w:val="22"/>
        </w:rPr>
        <w:t>interiors</w:t>
      </w:r>
      <w:r>
        <w:rPr>
          <w:spacing w:val="67"/>
          <w:sz w:val="22"/>
        </w:rPr>
        <w:t> </w:t>
      </w:r>
      <w:r>
        <w:rPr>
          <w:sz w:val="22"/>
        </w:rPr>
        <w:t>of</w:t>
      </w:r>
      <w:r>
        <w:rPr>
          <w:spacing w:val="68"/>
          <w:sz w:val="22"/>
        </w:rPr>
        <w:t> </w:t>
      </w:r>
      <w:r>
        <w:rPr>
          <w:sz w:val="22"/>
        </w:rPr>
        <w:t>all</w:t>
      </w:r>
      <w:r>
        <w:rPr>
          <w:spacing w:val="66"/>
          <w:sz w:val="22"/>
        </w:rPr>
        <w:t> </w:t>
      </w:r>
      <w:r>
        <w:rPr>
          <w:sz w:val="22"/>
        </w:rPr>
        <w:t>units</w:t>
      </w:r>
      <w:r>
        <w:rPr>
          <w:spacing w:val="70"/>
          <w:sz w:val="22"/>
        </w:rPr>
        <w:t> </w:t>
      </w:r>
      <w:r>
        <w:rPr>
          <w:sz w:val="22"/>
        </w:rPr>
        <w:t>including</w:t>
      </w:r>
      <w:r>
        <w:rPr>
          <w:spacing w:val="67"/>
          <w:sz w:val="22"/>
        </w:rPr>
        <w:t> </w:t>
      </w:r>
      <w:r>
        <w:rPr>
          <w:sz w:val="22"/>
        </w:rPr>
        <w:t>the</w:t>
      </w:r>
      <w:r>
        <w:rPr>
          <w:spacing w:val="67"/>
          <w:sz w:val="22"/>
        </w:rPr>
        <w:t> </w:t>
      </w:r>
      <w:r>
        <w:rPr>
          <w:sz w:val="22"/>
        </w:rPr>
        <w:t>kitchen</w:t>
      </w:r>
      <w:r>
        <w:rPr>
          <w:spacing w:val="67"/>
          <w:sz w:val="22"/>
        </w:rPr>
        <w:t> </w:t>
      </w:r>
      <w:r>
        <w:rPr>
          <w:sz w:val="22"/>
        </w:rPr>
        <w:t>and</w:t>
      </w:r>
      <w:r>
        <w:rPr>
          <w:spacing w:val="67"/>
          <w:sz w:val="22"/>
        </w:rPr>
        <w:t> </w:t>
      </w:r>
      <w:r>
        <w:rPr>
          <w:sz w:val="22"/>
        </w:rPr>
        <w:t>bathroom</w:t>
      </w:r>
      <w:r>
        <w:rPr>
          <w:spacing w:val="68"/>
          <w:sz w:val="22"/>
        </w:rPr>
        <w:t> </w:t>
      </w:r>
      <w:r>
        <w:rPr>
          <w:sz w:val="22"/>
        </w:rPr>
        <w:t>and</w:t>
      </w:r>
      <w:r>
        <w:rPr>
          <w:spacing w:val="67"/>
          <w:sz w:val="22"/>
        </w:rPr>
        <w:t> </w:t>
      </w:r>
      <w:r>
        <w:rPr>
          <w:sz w:val="22"/>
        </w:rPr>
        <w:t>all</w:t>
      </w:r>
      <w:r>
        <w:rPr>
          <w:spacing w:val="66"/>
          <w:sz w:val="22"/>
        </w:rPr>
        <w:t> </w:t>
      </w:r>
      <w:r>
        <w:rPr>
          <w:sz w:val="22"/>
        </w:rPr>
        <w:t>major </w:t>
      </w:r>
      <w:r>
        <w:rPr>
          <w:spacing w:val="-2"/>
          <w:sz w:val="22"/>
        </w:rPr>
        <w:t>appliances;</w:t>
      </w:r>
    </w:p>
    <w:p>
      <w:pPr>
        <w:pStyle w:val="ListParagraph"/>
        <w:numPr>
          <w:ilvl w:val="0"/>
          <w:numId w:val="23"/>
        </w:numPr>
        <w:tabs>
          <w:tab w:pos="1560" w:val="left" w:leader="none"/>
        </w:tabs>
        <w:spacing w:line="240" w:lineRule="auto" w:before="0" w:after="0"/>
        <w:ind w:left="1559" w:right="160" w:hanging="360"/>
        <w:jc w:val="left"/>
        <w:rPr>
          <w:sz w:val="22"/>
        </w:rPr>
      </w:pPr>
      <w:r>
        <w:rPr>
          <w:sz w:val="22"/>
        </w:rPr>
        <w:t>The</w:t>
      </w:r>
      <w:r>
        <w:rPr>
          <w:spacing w:val="40"/>
          <w:sz w:val="22"/>
        </w:rPr>
        <w:t> </w:t>
      </w:r>
      <w:r>
        <w:rPr>
          <w:sz w:val="22"/>
        </w:rPr>
        <w:t>exterior</w:t>
      </w:r>
      <w:r>
        <w:rPr>
          <w:spacing w:val="40"/>
          <w:sz w:val="22"/>
        </w:rPr>
        <w:t> </w:t>
      </w:r>
      <w:r>
        <w:rPr>
          <w:sz w:val="22"/>
        </w:rPr>
        <w:t>of</w:t>
      </w:r>
      <w:r>
        <w:rPr>
          <w:spacing w:val="40"/>
          <w:sz w:val="22"/>
        </w:rPr>
        <w:t> </w:t>
      </w:r>
      <w:r>
        <w:rPr>
          <w:sz w:val="22"/>
        </w:rPr>
        <w:t>the</w:t>
      </w:r>
      <w:r>
        <w:rPr>
          <w:spacing w:val="40"/>
          <w:sz w:val="22"/>
        </w:rPr>
        <w:t> </w:t>
      </w:r>
      <w:r>
        <w:rPr>
          <w:sz w:val="22"/>
        </w:rPr>
        <w:t>development,</w:t>
      </w:r>
      <w:r>
        <w:rPr>
          <w:spacing w:val="40"/>
          <w:sz w:val="22"/>
        </w:rPr>
        <w:t> </w:t>
      </w:r>
      <w:r>
        <w:rPr>
          <w:sz w:val="22"/>
        </w:rPr>
        <w:t>including</w:t>
      </w:r>
      <w:r>
        <w:rPr>
          <w:spacing w:val="40"/>
          <w:sz w:val="22"/>
        </w:rPr>
        <w:t> </w:t>
      </w:r>
      <w:r>
        <w:rPr>
          <w:sz w:val="22"/>
        </w:rPr>
        <w:t>balconies,</w:t>
      </w:r>
      <w:r>
        <w:rPr>
          <w:spacing w:val="40"/>
          <w:sz w:val="22"/>
        </w:rPr>
        <w:t> </w:t>
      </w:r>
      <w:r>
        <w:rPr>
          <w:sz w:val="22"/>
        </w:rPr>
        <w:t>walkways,</w:t>
      </w:r>
      <w:r>
        <w:rPr>
          <w:spacing w:val="40"/>
          <w:sz w:val="22"/>
        </w:rPr>
        <w:t> </w:t>
      </w:r>
      <w:r>
        <w:rPr>
          <w:sz w:val="22"/>
        </w:rPr>
        <w:t>railings,</w:t>
      </w:r>
      <w:r>
        <w:rPr>
          <w:spacing w:val="40"/>
          <w:sz w:val="22"/>
        </w:rPr>
        <w:t> </w:t>
      </w:r>
      <w:r>
        <w:rPr>
          <w:sz w:val="22"/>
        </w:rPr>
        <w:t>and </w:t>
      </w:r>
      <w:r>
        <w:rPr>
          <w:spacing w:val="-2"/>
          <w:sz w:val="22"/>
        </w:rPr>
        <w:t>stairs;</w:t>
      </w:r>
    </w:p>
    <w:p>
      <w:pPr>
        <w:pStyle w:val="ListParagraph"/>
        <w:numPr>
          <w:ilvl w:val="0"/>
          <w:numId w:val="23"/>
        </w:numPr>
        <w:tabs>
          <w:tab w:pos="1560" w:val="left" w:leader="none"/>
        </w:tabs>
        <w:spacing w:line="240" w:lineRule="auto" w:before="0" w:after="0"/>
        <w:ind w:left="1559" w:right="158" w:hanging="360"/>
        <w:jc w:val="left"/>
        <w:rPr>
          <w:sz w:val="22"/>
        </w:rPr>
      </w:pPr>
      <w:r>
        <w:rPr>
          <w:sz w:val="22"/>
        </w:rPr>
        <w:t>Communal</w:t>
      </w:r>
      <w:r>
        <w:rPr>
          <w:spacing w:val="-4"/>
          <w:sz w:val="22"/>
        </w:rPr>
        <w:t> </w:t>
      </w:r>
      <w:r>
        <w:rPr>
          <w:sz w:val="22"/>
        </w:rPr>
        <w:t>facilities</w:t>
      </w:r>
      <w:r>
        <w:rPr>
          <w:spacing w:val="-1"/>
          <w:sz w:val="22"/>
        </w:rPr>
        <w:t> </w:t>
      </w:r>
      <w:r>
        <w:rPr>
          <w:sz w:val="22"/>
        </w:rPr>
        <w:t>such</w:t>
      </w:r>
      <w:r>
        <w:rPr>
          <w:spacing w:val="-4"/>
          <w:sz w:val="22"/>
        </w:rPr>
        <w:t> </w:t>
      </w:r>
      <w:r>
        <w:rPr>
          <w:sz w:val="22"/>
        </w:rPr>
        <w:t>as</w:t>
      </w:r>
      <w:r>
        <w:rPr>
          <w:spacing w:val="-1"/>
          <w:sz w:val="22"/>
        </w:rPr>
        <w:t> </w:t>
      </w:r>
      <w:r>
        <w:rPr>
          <w:sz w:val="22"/>
        </w:rPr>
        <w:t>community</w:t>
      </w:r>
      <w:r>
        <w:rPr>
          <w:spacing w:val="-3"/>
          <w:sz w:val="22"/>
        </w:rPr>
        <w:t> </w:t>
      </w:r>
      <w:r>
        <w:rPr>
          <w:sz w:val="22"/>
        </w:rPr>
        <w:t>rooms,</w:t>
      </w:r>
      <w:r>
        <w:rPr>
          <w:spacing w:val="-2"/>
          <w:sz w:val="22"/>
        </w:rPr>
        <w:t> </w:t>
      </w:r>
      <w:r>
        <w:rPr>
          <w:sz w:val="22"/>
        </w:rPr>
        <w:t>fitness</w:t>
      </w:r>
      <w:r>
        <w:rPr>
          <w:spacing w:val="-1"/>
          <w:sz w:val="22"/>
        </w:rPr>
        <w:t> </w:t>
      </w:r>
      <w:r>
        <w:rPr>
          <w:sz w:val="22"/>
        </w:rPr>
        <w:t>centers, business</w:t>
      </w:r>
      <w:r>
        <w:rPr>
          <w:spacing w:val="-1"/>
          <w:sz w:val="22"/>
        </w:rPr>
        <w:t> </w:t>
      </w:r>
      <w:r>
        <w:rPr>
          <w:sz w:val="22"/>
        </w:rPr>
        <w:t>centers, etc.; and</w:t>
      </w:r>
    </w:p>
    <w:p>
      <w:pPr>
        <w:pStyle w:val="ListParagraph"/>
        <w:numPr>
          <w:ilvl w:val="0"/>
          <w:numId w:val="23"/>
        </w:numPr>
        <w:tabs>
          <w:tab w:pos="1560" w:val="left" w:leader="none"/>
        </w:tabs>
        <w:spacing w:line="252" w:lineRule="exact" w:before="0" w:after="0"/>
        <w:ind w:left="1559" w:right="0" w:hanging="361"/>
        <w:jc w:val="left"/>
        <w:rPr>
          <w:sz w:val="22"/>
        </w:rPr>
      </w:pPr>
      <w:r>
        <w:rPr>
          <w:sz w:val="22"/>
        </w:rPr>
        <w:t>Security</w:t>
      </w:r>
      <w:r>
        <w:rPr>
          <w:spacing w:val="-8"/>
          <w:sz w:val="22"/>
        </w:rPr>
        <w:t> </w:t>
      </w:r>
      <w:r>
        <w:rPr>
          <w:sz w:val="22"/>
        </w:rPr>
        <w:t>features</w:t>
      </w:r>
      <w:r>
        <w:rPr>
          <w:spacing w:val="-7"/>
          <w:sz w:val="22"/>
        </w:rPr>
        <w:t> </w:t>
      </w:r>
      <w:r>
        <w:rPr>
          <w:sz w:val="22"/>
        </w:rPr>
        <w:t>including</w:t>
      </w:r>
      <w:r>
        <w:rPr>
          <w:spacing w:val="-6"/>
          <w:sz w:val="22"/>
        </w:rPr>
        <w:t> </w:t>
      </w:r>
      <w:r>
        <w:rPr>
          <w:sz w:val="22"/>
        </w:rPr>
        <w:t>gates</w:t>
      </w:r>
      <w:r>
        <w:rPr>
          <w:spacing w:val="-7"/>
          <w:sz w:val="22"/>
        </w:rPr>
        <w:t> </w:t>
      </w:r>
      <w:r>
        <w:rPr>
          <w:sz w:val="22"/>
        </w:rPr>
        <w:t>and</w:t>
      </w:r>
      <w:r>
        <w:rPr>
          <w:spacing w:val="-8"/>
          <w:sz w:val="22"/>
        </w:rPr>
        <w:t> </w:t>
      </w:r>
      <w:r>
        <w:rPr>
          <w:sz w:val="22"/>
        </w:rPr>
        <w:t>security</w:t>
      </w:r>
      <w:r>
        <w:rPr>
          <w:spacing w:val="-4"/>
          <w:sz w:val="22"/>
        </w:rPr>
        <w:t> </w:t>
      </w:r>
      <w:r>
        <w:rPr>
          <w:spacing w:val="-2"/>
          <w:sz w:val="22"/>
        </w:rPr>
        <w:t>cameras.</w:t>
      </w:r>
    </w:p>
    <w:p>
      <w:pPr>
        <w:pStyle w:val="ListParagraph"/>
        <w:numPr>
          <w:ilvl w:val="0"/>
          <w:numId w:val="23"/>
        </w:numPr>
        <w:tabs>
          <w:tab w:pos="1560" w:val="left" w:leader="none"/>
        </w:tabs>
        <w:spacing w:line="252" w:lineRule="exact" w:before="0" w:after="0"/>
        <w:ind w:left="1559" w:right="0" w:hanging="361"/>
        <w:jc w:val="left"/>
        <w:rPr>
          <w:sz w:val="22"/>
        </w:rPr>
      </w:pPr>
      <w:r>
        <w:rPr>
          <w:spacing w:val="-2"/>
          <w:sz w:val="22"/>
        </w:rPr>
        <w:t>Accessibility</w:t>
      </w:r>
    </w:p>
    <w:p>
      <w:pPr>
        <w:pStyle w:val="Heading5"/>
        <w:spacing w:line="252" w:lineRule="exact"/>
        <w:ind w:left="119"/>
      </w:pPr>
      <w:r>
        <w:rPr/>
        <w:t>Priority</w:t>
      </w:r>
      <w:r>
        <w:rPr>
          <w:spacing w:val="-9"/>
        </w:rPr>
        <w:t> </w:t>
      </w:r>
      <w:r>
        <w:rPr/>
        <w:t>Housing</w:t>
      </w:r>
      <w:r>
        <w:rPr>
          <w:spacing w:val="-3"/>
        </w:rPr>
        <w:t> </w:t>
      </w:r>
      <w:r>
        <w:rPr/>
        <w:t>Needs</w:t>
      </w:r>
      <w:r>
        <w:rPr>
          <w:spacing w:val="-7"/>
        </w:rPr>
        <w:t> </w:t>
      </w:r>
      <w:r>
        <w:rPr/>
        <w:t>Developments</w:t>
      </w:r>
      <w:r>
        <w:rPr>
          <w:spacing w:val="-6"/>
        </w:rPr>
        <w:t> </w:t>
      </w:r>
      <w:r>
        <w:rPr/>
        <w:t>(applicable</w:t>
      </w:r>
      <w:r>
        <w:rPr>
          <w:spacing w:val="-7"/>
        </w:rPr>
        <w:t> </w:t>
      </w:r>
      <w:r>
        <w:rPr/>
        <w:t>to</w:t>
      </w:r>
      <w:r>
        <w:rPr>
          <w:spacing w:val="-3"/>
        </w:rPr>
        <w:t> </w:t>
      </w:r>
      <w:r>
        <w:rPr/>
        <w:t>only</w:t>
      </w:r>
      <w:r>
        <w:rPr>
          <w:spacing w:val="-5"/>
        </w:rPr>
        <w:t> </w:t>
      </w:r>
      <w:r>
        <w:rPr/>
        <w:t>9%</w:t>
      </w:r>
      <w:r>
        <w:rPr>
          <w:spacing w:val="-3"/>
        </w:rPr>
        <w:t> </w:t>
      </w:r>
      <w:r>
        <w:rPr/>
        <w:t>HTC</w:t>
      </w:r>
      <w:r>
        <w:rPr>
          <w:spacing w:val="-7"/>
        </w:rPr>
        <w:t> </w:t>
      </w:r>
      <w:r>
        <w:rPr>
          <w:spacing w:val="-2"/>
        </w:rPr>
        <w:t>Applications)</w:t>
      </w:r>
    </w:p>
    <w:p>
      <w:pPr>
        <w:pStyle w:val="BodyText"/>
        <w:spacing w:before="52"/>
        <w:ind w:left="119" w:right="155"/>
        <w:jc w:val="both"/>
      </w:pPr>
      <w:r>
        <w:rPr/>
        <w:t>A 9%</w:t>
      </w:r>
      <w:r>
        <w:rPr>
          <w:spacing w:val="-1"/>
        </w:rPr>
        <w:t> </w:t>
      </w:r>
      <w:r>
        <w:rPr/>
        <w:t>HTC application</w:t>
      </w:r>
      <w:r>
        <w:rPr>
          <w:spacing w:val="-2"/>
        </w:rPr>
        <w:t> </w:t>
      </w:r>
      <w:r>
        <w:rPr/>
        <w:t>that meets</w:t>
      </w:r>
      <w:r>
        <w:rPr>
          <w:spacing w:val="-1"/>
        </w:rPr>
        <w:t> </w:t>
      </w:r>
      <w:r>
        <w:rPr/>
        <w:t>any</w:t>
      </w:r>
      <w:r>
        <w:rPr>
          <w:spacing w:val="-1"/>
        </w:rPr>
        <w:t> </w:t>
      </w:r>
      <w:r>
        <w:rPr/>
        <w:t>of the</w:t>
      </w:r>
      <w:r>
        <w:rPr>
          <w:spacing w:val="-4"/>
        </w:rPr>
        <w:t> </w:t>
      </w:r>
      <w:r>
        <w:rPr/>
        <w:t>following criteria</w:t>
      </w:r>
      <w:r>
        <w:rPr>
          <w:spacing w:val="-2"/>
        </w:rPr>
        <w:t> </w:t>
      </w:r>
      <w:r>
        <w:rPr/>
        <w:t>may</w:t>
      </w:r>
      <w:r>
        <w:rPr>
          <w:spacing w:val="-1"/>
        </w:rPr>
        <w:t> </w:t>
      </w:r>
      <w:r>
        <w:rPr/>
        <w:t>be designated by City staff as a</w:t>
      </w:r>
      <w:r>
        <w:rPr>
          <w:spacing w:val="33"/>
        </w:rPr>
        <w:t> </w:t>
      </w:r>
      <w:r>
        <w:rPr/>
        <w:t>“Priority</w:t>
      </w:r>
      <w:r>
        <w:rPr>
          <w:spacing w:val="31"/>
        </w:rPr>
        <w:t> </w:t>
      </w:r>
      <w:r>
        <w:rPr/>
        <w:t>Housing</w:t>
      </w:r>
      <w:r>
        <w:rPr>
          <w:spacing w:val="31"/>
        </w:rPr>
        <w:t> </w:t>
      </w:r>
      <w:r>
        <w:rPr/>
        <w:t>Needs</w:t>
      </w:r>
      <w:r>
        <w:rPr>
          <w:spacing w:val="34"/>
        </w:rPr>
        <w:t> </w:t>
      </w:r>
      <w:r>
        <w:rPr/>
        <w:t>Development”</w:t>
      </w:r>
      <w:r>
        <w:rPr>
          <w:spacing w:val="32"/>
        </w:rPr>
        <w:t> </w:t>
      </w:r>
      <w:r>
        <w:rPr/>
        <w:t>and</w:t>
      </w:r>
      <w:r>
        <w:rPr>
          <w:spacing w:val="28"/>
        </w:rPr>
        <w:t> </w:t>
      </w:r>
      <w:r>
        <w:rPr/>
        <w:t>recommended</w:t>
      </w:r>
      <w:r>
        <w:rPr>
          <w:spacing w:val="31"/>
        </w:rPr>
        <w:t> </w:t>
      </w:r>
      <w:r>
        <w:rPr/>
        <w:t>for</w:t>
      </w:r>
      <w:r>
        <w:rPr>
          <w:spacing w:val="32"/>
        </w:rPr>
        <w:t> </w:t>
      </w:r>
      <w:r>
        <w:rPr/>
        <w:t>a</w:t>
      </w:r>
      <w:r>
        <w:rPr>
          <w:spacing w:val="31"/>
        </w:rPr>
        <w:t> </w:t>
      </w:r>
      <w:r>
        <w:rPr/>
        <w:t>Resolution</w:t>
      </w:r>
      <w:r>
        <w:rPr>
          <w:spacing w:val="33"/>
        </w:rPr>
        <w:t> </w:t>
      </w:r>
      <w:r>
        <w:rPr/>
        <w:t>of</w:t>
      </w:r>
      <w:r>
        <w:rPr>
          <w:spacing w:val="32"/>
        </w:rPr>
        <w:t> </w:t>
      </w:r>
      <w:r>
        <w:rPr/>
        <w:t>Support</w:t>
      </w:r>
      <w:r>
        <w:rPr>
          <w:spacing w:val="35"/>
        </w:rPr>
        <w:t> </w:t>
      </w:r>
      <w:r>
        <w:rPr/>
        <w:t>and</w:t>
      </w:r>
    </w:p>
    <w:p>
      <w:pPr>
        <w:pStyle w:val="BodyText"/>
        <w:ind w:left="119" w:right="159"/>
        <w:jc w:val="both"/>
      </w:pPr>
      <w:r>
        <w:rPr/>
        <w:t>$500.00 funding commitment to City Council, if City staff has determined, in its sole discretion, that the threshold requirements and Priority Housing Needs Developments criteria have been </w:t>
      </w:r>
      <w:r>
        <w:rPr>
          <w:spacing w:val="-4"/>
        </w:rPr>
        <w:t>met:</w:t>
      </w:r>
    </w:p>
    <w:p>
      <w:pPr>
        <w:pStyle w:val="ListParagraph"/>
        <w:numPr>
          <w:ilvl w:val="1"/>
          <w:numId w:val="16"/>
        </w:numPr>
        <w:tabs>
          <w:tab w:pos="840" w:val="left" w:leader="none"/>
        </w:tabs>
        <w:spacing w:line="240" w:lineRule="auto" w:before="2" w:after="0"/>
        <w:ind w:left="839" w:right="156" w:hanging="361"/>
        <w:jc w:val="both"/>
        <w:rPr>
          <w:rFonts w:ascii="Symbol" w:hAnsi="Symbol"/>
          <w:sz w:val="22"/>
        </w:rPr>
      </w:pPr>
      <w:r>
        <w:rPr>
          <w:sz w:val="22"/>
        </w:rPr>
        <w:t>The development proposal has been selected within the past three years to receive City funding (including federal funds such as HOME, CDBG, etc. or local funding such as General Obligation Bond funding) under a competitive application process administered by</w:t>
      </w:r>
      <w:r>
        <w:rPr>
          <w:spacing w:val="-6"/>
          <w:sz w:val="22"/>
        </w:rPr>
        <w:t> </w:t>
      </w:r>
      <w:r>
        <w:rPr>
          <w:sz w:val="22"/>
        </w:rPr>
        <w:t>the</w:t>
      </w:r>
      <w:r>
        <w:rPr>
          <w:spacing w:val="-8"/>
          <w:sz w:val="22"/>
        </w:rPr>
        <w:t> </w:t>
      </w:r>
      <w:r>
        <w:rPr>
          <w:sz w:val="22"/>
        </w:rPr>
        <w:t>Department</w:t>
      </w:r>
      <w:r>
        <w:rPr>
          <w:spacing w:val="-7"/>
          <w:sz w:val="22"/>
        </w:rPr>
        <w:t> </w:t>
      </w:r>
      <w:r>
        <w:rPr>
          <w:sz w:val="22"/>
        </w:rPr>
        <w:t>of</w:t>
      </w:r>
      <w:r>
        <w:rPr>
          <w:spacing w:val="-7"/>
          <w:sz w:val="22"/>
        </w:rPr>
        <w:t> </w:t>
      </w:r>
      <w:r>
        <w:rPr>
          <w:sz w:val="22"/>
        </w:rPr>
        <w:t>Housing</w:t>
      </w:r>
      <w:r>
        <w:rPr>
          <w:spacing w:val="-6"/>
          <w:sz w:val="22"/>
        </w:rPr>
        <w:t> </w:t>
      </w:r>
      <w:r>
        <w:rPr>
          <w:sz w:val="22"/>
        </w:rPr>
        <w:t>and</w:t>
      </w:r>
      <w:r>
        <w:rPr>
          <w:spacing w:val="-6"/>
          <w:sz w:val="22"/>
        </w:rPr>
        <w:t> </w:t>
      </w:r>
      <w:r>
        <w:rPr>
          <w:sz w:val="22"/>
        </w:rPr>
        <w:t>Neighborhood</w:t>
      </w:r>
      <w:r>
        <w:rPr>
          <w:spacing w:val="-10"/>
          <w:sz w:val="22"/>
        </w:rPr>
        <w:t> </w:t>
      </w:r>
      <w:r>
        <w:rPr>
          <w:sz w:val="22"/>
        </w:rPr>
        <w:t>Revitalization</w:t>
      </w:r>
      <w:r>
        <w:rPr>
          <w:spacing w:val="-6"/>
          <w:sz w:val="22"/>
        </w:rPr>
        <w:t> </w:t>
      </w:r>
      <w:r>
        <w:rPr>
          <w:sz w:val="22"/>
        </w:rPr>
        <w:t>and</w:t>
      </w:r>
      <w:r>
        <w:rPr>
          <w:spacing w:val="-6"/>
          <w:sz w:val="22"/>
        </w:rPr>
        <w:t> </w:t>
      </w:r>
      <w:r>
        <w:rPr>
          <w:sz w:val="22"/>
        </w:rPr>
        <w:t>otherwise</w:t>
      </w:r>
      <w:r>
        <w:rPr>
          <w:spacing w:val="-6"/>
          <w:sz w:val="22"/>
        </w:rPr>
        <w:t> </w:t>
      </w:r>
      <w:r>
        <w:rPr>
          <w:sz w:val="22"/>
        </w:rPr>
        <w:t>remains</w:t>
      </w:r>
      <w:r>
        <w:rPr>
          <w:spacing w:val="-6"/>
          <w:sz w:val="22"/>
        </w:rPr>
        <w:t> </w:t>
      </w:r>
      <w:r>
        <w:rPr>
          <w:sz w:val="22"/>
        </w:rPr>
        <w:t>in compliance with all funding requirements;</w:t>
      </w:r>
    </w:p>
    <w:p>
      <w:pPr>
        <w:pStyle w:val="ListParagraph"/>
        <w:numPr>
          <w:ilvl w:val="1"/>
          <w:numId w:val="16"/>
        </w:numPr>
        <w:tabs>
          <w:tab w:pos="840" w:val="left" w:leader="none"/>
        </w:tabs>
        <w:spacing w:line="240" w:lineRule="auto" w:before="0" w:after="0"/>
        <w:ind w:left="839" w:right="157" w:hanging="361"/>
        <w:jc w:val="both"/>
        <w:rPr>
          <w:rFonts w:ascii="Symbol" w:hAnsi="Symbol"/>
          <w:sz w:val="22"/>
        </w:rPr>
      </w:pPr>
      <w:r>
        <w:rPr>
          <w:sz w:val="22"/>
        </w:rPr>
        <w:t>The proposal includes participation by the Dallas Housing Finance Corporation or City of Dallas Public Facilities Corporation applicable to housing (if created). Such participation must include ownership of the underlying development site by the entity and/or stake in the ownership structure of the development;</w:t>
      </w:r>
    </w:p>
    <w:p>
      <w:pPr>
        <w:spacing w:after="0" w:line="240" w:lineRule="auto"/>
        <w:jc w:val="both"/>
        <w:rPr>
          <w:rFonts w:ascii="Symbol" w:hAnsi="Symbol"/>
          <w:sz w:val="22"/>
        </w:rPr>
        <w:sectPr>
          <w:pgSz w:w="12240" w:h="15840"/>
          <w:pgMar w:header="0" w:footer="1176" w:top="1360" w:bottom="1420" w:left="1320" w:right="1280"/>
        </w:sectPr>
      </w:pPr>
    </w:p>
    <w:p>
      <w:pPr>
        <w:pStyle w:val="ListParagraph"/>
        <w:numPr>
          <w:ilvl w:val="1"/>
          <w:numId w:val="16"/>
        </w:numPr>
        <w:tabs>
          <w:tab w:pos="841" w:val="left" w:leader="none"/>
        </w:tabs>
        <w:spacing w:line="237" w:lineRule="auto" w:before="84" w:after="0"/>
        <w:ind w:left="840" w:right="157" w:hanging="361"/>
        <w:jc w:val="both"/>
        <w:rPr>
          <w:rFonts w:ascii="Symbol" w:hAnsi="Symbol"/>
          <w:sz w:val="22"/>
        </w:rPr>
      </w:pPr>
      <w:r>
        <w:rPr>
          <w:sz w:val="22"/>
        </w:rPr>
        <w:t>The</w:t>
      </w:r>
      <w:r>
        <w:rPr>
          <w:spacing w:val="-2"/>
          <w:sz w:val="22"/>
        </w:rPr>
        <w:t> </w:t>
      </w:r>
      <w:r>
        <w:rPr>
          <w:sz w:val="22"/>
        </w:rPr>
        <w:t>proposal</w:t>
      </w:r>
      <w:r>
        <w:rPr>
          <w:spacing w:val="-6"/>
          <w:sz w:val="22"/>
        </w:rPr>
        <w:t> </w:t>
      </w:r>
      <w:r>
        <w:rPr>
          <w:sz w:val="22"/>
        </w:rPr>
        <w:t>involves</w:t>
      </w:r>
      <w:r>
        <w:rPr>
          <w:spacing w:val="-5"/>
          <w:sz w:val="22"/>
        </w:rPr>
        <w:t> </w:t>
      </w:r>
      <w:r>
        <w:rPr>
          <w:sz w:val="22"/>
        </w:rPr>
        <w:t>the</w:t>
      </w:r>
      <w:r>
        <w:rPr>
          <w:spacing w:val="-3"/>
          <w:sz w:val="22"/>
        </w:rPr>
        <w:t> </w:t>
      </w:r>
      <w:r>
        <w:rPr>
          <w:sz w:val="22"/>
        </w:rPr>
        <w:t>redevelopment</w:t>
      </w:r>
      <w:r>
        <w:rPr>
          <w:spacing w:val="-4"/>
          <w:sz w:val="22"/>
        </w:rPr>
        <w:t> </w:t>
      </w:r>
      <w:r>
        <w:rPr>
          <w:sz w:val="22"/>
        </w:rPr>
        <w:t>of</w:t>
      </w:r>
      <w:r>
        <w:rPr>
          <w:spacing w:val="-2"/>
          <w:sz w:val="22"/>
        </w:rPr>
        <w:t> </w:t>
      </w:r>
      <w:r>
        <w:rPr>
          <w:sz w:val="22"/>
        </w:rPr>
        <w:t>public</w:t>
      </w:r>
      <w:r>
        <w:rPr>
          <w:spacing w:val="-2"/>
          <w:sz w:val="22"/>
        </w:rPr>
        <w:t> </w:t>
      </w:r>
      <w:r>
        <w:rPr>
          <w:sz w:val="22"/>
        </w:rPr>
        <w:t>housing</w:t>
      </w:r>
      <w:r>
        <w:rPr>
          <w:spacing w:val="-5"/>
          <w:sz w:val="22"/>
        </w:rPr>
        <w:t> </w:t>
      </w:r>
      <w:r>
        <w:rPr>
          <w:sz w:val="22"/>
        </w:rPr>
        <w:t>owned</w:t>
      </w:r>
      <w:r>
        <w:rPr>
          <w:spacing w:val="-3"/>
          <w:sz w:val="22"/>
        </w:rPr>
        <w:t> </w:t>
      </w:r>
      <w:r>
        <w:rPr>
          <w:sz w:val="22"/>
        </w:rPr>
        <w:t>by</w:t>
      </w:r>
      <w:r>
        <w:rPr>
          <w:spacing w:val="-7"/>
          <w:sz w:val="22"/>
        </w:rPr>
        <w:t> </w:t>
      </w:r>
      <w:r>
        <w:rPr>
          <w:sz w:val="22"/>
        </w:rPr>
        <w:t>the</w:t>
      </w:r>
      <w:r>
        <w:rPr>
          <w:spacing w:val="-5"/>
          <w:sz w:val="22"/>
        </w:rPr>
        <w:t> </w:t>
      </w:r>
      <w:r>
        <w:rPr>
          <w:sz w:val="22"/>
        </w:rPr>
        <w:t>Dallas</w:t>
      </w:r>
      <w:r>
        <w:rPr>
          <w:spacing w:val="-2"/>
          <w:sz w:val="22"/>
        </w:rPr>
        <w:t> </w:t>
      </w:r>
      <w:r>
        <w:rPr>
          <w:sz w:val="22"/>
        </w:rPr>
        <w:t>Housing Authority</w:t>
      </w:r>
      <w:r>
        <w:rPr>
          <w:spacing w:val="-1"/>
          <w:sz w:val="22"/>
        </w:rPr>
        <w:t> </w:t>
      </w:r>
      <w:r>
        <w:rPr>
          <w:sz w:val="22"/>
        </w:rPr>
        <w:t>under the</w:t>
      </w:r>
      <w:r>
        <w:rPr>
          <w:spacing w:val="-1"/>
          <w:sz w:val="22"/>
        </w:rPr>
        <w:t> </w:t>
      </w:r>
      <w:r>
        <w:rPr>
          <w:sz w:val="22"/>
        </w:rPr>
        <w:t>Choice</w:t>
      </w:r>
      <w:r>
        <w:rPr>
          <w:spacing w:val="-1"/>
          <w:sz w:val="22"/>
        </w:rPr>
        <w:t> </w:t>
      </w:r>
      <w:r>
        <w:rPr>
          <w:sz w:val="22"/>
        </w:rPr>
        <w:t>Neighborhoods, Rental</w:t>
      </w:r>
      <w:r>
        <w:rPr>
          <w:spacing w:val="-2"/>
          <w:sz w:val="22"/>
        </w:rPr>
        <w:t> </w:t>
      </w:r>
      <w:r>
        <w:rPr>
          <w:sz w:val="22"/>
        </w:rPr>
        <w:t>Assistance</w:t>
      </w:r>
      <w:r>
        <w:rPr>
          <w:spacing w:val="-1"/>
          <w:sz w:val="22"/>
        </w:rPr>
        <w:t> </w:t>
      </w:r>
      <w:r>
        <w:rPr>
          <w:sz w:val="22"/>
        </w:rPr>
        <w:t>Demonstration, HOPE</w:t>
      </w:r>
      <w:r>
        <w:rPr>
          <w:spacing w:val="-2"/>
          <w:sz w:val="22"/>
        </w:rPr>
        <w:t> </w:t>
      </w:r>
      <w:r>
        <w:rPr>
          <w:sz w:val="22"/>
        </w:rPr>
        <w:t>VI, or other similar HUD programs that may be created;</w:t>
      </w:r>
    </w:p>
    <w:p>
      <w:pPr>
        <w:pStyle w:val="ListParagraph"/>
        <w:numPr>
          <w:ilvl w:val="1"/>
          <w:numId w:val="16"/>
        </w:numPr>
        <w:tabs>
          <w:tab w:pos="841" w:val="left" w:leader="none"/>
        </w:tabs>
        <w:spacing w:line="269" w:lineRule="exact" w:before="2" w:after="0"/>
        <w:ind w:left="840" w:right="0" w:hanging="361"/>
        <w:jc w:val="both"/>
        <w:rPr>
          <w:rFonts w:ascii="Symbol" w:hAnsi="Symbol"/>
          <w:sz w:val="22"/>
        </w:rPr>
      </w:pPr>
      <w:r>
        <w:rPr>
          <w:sz w:val="22"/>
        </w:rPr>
        <w:t>The</w:t>
      </w:r>
      <w:r>
        <w:rPr>
          <w:spacing w:val="-4"/>
          <w:sz w:val="22"/>
        </w:rPr>
        <w:t> </w:t>
      </w:r>
      <w:r>
        <w:rPr>
          <w:sz w:val="22"/>
        </w:rPr>
        <w:t>development</w:t>
      </w:r>
      <w:r>
        <w:rPr>
          <w:spacing w:val="-2"/>
          <w:sz w:val="22"/>
        </w:rPr>
        <w:t> </w:t>
      </w:r>
      <w:r>
        <w:rPr>
          <w:sz w:val="22"/>
        </w:rPr>
        <w:t>proposal</w:t>
      </w:r>
      <w:r>
        <w:rPr>
          <w:spacing w:val="-4"/>
          <w:sz w:val="22"/>
        </w:rPr>
        <w:t> </w:t>
      </w:r>
      <w:r>
        <w:rPr>
          <w:sz w:val="22"/>
        </w:rPr>
        <w:t>is</w:t>
      </w:r>
      <w:r>
        <w:rPr>
          <w:spacing w:val="-3"/>
          <w:sz w:val="22"/>
        </w:rPr>
        <w:t> </w:t>
      </w:r>
      <w:r>
        <w:rPr>
          <w:sz w:val="22"/>
        </w:rPr>
        <w:t>located</w:t>
      </w:r>
      <w:r>
        <w:rPr>
          <w:spacing w:val="-5"/>
          <w:sz w:val="22"/>
        </w:rPr>
        <w:t> </w:t>
      </w:r>
      <w:r>
        <w:rPr>
          <w:sz w:val="22"/>
        </w:rPr>
        <w:t>in</w:t>
      </w:r>
      <w:r>
        <w:rPr>
          <w:spacing w:val="-6"/>
          <w:sz w:val="22"/>
        </w:rPr>
        <w:t> </w:t>
      </w:r>
      <w:r>
        <w:rPr>
          <w:sz w:val="22"/>
        </w:rPr>
        <w:t>a</w:t>
      </w:r>
      <w:r>
        <w:rPr>
          <w:spacing w:val="-4"/>
          <w:sz w:val="22"/>
        </w:rPr>
        <w:t> </w:t>
      </w:r>
      <w:r>
        <w:rPr>
          <w:sz w:val="22"/>
        </w:rPr>
        <w:t>census</w:t>
      </w:r>
      <w:r>
        <w:rPr>
          <w:spacing w:val="-6"/>
          <w:sz w:val="22"/>
        </w:rPr>
        <w:t> </w:t>
      </w:r>
      <w:r>
        <w:rPr>
          <w:sz w:val="22"/>
        </w:rPr>
        <w:t>tract</w:t>
      </w:r>
      <w:r>
        <w:rPr>
          <w:spacing w:val="-2"/>
          <w:sz w:val="22"/>
        </w:rPr>
        <w:t> </w:t>
      </w:r>
      <w:r>
        <w:rPr>
          <w:sz w:val="22"/>
        </w:rPr>
        <w:t>with</w:t>
      </w:r>
      <w:r>
        <w:rPr>
          <w:spacing w:val="-6"/>
          <w:sz w:val="22"/>
        </w:rPr>
        <w:t> </w:t>
      </w:r>
      <w:r>
        <w:rPr>
          <w:sz w:val="22"/>
        </w:rPr>
        <w:t>a</w:t>
      </w:r>
      <w:r>
        <w:rPr>
          <w:spacing w:val="-4"/>
          <w:sz w:val="22"/>
        </w:rPr>
        <w:t> </w:t>
      </w:r>
      <w:r>
        <w:rPr>
          <w:sz w:val="22"/>
        </w:rPr>
        <w:t>poverty</w:t>
      </w:r>
      <w:r>
        <w:rPr>
          <w:spacing w:val="-6"/>
          <w:sz w:val="22"/>
        </w:rPr>
        <w:t> </w:t>
      </w:r>
      <w:r>
        <w:rPr>
          <w:sz w:val="22"/>
        </w:rPr>
        <w:t>rate</w:t>
      </w:r>
      <w:r>
        <w:rPr>
          <w:spacing w:val="-8"/>
          <w:sz w:val="22"/>
        </w:rPr>
        <w:t> </w:t>
      </w:r>
      <w:r>
        <w:rPr>
          <w:sz w:val="22"/>
        </w:rPr>
        <w:t>below</w:t>
      </w:r>
      <w:r>
        <w:rPr>
          <w:spacing w:val="-4"/>
          <w:sz w:val="22"/>
        </w:rPr>
        <w:t> 20%;</w:t>
      </w:r>
    </w:p>
    <w:p>
      <w:pPr>
        <w:pStyle w:val="ListParagraph"/>
        <w:numPr>
          <w:ilvl w:val="1"/>
          <w:numId w:val="16"/>
        </w:numPr>
        <w:tabs>
          <w:tab w:pos="841" w:val="left" w:leader="none"/>
        </w:tabs>
        <w:spacing w:line="237" w:lineRule="auto" w:before="2" w:after="0"/>
        <w:ind w:left="840" w:right="157" w:hanging="361"/>
        <w:jc w:val="both"/>
        <w:rPr>
          <w:rFonts w:ascii="Symbol" w:hAnsi="Symbol"/>
          <w:sz w:val="22"/>
        </w:rPr>
      </w:pPr>
      <w:r>
        <w:rPr>
          <w:sz w:val="22"/>
        </w:rPr>
        <w:t>The development proposal is within any area designated as a Redevelopment Reinvestment</w:t>
      </w:r>
      <w:r>
        <w:rPr>
          <w:spacing w:val="-9"/>
          <w:sz w:val="22"/>
        </w:rPr>
        <w:t> </w:t>
      </w:r>
      <w:r>
        <w:rPr>
          <w:sz w:val="22"/>
        </w:rPr>
        <w:t>Strategy</w:t>
      </w:r>
      <w:r>
        <w:rPr>
          <w:spacing w:val="-10"/>
          <w:sz w:val="22"/>
        </w:rPr>
        <w:t> </w:t>
      </w:r>
      <w:r>
        <w:rPr>
          <w:sz w:val="22"/>
        </w:rPr>
        <w:t>Area</w:t>
      </w:r>
      <w:r>
        <w:rPr>
          <w:spacing w:val="-11"/>
          <w:sz w:val="22"/>
        </w:rPr>
        <w:t> </w:t>
      </w:r>
      <w:r>
        <w:rPr>
          <w:sz w:val="22"/>
        </w:rPr>
        <w:t>(RSA)</w:t>
      </w:r>
      <w:r>
        <w:rPr>
          <w:spacing w:val="-12"/>
          <w:sz w:val="22"/>
        </w:rPr>
        <w:t> </w:t>
      </w:r>
      <w:r>
        <w:rPr>
          <w:sz w:val="22"/>
        </w:rPr>
        <w:t>or</w:t>
      </w:r>
      <w:r>
        <w:rPr>
          <w:spacing w:val="-12"/>
          <w:sz w:val="22"/>
        </w:rPr>
        <w:t> </w:t>
      </w:r>
      <w:r>
        <w:rPr>
          <w:sz w:val="22"/>
        </w:rPr>
        <w:t>a</w:t>
      </w:r>
      <w:r>
        <w:rPr>
          <w:spacing w:val="-11"/>
          <w:sz w:val="22"/>
        </w:rPr>
        <w:t> </w:t>
      </w:r>
      <w:r>
        <w:rPr>
          <w:sz w:val="22"/>
        </w:rPr>
        <w:t>Stabilization</w:t>
      </w:r>
      <w:r>
        <w:rPr>
          <w:spacing w:val="-11"/>
          <w:sz w:val="22"/>
        </w:rPr>
        <w:t> </w:t>
      </w:r>
      <w:r>
        <w:rPr>
          <w:sz w:val="22"/>
        </w:rPr>
        <w:t>RSA</w:t>
      </w:r>
      <w:r>
        <w:rPr>
          <w:spacing w:val="-11"/>
          <w:sz w:val="22"/>
        </w:rPr>
        <w:t> </w:t>
      </w:r>
      <w:r>
        <w:rPr>
          <w:sz w:val="22"/>
        </w:rPr>
        <w:t>in</w:t>
      </w:r>
      <w:r>
        <w:rPr>
          <w:spacing w:val="-11"/>
          <w:sz w:val="22"/>
        </w:rPr>
        <w:t> </w:t>
      </w:r>
      <w:r>
        <w:rPr>
          <w:sz w:val="22"/>
        </w:rPr>
        <w:t>this</w:t>
      </w:r>
      <w:r>
        <w:rPr>
          <w:spacing w:val="-13"/>
          <w:sz w:val="22"/>
        </w:rPr>
        <w:t> </w:t>
      </w:r>
      <w:r>
        <w:rPr>
          <w:sz w:val="22"/>
        </w:rPr>
        <w:t>Comprehensive</w:t>
      </w:r>
      <w:r>
        <w:rPr>
          <w:spacing w:val="-11"/>
          <w:sz w:val="22"/>
        </w:rPr>
        <w:t> </w:t>
      </w:r>
      <w:r>
        <w:rPr>
          <w:sz w:val="22"/>
        </w:rPr>
        <w:t>Housing Policy; or</w:t>
      </w:r>
    </w:p>
    <w:p>
      <w:pPr>
        <w:pStyle w:val="ListParagraph"/>
        <w:numPr>
          <w:ilvl w:val="1"/>
          <w:numId w:val="16"/>
        </w:numPr>
        <w:tabs>
          <w:tab w:pos="841" w:val="left" w:leader="none"/>
        </w:tabs>
        <w:spacing w:line="237" w:lineRule="auto" w:before="5" w:after="0"/>
        <w:ind w:left="840" w:right="151" w:hanging="361"/>
        <w:jc w:val="both"/>
        <w:rPr>
          <w:rFonts w:ascii="Symbol" w:hAnsi="Symbol"/>
          <w:sz w:val="22"/>
        </w:rPr>
      </w:pPr>
      <w:r>
        <w:rPr/>
        <w:pict>
          <v:shape style="position:absolute;margin-left:90.065002pt;margin-top:23.810646pt;width:395.3pt;height:419pt;mso-position-horizontal-relative:page;mso-position-vertical-relative:paragraph;z-index:-17694720" id="docshape100" coordorigin="1801,476" coordsize="7906,8380" path="m4498,7740l4492,7667,4477,7589,4455,7506,4432,7436,4403,7364,4367,7289,4325,7211,4276,7131,4237,7072,4200,7021,4200,7707,4197,7763,4186,7820,4167,7877,4138,7937,4097,8000,4044,8066,3979,8135,3674,8441,2216,6983,2517,6682,2598,6606,2672,6546,2740,6503,2801,6476,2868,6461,2941,6457,3020,6464,3105,6482,3195,6511,3255,6537,3317,6569,3380,6608,3446,6653,3514,6704,3584,6763,3656,6827,3729,6899,3789,6960,3845,7020,3896,7079,3943,7137,3986,7194,4025,7249,4059,7303,4101,7378,4136,7450,4163,7519,4183,7586,4196,7650,4200,7707,4200,7021,4194,7012,4148,6952,4098,6891,4045,6830,3989,6769,3929,6707,3865,6645,3801,6587,3737,6532,3673,6480,3643,6457,3609,6432,3546,6388,3482,6346,3419,6309,3346,6271,3274,6239,3203,6211,3132,6189,3062,6172,2992,6160,2923,6153,2850,6151,2779,6158,2709,6173,2642,6196,2577,6226,2528,6255,2476,6292,2420,6337,2359,6391,2294,6454,1801,6947,3710,8855,4124,8441,4226,8339,4287,8274,4341,8208,4386,8143,4424,8076,4454,8009,4476,7943,4491,7876,4498,7809,4498,7740xm6418,6147l6056,6019,5650,5876,5561,5847,5475,5823,5393,5804,5365,5799,5314,5790,5239,5780,5193,5778,5143,5781,5089,5788,5030,5799,5073,5729,5109,5660,5136,5591,5154,5522,5164,5453,5165,5385,5157,5317,5139,5239,5111,5163,5075,5088,5030,5016,4976,4945,4956,4922,4913,4876,4872,4838,4872,5395,4868,5451,4854,5506,4830,5562,4794,5621,4747,5682,4687,5746,4280,6153,3649,5521,4102,5068,4166,5011,4229,4968,4293,4939,4358,4923,4422,4922,4501,4937,4577,4967,4649,5012,4718,5072,4761,5119,4797,5170,4827,5224,4851,5280,4867,5338,4872,5395,4872,4838,4849,4817,4782,4764,4713,4719,4641,4680,4566,4648,4474,4620,4386,4607,4303,4609,4225,4625,4163,4650,4098,4687,4030,4735,3958,4794,3883,4865,3248,5500,5157,7408,5346,7219,4499,6371,4718,6153,4753,6118,4783,6091,4810,6070,4833,6055,4863,6042,4896,6031,4932,6023,4971,6019,5014,6019,5066,6024,5125,6035,5194,6051,5256,6068,5328,6089,5407,6114,5496,6144,6180,6385,6418,6147xm7780,4785l7415,4589,6555,4135,6555,4442,6070,4928,6030,4856,5989,4784,5748,4354,5708,4282,5668,4211,5629,4145,5590,4080,5550,4016,5509,3953,5467,3891,5424,3830,5380,3769,5436,3805,5498,3843,5564,3882,5635,3924,5792,4015,6555,4442,6555,4135,5862,3769,5286,3462,5082,3666,5277,4017,5316,4087,5701,4785,6207,5704,6441,6124,6642,5923,6565,5790,6298,5321,6221,5188,6481,4928,6820,4589,7173,4785,7565,5000,7780,4785xm8131,4434l7264,3567,7936,2895,7711,2670,7039,3342,6448,2751,7224,1975,6999,1750,6033,2715,7941,4623,8131,4434xm9707,2858l8024,1175,8497,701,8272,476,7138,1611,7363,1836,7834,1364,9517,3047,9707,2858xe" filled="true" fillcolor="#c0c0c0" stroked="false">
            <v:path arrowok="t"/>
            <v:fill opacity="32896f" type="solid"/>
            <w10:wrap type="none"/>
          </v:shape>
        </w:pict>
      </w:r>
      <w:r>
        <w:rPr>
          <w:sz w:val="22"/>
        </w:rPr>
        <w:t>Developments</w:t>
      </w:r>
      <w:r>
        <w:rPr>
          <w:spacing w:val="-6"/>
          <w:sz w:val="22"/>
        </w:rPr>
        <w:t> </w:t>
      </w:r>
      <w:r>
        <w:rPr>
          <w:sz w:val="22"/>
        </w:rPr>
        <w:t>with</w:t>
      </w:r>
      <w:r>
        <w:rPr>
          <w:spacing w:val="-6"/>
          <w:sz w:val="22"/>
        </w:rPr>
        <w:t> </w:t>
      </w:r>
      <w:r>
        <w:rPr>
          <w:sz w:val="22"/>
        </w:rPr>
        <w:t>at</w:t>
      </w:r>
      <w:r>
        <w:rPr>
          <w:spacing w:val="-5"/>
          <w:sz w:val="22"/>
        </w:rPr>
        <w:t> </w:t>
      </w:r>
      <w:r>
        <w:rPr>
          <w:sz w:val="22"/>
        </w:rPr>
        <w:t>least</w:t>
      </w:r>
      <w:r>
        <w:rPr>
          <w:spacing w:val="-5"/>
          <w:sz w:val="22"/>
        </w:rPr>
        <w:t> </w:t>
      </w:r>
      <w:r>
        <w:rPr>
          <w:sz w:val="22"/>
        </w:rPr>
        <w:t>50</w:t>
      </w:r>
      <w:r>
        <w:rPr>
          <w:spacing w:val="-6"/>
          <w:sz w:val="22"/>
        </w:rPr>
        <w:t> </w:t>
      </w:r>
      <w:r>
        <w:rPr>
          <w:sz w:val="22"/>
        </w:rPr>
        <w:t>units</w:t>
      </w:r>
      <w:r>
        <w:rPr>
          <w:spacing w:val="-6"/>
          <w:sz w:val="22"/>
        </w:rPr>
        <w:t> </w:t>
      </w:r>
      <w:r>
        <w:rPr>
          <w:sz w:val="22"/>
        </w:rPr>
        <w:t>for</w:t>
      </w:r>
      <w:r>
        <w:rPr>
          <w:spacing w:val="-5"/>
          <w:sz w:val="22"/>
        </w:rPr>
        <w:t> </w:t>
      </w:r>
      <w:r>
        <w:rPr>
          <w:sz w:val="22"/>
        </w:rPr>
        <w:t>which</w:t>
      </w:r>
      <w:r>
        <w:rPr>
          <w:spacing w:val="-7"/>
          <w:sz w:val="22"/>
        </w:rPr>
        <w:t> </w:t>
      </w:r>
      <w:r>
        <w:rPr>
          <w:sz w:val="22"/>
        </w:rPr>
        <w:t>the</w:t>
      </w:r>
      <w:r>
        <w:rPr>
          <w:spacing w:val="-9"/>
          <w:sz w:val="22"/>
        </w:rPr>
        <w:t> </w:t>
      </w:r>
      <w:r>
        <w:rPr>
          <w:sz w:val="22"/>
        </w:rPr>
        <w:t>Owner</w:t>
      </w:r>
      <w:r>
        <w:rPr>
          <w:spacing w:val="-8"/>
          <w:sz w:val="22"/>
        </w:rPr>
        <w:t> </w:t>
      </w:r>
      <w:r>
        <w:rPr>
          <w:sz w:val="22"/>
        </w:rPr>
        <w:t>must</w:t>
      </w:r>
      <w:r>
        <w:rPr>
          <w:spacing w:val="-5"/>
          <w:sz w:val="22"/>
        </w:rPr>
        <w:t> </w:t>
      </w:r>
      <w:r>
        <w:rPr>
          <w:sz w:val="22"/>
        </w:rPr>
        <w:t>enter</w:t>
      </w:r>
      <w:r>
        <w:rPr>
          <w:spacing w:val="-5"/>
          <w:sz w:val="22"/>
        </w:rPr>
        <w:t> </w:t>
      </w:r>
      <w:r>
        <w:rPr>
          <w:sz w:val="22"/>
        </w:rPr>
        <w:t>into</w:t>
      </w:r>
      <w:r>
        <w:rPr>
          <w:spacing w:val="-6"/>
          <w:sz w:val="22"/>
        </w:rPr>
        <w:t> </w:t>
      </w:r>
      <w:r>
        <w:rPr>
          <w:sz w:val="22"/>
        </w:rPr>
        <w:t>an</w:t>
      </w:r>
      <w:r>
        <w:rPr>
          <w:spacing w:val="-7"/>
          <w:sz w:val="22"/>
        </w:rPr>
        <w:t> </w:t>
      </w:r>
      <w:r>
        <w:rPr>
          <w:sz w:val="22"/>
        </w:rPr>
        <w:t>MOU</w:t>
      </w:r>
      <w:r>
        <w:rPr>
          <w:spacing w:val="-7"/>
          <w:sz w:val="22"/>
        </w:rPr>
        <w:t> </w:t>
      </w:r>
      <w:r>
        <w:rPr>
          <w:sz w:val="22"/>
        </w:rPr>
        <w:t>with</w:t>
      </w:r>
      <w:r>
        <w:rPr>
          <w:spacing w:val="-6"/>
          <w:sz w:val="22"/>
        </w:rPr>
        <w:t> </w:t>
      </w:r>
      <w:r>
        <w:rPr>
          <w:sz w:val="22"/>
        </w:rPr>
        <w:t>the lead entity of the Continuum of Care by which the project will prioritize at least 20% of units for tenants referred from the Continuum of Care Housing Priority List.</w:t>
      </w:r>
    </w:p>
    <w:p>
      <w:pPr>
        <w:pStyle w:val="BodyText"/>
        <w:spacing w:before="2"/>
      </w:pPr>
    </w:p>
    <w:p>
      <w:pPr>
        <w:pStyle w:val="Heading5"/>
      </w:pPr>
      <w:r>
        <w:rPr/>
        <w:t>Scoring</w:t>
      </w:r>
      <w:r>
        <w:rPr>
          <w:spacing w:val="-2"/>
        </w:rPr>
        <w:t> </w:t>
      </w:r>
      <w:r>
        <w:rPr/>
        <w:t>Factors</w:t>
      </w:r>
      <w:r>
        <w:rPr>
          <w:spacing w:val="-5"/>
        </w:rPr>
        <w:t> </w:t>
      </w:r>
      <w:r>
        <w:rPr/>
        <w:t>for</w:t>
      </w:r>
      <w:r>
        <w:rPr>
          <w:spacing w:val="-6"/>
        </w:rPr>
        <w:t> </w:t>
      </w:r>
      <w:r>
        <w:rPr/>
        <w:t>Other</w:t>
      </w:r>
      <w:r>
        <w:rPr>
          <w:spacing w:val="-2"/>
        </w:rPr>
        <w:t> </w:t>
      </w:r>
      <w:r>
        <w:rPr/>
        <w:t>9%</w:t>
      </w:r>
      <w:r>
        <w:rPr>
          <w:spacing w:val="-4"/>
        </w:rPr>
        <w:t> </w:t>
      </w:r>
      <w:r>
        <w:rPr/>
        <w:t>HTC</w:t>
      </w:r>
      <w:r>
        <w:rPr>
          <w:spacing w:val="-5"/>
        </w:rPr>
        <w:t> </w:t>
      </w:r>
      <w:r>
        <w:rPr>
          <w:spacing w:val="-2"/>
        </w:rPr>
        <w:t>Applications</w:t>
      </w:r>
    </w:p>
    <w:p>
      <w:pPr>
        <w:pStyle w:val="BodyText"/>
        <w:spacing w:before="52"/>
        <w:ind w:left="120" w:right="153" w:hanging="1"/>
        <w:jc w:val="both"/>
      </w:pPr>
      <w:r>
        <w:rPr/>
        <w:t>For 9% HTC Applications that do not qualify as a Priority Housing Needs Development, the application must achieve a minimum score of 50</w:t>
      </w:r>
      <w:r>
        <w:rPr>
          <w:spacing w:val="-2"/>
        </w:rPr>
        <w:t> </w:t>
      </w:r>
      <w:r>
        <w:rPr/>
        <w:t>within this section, </w:t>
      </w:r>
      <w:r>
        <w:rPr>
          <w:b/>
        </w:rPr>
        <w:t>Scoring Factors for Other 9%</w:t>
      </w:r>
      <w:r>
        <w:rPr>
          <w:b/>
          <w:spacing w:val="-9"/>
        </w:rPr>
        <w:t> </w:t>
      </w:r>
      <w:r>
        <w:rPr>
          <w:b/>
        </w:rPr>
        <w:t>HTC</w:t>
      </w:r>
      <w:r>
        <w:rPr>
          <w:b/>
          <w:spacing w:val="-12"/>
        </w:rPr>
        <w:t> </w:t>
      </w:r>
      <w:r>
        <w:rPr>
          <w:b/>
        </w:rPr>
        <w:t>Applications,</w:t>
      </w:r>
      <w:r>
        <w:rPr>
          <w:b/>
          <w:spacing w:val="-10"/>
        </w:rPr>
        <w:t> </w:t>
      </w:r>
      <w:r>
        <w:rPr/>
        <w:t>to</w:t>
      </w:r>
      <w:r>
        <w:rPr>
          <w:spacing w:val="-9"/>
        </w:rPr>
        <w:t> </w:t>
      </w:r>
      <w:r>
        <w:rPr/>
        <w:t>be</w:t>
      </w:r>
      <w:r>
        <w:rPr>
          <w:spacing w:val="-9"/>
        </w:rPr>
        <w:t> </w:t>
      </w:r>
      <w:r>
        <w:rPr/>
        <w:t>recommended</w:t>
      </w:r>
      <w:r>
        <w:rPr>
          <w:spacing w:val="-9"/>
        </w:rPr>
        <w:t> </w:t>
      </w:r>
      <w:r>
        <w:rPr/>
        <w:t>by</w:t>
      </w:r>
      <w:r>
        <w:rPr>
          <w:spacing w:val="-9"/>
        </w:rPr>
        <w:t> </w:t>
      </w:r>
      <w:r>
        <w:rPr/>
        <w:t>City</w:t>
      </w:r>
      <w:r>
        <w:rPr>
          <w:spacing w:val="-9"/>
        </w:rPr>
        <w:t> </w:t>
      </w:r>
      <w:r>
        <w:rPr/>
        <w:t>staff</w:t>
      </w:r>
      <w:r>
        <w:rPr>
          <w:spacing w:val="-10"/>
        </w:rPr>
        <w:t> </w:t>
      </w:r>
      <w:r>
        <w:rPr/>
        <w:t>for</w:t>
      </w:r>
      <w:r>
        <w:rPr>
          <w:spacing w:val="-10"/>
        </w:rPr>
        <w:t> </w:t>
      </w:r>
      <w:r>
        <w:rPr/>
        <w:t>a</w:t>
      </w:r>
      <w:r>
        <w:rPr>
          <w:spacing w:val="-9"/>
        </w:rPr>
        <w:t> </w:t>
      </w:r>
      <w:r>
        <w:rPr/>
        <w:t>Resolution</w:t>
      </w:r>
      <w:r>
        <w:rPr>
          <w:spacing w:val="-11"/>
        </w:rPr>
        <w:t> </w:t>
      </w:r>
      <w:r>
        <w:rPr/>
        <w:t>of</w:t>
      </w:r>
      <w:r>
        <w:rPr>
          <w:spacing w:val="-8"/>
        </w:rPr>
        <w:t> </w:t>
      </w:r>
      <w:r>
        <w:rPr/>
        <w:t>Support</w:t>
      </w:r>
      <w:r>
        <w:rPr>
          <w:spacing w:val="-8"/>
        </w:rPr>
        <w:t> </w:t>
      </w:r>
      <w:r>
        <w:rPr/>
        <w:t>and</w:t>
      </w:r>
      <w:r>
        <w:rPr>
          <w:spacing w:val="-11"/>
        </w:rPr>
        <w:t> </w:t>
      </w:r>
      <w:r>
        <w:rPr/>
        <w:t>$500.00 funding commitment to City Council, if City staff has determined, in its sole discretion, that the threshold</w:t>
      </w:r>
      <w:r>
        <w:rPr>
          <w:spacing w:val="-2"/>
        </w:rPr>
        <w:t> </w:t>
      </w:r>
      <w:r>
        <w:rPr/>
        <w:t>requirements</w:t>
      </w:r>
      <w:r>
        <w:rPr>
          <w:spacing w:val="-1"/>
        </w:rPr>
        <w:t> </w:t>
      </w:r>
      <w:r>
        <w:rPr/>
        <w:t>have been</w:t>
      </w:r>
      <w:r>
        <w:rPr>
          <w:spacing w:val="-4"/>
        </w:rPr>
        <w:t> </w:t>
      </w:r>
      <w:r>
        <w:rPr/>
        <w:t>met</w:t>
      </w:r>
      <w:r>
        <w:rPr>
          <w:spacing w:val="-3"/>
        </w:rPr>
        <w:t> </w:t>
      </w:r>
      <w:r>
        <w:rPr/>
        <w:t>and</w:t>
      </w:r>
      <w:r>
        <w:rPr>
          <w:spacing w:val="-2"/>
        </w:rPr>
        <w:t> </w:t>
      </w:r>
      <w:r>
        <w:rPr/>
        <w:t>the</w:t>
      </w:r>
      <w:r>
        <w:rPr>
          <w:spacing w:val="-2"/>
        </w:rPr>
        <w:t> </w:t>
      </w:r>
      <w:r>
        <w:rPr/>
        <w:t>application scores</w:t>
      </w:r>
      <w:r>
        <w:rPr>
          <w:spacing w:val="-1"/>
        </w:rPr>
        <w:t> </w:t>
      </w:r>
      <w:r>
        <w:rPr/>
        <w:t>a</w:t>
      </w:r>
      <w:r>
        <w:rPr>
          <w:spacing w:val="-2"/>
        </w:rPr>
        <w:t> </w:t>
      </w:r>
      <w:r>
        <w:rPr/>
        <w:t>minimum of 50</w:t>
      </w:r>
      <w:r>
        <w:rPr>
          <w:spacing w:val="-2"/>
        </w:rPr>
        <w:t> </w:t>
      </w:r>
      <w:r>
        <w:rPr/>
        <w:t>points</w:t>
      </w:r>
      <w:r>
        <w:rPr>
          <w:spacing w:val="-1"/>
        </w:rPr>
        <w:t> </w:t>
      </w:r>
      <w:r>
        <w:rPr/>
        <w:t>under this section.</w:t>
      </w:r>
    </w:p>
    <w:p>
      <w:pPr>
        <w:pStyle w:val="BodyText"/>
        <w:spacing w:before="4"/>
        <w:rPr>
          <w:sz w:val="26"/>
        </w:rPr>
      </w:pPr>
    </w:p>
    <w:p>
      <w:pPr>
        <w:pStyle w:val="Heading5"/>
      </w:pPr>
      <w:r>
        <w:rPr/>
        <w:t>Mixed-Income</w:t>
      </w:r>
      <w:r>
        <w:rPr>
          <w:spacing w:val="-5"/>
        </w:rPr>
        <w:t> </w:t>
      </w:r>
      <w:r>
        <w:rPr/>
        <w:t>Projects</w:t>
      </w:r>
      <w:r>
        <w:rPr>
          <w:spacing w:val="-6"/>
        </w:rPr>
        <w:t> </w:t>
      </w:r>
      <w:r>
        <w:rPr/>
        <w:t>(Maximum</w:t>
      </w:r>
      <w:r>
        <w:rPr>
          <w:spacing w:val="-6"/>
        </w:rPr>
        <w:t> </w:t>
      </w:r>
      <w:r>
        <w:rPr/>
        <w:t>of</w:t>
      </w:r>
      <w:r>
        <w:rPr>
          <w:spacing w:val="-5"/>
        </w:rPr>
        <w:t> </w:t>
      </w:r>
      <w:r>
        <w:rPr/>
        <w:t>20</w:t>
      </w:r>
      <w:r>
        <w:rPr>
          <w:spacing w:val="-4"/>
        </w:rPr>
        <w:t> </w:t>
      </w:r>
      <w:r>
        <w:rPr>
          <w:spacing w:val="-2"/>
        </w:rPr>
        <w:t>points)</w:t>
      </w:r>
    </w:p>
    <w:p>
      <w:pPr>
        <w:pStyle w:val="BodyText"/>
        <w:spacing w:before="50"/>
        <w:ind w:left="120"/>
        <w:jc w:val="both"/>
      </w:pPr>
      <w:r>
        <w:rPr/>
        <w:t>Proposals</w:t>
      </w:r>
      <w:r>
        <w:rPr>
          <w:spacing w:val="-6"/>
        </w:rPr>
        <w:t> </w:t>
      </w:r>
      <w:r>
        <w:rPr/>
        <w:t>including</w:t>
      </w:r>
      <w:r>
        <w:rPr>
          <w:spacing w:val="-5"/>
        </w:rPr>
        <w:t> </w:t>
      </w:r>
      <w:r>
        <w:rPr/>
        <w:t>market</w:t>
      </w:r>
      <w:r>
        <w:rPr>
          <w:spacing w:val="-7"/>
        </w:rPr>
        <w:t> </w:t>
      </w:r>
      <w:r>
        <w:rPr/>
        <w:t>rate</w:t>
      </w:r>
      <w:r>
        <w:rPr>
          <w:spacing w:val="-7"/>
        </w:rPr>
        <w:t> </w:t>
      </w:r>
      <w:r>
        <w:rPr/>
        <w:t>units</w:t>
      </w:r>
      <w:r>
        <w:rPr>
          <w:spacing w:val="-8"/>
        </w:rPr>
        <w:t> </w:t>
      </w:r>
      <w:r>
        <w:rPr/>
        <w:t>(i.e.</w:t>
      </w:r>
      <w:r>
        <w:rPr>
          <w:spacing w:val="-7"/>
        </w:rPr>
        <w:t> </w:t>
      </w:r>
      <w:r>
        <w:rPr/>
        <w:t>those</w:t>
      </w:r>
      <w:r>
        <w:rPr>
          <w:spacing w:val="-10"/>
        </w:rPr>
        <w:t> </w:t>
      </w:r>
      <w:r>
        <w:rPr/>
        <w:t>without</w:t>
      </w:r>
      <w:r>
        <w:rPr>
          <w:spacing w:val="-4"/>
        </w:rPr>
        <w:t> </w:t>
      </w:r>
      <w:r>
        <w:rPr/>
        <w:t>income/rent</w:t>
      </w:r>
      <w:r>
        <w:rPr>
          <w:spacing w:val="-7"/>
        </w:rPr>
        <w:t> </w:t>
      </w:r>
      <w:r>
        <w:rPr/>
        <w:t>restrictions)</w:t>
      </w:r>
      <w:r>
        <w:rPr>
          <w:spacing w:val="-4"/>
        </w:rPr>
        <w:t> </w:t>
      </w:r>
      <w:r>
        <w:rPr/>
        <w:t>as</w:t>
      </w:r>
      <w:r>
        <w:rPr>
          <w:spacing w:val="-7"/>
        </w:rPr>
        <w:t> </w:t>
      </w:r>
      <w:r>
        <w:rPr>
          <w:spacing w:val="-2"/>
        </w:rPr>
        <w:t>follows:</w:t>
      </w:r>
    </w:p>
    <w:p>
      <w:pPr>
        <w:pStyle w:val="BodyText"/>
        <w:spacing w:before="3"/>
        <w:rPr>
          <w:sz w:val="21"/>
        </w:rPr>
      </w:pPr>
    </w:p>
    <w:tbl>
      <w:tblPr>
        <w:tblW w:w="0" w:type="auto"/>
        <w:jc w:val="left"/>
        <w:tblInd w:w="1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4951"/>
        <w:gridCol w:w="1800"/>
      </w:tblGrid>
      <w:tr>
        <w:trPr>
          <w:trHeight w:val="311" w:hRule="atLeast"/>
        </w:trPr>
        <w:tc>
          <w:tcPr>
            <w:tcW w:w="4951" w:type="dxa"/>
            <w:tcBorders>
              <w:top w:val="nil"/>
              <w:left w:val="nil"/>
              <w:right w:val="nil"/>
            </w:tcBorders>
            <w:shd w:val="clear" w:color="auto" w:fill="001F5F"/>
          </w:tcPr>
          <w:p>
            <w:pPr>
              <w:pStyle w:val="TableParagraph"/>
              <w:ind w:left="883"/>
              <w:jc w:val="left"/>
              <w:rPr>
                <w:sz w:val="22"/>
              </w:rPr>
            </w:pPr>
            <w:r>
              <w:rPr>
                <w:color w:val="FFFFFF"/>
                <w:sz w:val="22"/>
              </w:rPr>
              <w:t>Percentage</w:t>
            </w:r>
            <w:r>
              <w:rPr>
                <w:color w:val="FFFFFF"/>
                <w:spacing w:val="-8"/>
                <w:sz w:val="22"/>
              </w:rPr>
              <w:t> </w:t>
            </w:r>
            <w:r>
              <w:rPr>
                <w:color w:val="FFFFFF"/>
                <w:sz w:val="22"/>
              </w:rPr>
              <w:t>of</w:t>
            </w:r>
            <w:r>
              <w:rPr>
                <w:color w:val="FFFFFF"/>
                <w:spacing w:val="-7"/>
                <w:sz w:val="22"/>
              </w:rPr>
              <w:t> </w:t>
            </w:r>
            <w:r>
              <w:rPr>
                <w:color w:val="FFFFFF"/>
                <w:sz w:val="22"/>
              </w:rPr>
              <w:t>Market-Rate</w:t>
            </w:r>
            <w:r>
              <w:rPr>
                <w:color w:val="FFFFFF"/>
                <w:spacing w:val="-5"/>
                <w:sz w:val="22"/>
              </w:rPr>
              <w:t> </w:t>
            </w:r>
            <w:r>
              <w:rPr>
                <w:color w:val="FFFFFF"/>
                <w:spacing w:val="-4"/>
                <w:sz w:val="22"/>
              </w:rPr>
              <w:t>Units</w:t>
            </w:r>
          </w:p>
        </w:tc>
        <w:tc>
          <w:tcPr>
            <w:tcW w:w="1800" w:type="dxa"/>
            <w:tcBorders>
              <w:top w:val="nil"/>
              <w:left w:val="nil"/>
              <w:right w:val="nil"/>
            </w:tcBorders>
            <w:shd w:val="clear" w:color="auto" w:fill="001F5F"/>
          </w:tcPr>
          <w:p>
            <w:pPr>
              <w:pStyle w:val="TableParagraph"/>
              <w:ind w:left="586" w:right="574"/>
              <w:rPr>
                <w:sz w:val="22"/>
              </w:rPr>
            </w:pPr>
            <w:r>
              <w:rPr>
                <w:color w:val="FFFFFF"/>
                <w:spacing w:val="-2"/>
                <w:sz w:val="22"/>
              </w:rPr>
              <w:t>Points</w:t>
            </w:r>
          </w:p>
        </w:tc>
      </w:tr>
      <w:tr>
        <w:trPr>
          <w:trHeight w:val="292" w:hRule="atLeast"/>
        </w:trPr>
        <w:tc>
          <w:tcPr>
            <w:tcW w:w="4951" w:type="dxa"/>
            <w:tcBorders>
              <w:bottom w:val="single" w:sz="4" w:space="0" w:color="000000"/>
            </w:tcBorders>
          </w:tcPr>
          <w:p>
            <w:pPr>
              <w:pStyle w:val="TableParagraph"/>
              <w:spacing w:line="253" w:lineRule="exact"/>
              <w:ind w:left="9"/>
              <w:jc w:val="left"/>
              <w:rPr>
                <w:sz w:val="22"/>
              </w:rPr>
            </w:pPr>
            <w:r>
              <w:rPr>
                <w:sz w:val="22"/>
              </w:rPr>
              <w:t>At</w:t>
            </w:r>
            <w:r>
              <w:rPr>
                <w:spacing w:val="-1"/>
                <w:sz w:val="22"/>
              </w:rPr>
              <w:t> </w:t>
            </w:r>
            <w:r>
              <w:rPr>
                <w:sz w:val="22"/>
              </w:rPr>
              <w:t>least</w:t>
            </w:r>
            <w:r>
              <w:rPr>
                <w:spacing w:val="-3"/>
                <w:sz w:val="22"/>
              </w:rPr>
              <w:t> </w:t>
            </w:r>
            <w:r>
              <w:rPr>
                <w:sz w:val="22"/>
              </w:rPr>
              <w:t>5%</w:t>
            </w:r>
            <w:r>
              <w:rPr>
                <w:spacing w:val="-3"/>
                <w:sz w:val="22"/>
              </w:rPr>
              <w:t> </w:t>
            </w:r>
            <w:r>
              <w:rPr>
                <w:sz w:val="22"/>
              </w:rPr>
              <w:t>but</w:t>
            </w:r>
            <w:r>
              <w:rPr>
                <w:spacing w:val="-3"/>
                <w:sz w:val="22"/>
              </w:rPr>
              <w:t> </w:t>
            </w:r>
            <w:r>
              <w:rPr>
                <w:sz w:val="22"/>
              </w:rPr>
              <w:t>less</w:t>
            </w:r>
            <w:r>
              <w:rPr>
                <w:spacing w:val="-5"/>
                <w:sz w:val="22"/>
              </w:rPr>
              <w:t> </w:t>
            </w:r>
            <w:r>
              <w:rPr>
                <w:sz w:val="22"/>
              </w:rPr>
              <w:t>than</w:t>
            </w:r>
            <w:r>
              <w:rPr>
                <w:spacing w:val="-4"/>
                <w:sz w:val="22"/>
              </w:rPr>
              <w:t> </w:t>
            </w:r>
            <w:r>
              <w:rPr>
                <w:sz w:val="22"/>
              </w:rPr>
              <w:t>10%</w:t>
            </w:r>
            <w:r>
              <w:rPr>
                <w:spacing w:val="-4"/>
                <w:sz w:val="22"/>
              </w:rPr>
              <w:t> </w:t>
            </w:r>
            <w:r>
              <w:rPr>
                <w:sz w:val="22"/>
              </w:rPr>
              <w:t>market</w:t>
            </w:r>
            <w:r>
              <w:rPr>
                <w:spacing w:val="-3"/>
                <w:sz w:val="22"/>
              </w:rPr>
              <w:t> </w:t>
            </w:r>
            <w:r>
              <w:rPr>
                <w:sz w:val="22"/>
              </w:rPr>
              <w:t>rate</w:t>
            </w:r>
            <w:r>
              <w:rPr>
                <w:spacing w:val="-4"/>
                <w:sz w:val="22"/>
              </w:rPr>
              <w:t> units</w:t>
            </w:r>
          </w:p>
        </w:tc>
        <w:tc>
          <w:tcPr>
            <w:tcW w:w="1800" w:type="dxa"/>
            <w:tcBorders>
              <w:bottom w:val="single" w:sz="4" w:space="0" w:color="000000"/>
            </w:tcBorders>
          </w:tcPr>
          <w:p>
            <w:pPr>
              <w:pStyle w:val="TableParagraph"/>
              <w:spacing w:line="253" w:lineRule="exact"/>
              <w:ind w:left="12"/>
              <w:rPr>
                <w:sz w:val="22"/>
              </w:rPr>
            </w:pPr>
            <w:r>
              <w:rPr>
                <w:w w:val="100"/>
                <w:sz w:val="22"/>
              </w:rPr>
              <w:t>5</w:t>
            </w:r>
          </w:p>
        </w:tc>
      </w:tr>
      <w:tr>
        <w:trPr>
          <w:trHeight w:val="292" w:hRule="atLeast"/>
        </w:trPr>
        <w:tc>
          <w:tcPr>
            <w:tcW w:w="4951" w:type="dxa"/>
            <w:tcBorders>
              <w:top w:val="single" w:sz="4" w:space="0" w:color="000000"/>
              <w:left w:val="single" w:sz="4" w:space="0" w:color="000000"/>
              <w:bottom w:val="single" w:sz="4" w:space="0" w:color="000000"/>
              <w:right w:val="single" w:sz="4" w:space="0" w:color="000000"/>
            </w:tcBorders>
          </w:tcPr>
          <w:p>
            <w:pPr>
              <w:pStyle w:val="TableParagraph"/>
              <w:ind w:left="9"/>
              <w:jc w:val="left"/>
              <w:rPr>
                <w:sz w:val="22"/>
              </w:rPr>
            </w:pPr>
            <w:r>
              <w:rPr>
                <w:sz w:val="22"/>
              </w:rPr>
              <w:t>At</w:t>
            </w:r>
            <w:r>
              <w:rPr>
                <w:spacing w:val="-3"/>
                <w:sz w:val="22"/>
              </w:rPr>
              <w:t> </w:t>
            </w:r>
            <w:r>
              <w:rPr>
                <w:sz w:val="22"/>
              </w:rPr>
              <w:t>least</w:t>
            </w:r>
            <w:r>
              <w:rPr>
                <w:spacing w:val="-3"/>
                <w:sz w:val="22"/>
              </w:rPr>
              <w:t> </w:t>
            </w:r>
            <w:r>
              <w:rPr>
                <w:sz w:val="22"/>
              </w:rPr>
              <w:t>10%</w:t>
            </w:r>
            <w:r>
              <w:rPr>
                <w:spacing w:val="-4"/>
                <w:sz w:val="22"/>
              </w:rPr>
              <w:t> </w:t>
            </w:r>
            <w:r>
              <w:rPr>
                <w:sz w:val="22"/>
              </w:rPr>
              <w:t>but</w:t>
            </w:r>
            <w:r>
              <w:rPr>
                <w:spacing w:val="-4"/>
                <w:sz w:val="22"/>
              </w:rPr>
              <w:t> </w:t>
            </w:r>
            <w:r>
              <w:rPr>
                <w:sz w:val="22"/>
              </w:rPr>
              <w:t>less</w:t>
            </w:r>
            <w:r>
              <w:rPr>
                <w:spacing w:val="-4"/>
                <w:sz w:val="22"/>
              </w:rPr>
              <w:t> </w:t>
            </w:r>
            <w:r>
              <w:rPr>
                <w:sz w:val="22"/>
              </w:rPr>
              <w:t>than</w:t>
            </w:r>
            <w:r>
              <w:rPr>
                <w:spacing w:val="-3"/>
                <w:sz w:val="22"/>
              </w:rPr>
              <w:t> </w:t>
            </w:r>
            <w:r>
              <w:rPr>
                <w:sz w:val="22"/>
              </w:rPr>
              <w:t>15%</w:t>
            </w:r>
            <w:r>
              <w:rPr>
                <w:spacing w:val="-4"/>
                <w:sz w:val="22"/>
              </w:rPr>
              <w:t> </w:t>
            </w:r>
            <w:r>
              <w:rPr>
                <w:sz w:val="22"/>
              </w:rPr>
              <w:t>market</w:t>
            </w:r>
            <w:r>
              <w:rPr>
                <w:spacing w:val="-4"/>
                <w:sz w:val="22"/>
              </w:rPr>
              <w:t> </w:t>
            </w:r>
            <w:r>
              <w:rPr>
                <w:sz w:val="22"/>
              </w:rPr>
              <w:t>rate</w:t>
            </w:r>
            <w:r>
              <w:rPr>
                <w:spacing w:val="-4"/>
                <w:sz w:val="22"/>
              </w:rPr>
              <w:t> units</w:t>
            </w:r>
          </w:p>
        </w:tc>
        <w:tc>
          <w:tcPr>
            <w:tcW w:w="1800" w:type="dxa"/>
            <w:tcBorders>
              <w:top w:val="single" w:sz="4" w:space="0" w:color="000000"/>
              <w:left w:val="single" w:sz="4" w:space="0" w:color="000000"/>
              <w:bottom w:val="single" w:sz="4" w:space="0" w:color="000000"/>
              <w:right w:val="single" w:sz="4" w:space="0" w:color="000000"/>
            </w:tcBorders>
          </w:tcPr>
          <w:p>
            <w:pPr>
              <w:pStyle w:val="TableParagraph"/>
              <w:ind w:left="764" w:right="750"/>
              <w:rPr>
                <w:sz w:val="22"/>
              </w:rPr>
            </w:pPr>
            <w:r>
              <w:rPr>
                <w:spacing w:val="-5"/>
                <w:sz w:val="22"/>
              </w:rPr>
              <w:t>10</w:t>
            </w:r>
          </w:p>
        </w:tc>
      </w:tr>
      <w:tr>
        <w:trPr>
          <w:trHeight w:val="292" w:hRule="atLeast"/>
        </w:trPr>
        <w:tc>
          <w:tcPr>
            <w:tcW w:w="4951" w:type="dxa"/>
            <w:tcBorders>
              <w:top w:val="single" w:sz="4" w:space="0" w:color="000000"/>
            </w:tcBorders>
          </w:tcPr>
          <w:p>
            <w:pPr>
              <w:pStyle w:val="TableParagraph"/>
              <w:ind w:left="9"/>
              <w:jc w:val="left"/>
              <w:rPr>
                <w:sz w:val="22"/>
              </w:rPr>
            </w:pPr>
            <w:r>
              <w:rPr>
                <w:sz w:val="22"/>
              </w:rPr>
              <w:t>At</w:t>
            </w:r>
            <w:r>
              <w:rPr>
                <w:spacing w:val="-1"/>
                <w:sz w:val="22"/>
              </w:rPr>
              <w:t> </w:t>
            </w:r>
            <w:r>
              <w:rPr>
                <w:sz w:val="22"/>
              </w:rPr>
              <w:t>least</w:t>
            </w:r>
            <w:r>
              <w:rPr>
                <w:spacing w:val="-3"/>
                <w:sz w:val="22"/>
              </w:rPr>
              <w:t> </w:t>
            </w:r>
            <w:r>
              <w:rPr>
                <w:sz w:val="22"/>
              </w:rPr>
              <w:t>15%</w:t>
            </w:r>
            <w:r>
              <w:rPr>
                <w:spacing w:val="-4"/>
                <w:sz w:val="22"/>
              </w:rPr>
              <w:t> </w:t>
            </w:r>
            <w:r>
              <w:rPr>
                <w:sz w:val="22"/>
              </w:rPr>
              <w:t>but</w:t>
            </w:r>
            <w:r>
              <w:rPr>
                <w:spacing w:val="-4"/>
                <w:sz w:val="22"/>
              </w:rPr>
              <w:t> </w:t>
            </w:r>
            <w:r>
              <w:rPr>
                <w:sz w:val="22"/>
              </w:rPr>
              <w:t>less</w:t>
            </w:r>
            <w:r>
              <w:rPr>
                <w:spacing w:val="-5"/>
                <w:sz w:val="22"/>
              </w:rPr>
              <w:t> </w:t>
            </w:r>
            <w:r>
              <w:rPr>
                <w:sz w:val="22"/>
              </w:rPr>
              <w:t>than</w:t>
            </w:r>
            <w:r>
              <w:rPr>
                <w:spacing w:val="-3"/>
                <w:sz w:val="22"/>
              </w:rPr>
              <w:t> </w:t>
            </w:r>
            <w:r>
              <w:rPr>
                <w:sz w:val="22"/>
              </w:rPr>
              <w:t>20%</w:t>
            </w:r>
            <w:r>
              <w:rPr>
                <w:spacing w:val="-3"/>
                <w:sz w:val="22"/>
              </w:rPr>
              <w:t> </w:t>
            </w:r>
            <w:r>
              <w:rPr>
                <w:sz w:val="22"/>
              </w:rPr>
              <w:t>market</w:t>
            </w:r>
            <w:r>
              <w:rPr>
                <w:spacing w:val="-3"/>
                <w:sz w:val="22"/>
              </w:rPr>
              <w:t> </w:t>
            </w:r>
            <w:r>
              <w:rPr>
                <w:sz w:val="22"/>
              </w:rPr>
              <w:t>rate</w:t>
            </w:r>
            <w:r>
              <w:rPr>
                <w:spacing w:val="-4"/>
                <w:sz w:val="22"/>
              </w:rPr>
              <w:t> units</w:t>
            </w:r>
          </w:p>
        </w:tc>
        <w:tc>
          <w:tcPr>
            <w:tcW w:w="1800" w:type="dxa"/>
            <w:tcBorders>
              <w:top w:val="single" w:sz="4" w:space="0" w:color="000000"/>
            </w:tcBorders>
          </w:tcPr>
          <w:p>
            <w:pPr>
              <w:pStyle w:val="TableParagraph"/>
              <w:ind w:left="759" w:right="745"/>
              <w:rPr>
                <w:sz w:val="22"/>
              </w:rPr>
            </w:pPr>
            <w:r>
              <w:rPr>
                <w:spacing w:val="-5"/>
                <w:sz w:val="22"/>
              </w:rPr>
              <w:t>15</w:t>
            </w:r>
          </w:p>
        </w:tc>
      </w:tr>
      <w:tr>
        <w:trPr>
          <w:trHeight w:val="294" w:hRule="atLeast"/>
        </w:trPr>
        <w:tc>
          <w:tcPr>
            <w:tcW w:w="4951" w:type="dxa"/>
          </w:tcPr>
          <w:p>
            <w:pPr>
              <w:pStyle w:val="TableParagraph"/>
              <w:spacing w:line="253" w:lineRule="exact"/>
              <w:ind w:left="9"/>
              <w:jc w:val="left"/>
              <w:rPr>
                <w:sz w:val="22"/>
              </w:rPr>
            </w:pPr>
            <w:r>
              <w:rPr>
                <w:sz w:val="22"/>
              </w:rPr>
              <w:t>At</w:t>
            </w:r>
            <w:r>
              <w:rPr>
                <w:spacing w:val="-2"/>
                <w:sz w:val="22"/>
              </w:rPr>
              <w:t> </w:t>
            </w:r>
            <w:r>
              <w:rPr>
                <w:sz w:val="22"/>
              </w:rPr>
              <w:t>least</w:t>
            </w:r>
            <w:r>
              <w:rPr>
                <w:spacing w:val="-3"/>
                <w:sz w:val="22"/>
              </w:rPr>
              <w:t> </w:t>
            </w:r>
            <w:r>
              <w:rPr>
                <w:sz w:val="22"/>
              </w:rPr>
              <w:t>20%</w:t>
            </w:r>
            <w:r>
              <w:rPr>
                <w:spacing w:val="-4"/>
                <w:sz w:val="22"/>
              </w:rPr>
              <w:t> </w:t>
            </w:r>
            <w:r>
              <w:rPr>
                <w:sz w:val="22"/>
              </w:rPr>
              <w:t>market</w:t>
            </w:r>
            <w:r>
              <w:rPr>
                <w:spacing w:val="-4"/>
                <w:sz w:val="22"/>
              </w:rPr>
              <w:t> </w:t>
            </w:r>
            <w:r>
              <w:rPr>
                <w:sz w:val="22"/>
              </w:rPr>
              <w:t>rate</w:t>
            </w:r>
            <w:r>
              <w:rPr>
                <w:spacing w:val="-4"/>
                <w:sz w:val="22"/>
              </w:rPr>
              <w:t> units</w:t>
            </w:r>
          </w:p>
        </w:tc>
        <w:tc>
          <w:tcPr>
            <w:tcW w:w="1800" w:type="dxa"/>
          </w:tcPr>
          <w:p>
            <w:pPr>
              <w:pStyle w:val="TableParagraph"/>
              <w:spacing w:line="253" w:lineRule="exact"/>
              <w:ind w:left="759" w:right="745"/>
              <w:rPr>
                <w:sz w:val="22"/>
              </w:rPr>
            </w:pPr>
            <w:r>
              <w:rPr>
                <w:spacing w:val="-5"/>
                <w:sz w:val="22"/>
              </w:rPr>
              <w:t>20</w:t>
            </w:r>
          </w:p>
        </w:tc>
      </w:tr>
    </w:tbl>
    <w:p>
      <w:pPr>
        <w:pStyle w:val="BodyText"/>
        <w:rPr>
          <w:sz w:val="23"/>
        </w:rPr>
      </w:pPr>
    </w:p>
    <w:p>
      <w:pPr>
        <w:spacing w:line="264" w:lineRule="auto" w:before="1"/>
        <w:ind w:left="119" w:right="154" w:firstLine="0"/>
        <w:jc w:val="both"/>
        <w:rPr>
          <w:sz w:val="22"/>
        </w:rPr>
      </w:pPr>
      <w:r>
        <w:rPr>
          <w:b/>
          <w:sz w:val="22"/>
        </w:rPr>
        <w:t>Qualified</w:t>
      </w:r>
      <w:r>
        <w:rPr>
          <w:b/>
          <w:spacing w:val="-16"/>
          <w:sz w:val="22"/>
        </w:rPr>
        <w:t> </w:t>
      </w:r>
      <w:r>
        <w:rPr>
          <w:b/>
          <w:sz w:val="22"/>
        </w:rPr>
        <w:t>Nonprofit</w:t>
      </w:r>
      <w:r>
        <w:rPr>
          <w:b/>
          <w:spacing w:val="-13"/>
          <w:sz w:val="22"/>
        </w:rPr>
        <w:t> </w:t>
      </w:r>
      <w:r>
        <w:rPr>
          <w:b/>
          <w:sz w:val="22"/>
        </w:rPr>
        <w:t>or</w:t>
      </w:r>
      <w:r>
        <w:rPr>
          <w:b/>
          <w:spacing w:val="-16"/>
          <w:sz w:val="22"/>
        </w:rPr>
        <w:t> </w:t>
      </w:r>
      <w:r>
        <w:rPr>
          <w:b/>
          <w:sz w:val="22"/>
        </w:rPr>
        <w:t>Historically</w:t>
      </w:r>
      <w:r>
        <w:rPr>
          <w:b/>
          <w:spacing w:val="-14"/>
          <w:sz w:val="22"/>
        </w:rPr>
        <w:t> </w:t>
      </w:r>
      <w:r>
        <w:rPr>
          <w:b/>
          <w:sz w:val="22"/>
        </w:rPr>
        <w:t>Underutilized</w:t>
      </w:r>
      <w:r>
        <w:rPr>
          <w:b/>
          <w:spacing w:val="-15"/>
          <w:sz w:val="22"/>
        </w:rPr>
        <w:t> </w:t>
      </w:r>
      <w:r>
        <w:rPr>
          <w:b/>
          <w:sz w:val="22"/>
        </w:rPr>
        <w:t>Business</w:t>
      </w:r>
      <w:r>
        <w:rPr>
          <w:b/>
          <w:spacing w:val="-15"/>
          <w:sz w:val="22"/>
        </w:rPr>
        <w:t> </w:t>
      </w:r>
      <w:r>
        <w:rPr>
          <w:b/>
          <w:sz w:val="22"/>
        </w:rPr>
        <w:t>on</w:t>
      </w:r>
      <w:r>
        <w:rPr>
          <w:b/>
          <w:spacing w:val="-15"/>
          <w:sz w:val="22"/>
        </w:rPr>
        <w:t> </w:t>
      </w:r>
      <w:r>
        <w:rPr>
          <w:b/>
          <w:sz w:val="22"/>
        </w:rPr>
        <w:t>Development</w:t>
      </w:r>
      <w:r>
        <w:rPr>
          <w:b/>
          <w:spacing w:val="-16"/>
          <w:sz w:val="22"/>
        </w:rPr>
        <w:t> </w:t>
      </w:r>
      <w:r>
        <w:rPr>
          <w:b/>
          <w:sz w:val="22"/>
        </w:rPr>
        <w:t>Team</w:t>
      </w:r>
      <w:r>
        <w:rPr>
          <w:b/>
          <w:spacing w:val="-13"/>
          <w:sz w:val="22"/>
        </w:rPr>
        <w:t> </w:t>
      </w:r>
      <w:r>
        <w:rPr>
          <w:b/>
          <w:sz w:val="22"/>
        </w:rPr>
        <w:t>(5</w:t>
      </w:r>
      <w:r>
        <w:rPr>
          <w:b/>
          <w:spacing w:val="-16"/>
          <w:sz w:val="22"/>
        </w:rPr>
        <w:t> </w:t>
      </w:r>
      <w:r>
        <w:rPr>
          <w:b/>
          <w:sz w:val="22"/>
        </w:rPr>
        <w:t>points) </w:t>
      </w:r>
      <w:r>
        <w:rPr>
          <w:sz w:val="22"/>
        </w:rPr>
        <w:t>To receive these points, the development team must include a Qualified Nonprofit Organization or</w:t>
      </w:r>
      <w:r>
        <w:rPr>
          <w:spacing w:val="-1"/>
          <w:sz w:val="22"/>
        </w:rPr>
        <w:t> </w:t>
      </w:r>
      <w:r>
        <w:rPr>
          <w:sz w:val="22"/>
        </w:rPr>
        <w:t>Historically Underutilized Business (“HUB”)</w:t>
      </w:r>
      <w:r>
        <w:rPr>
          <w:spacing w:val="-1"/>
          <w:sz w:val="22"/>
        </w:rPr>
        <w:t> </w:t>
      </w:r>
      <w:r>
        <w:rPr>
          <w:sz w:val="22"/>
        </w:rPr>
        <w:t>that</w:t>
      </w:r>
      <w:r>
        <w:rPr>
          <w:spacing w:val="1"/>
          <w:sz w:val="22"/>
        </w:rPr>
        <w:t> </w:t>
      </w:r>
      <w:r>
        <w:rPr>
          <w:sz w:val="22"/>
        </w:rPr>
        <w:t>has</w:t>
      </w:r>
      <w:r>
        <w:rPr>
          <w:spacing w:val="1"/>
          <w:sz w:val="22"/>
        </w:rPr>
        <w:t> </w:t>
      </w:r>
      <w:r>
        <w:rPr>
          <w:sz w:val="22"/>
        </w:rPr>
        <w:t>a</w:t>
      </w:r>
      <w:r>
        <w:rPr>
          <w:spacing w:val="-3"/>
          <w:sz w:val="22"/>
        </w:rPr>
        <w:t> </w:t>
      </w:r>
      <w:r>
        <w:rPr>
          <w:sz w:val="22"/>
        </w:rPr>
        <w:t>controlling interest</w:t>
      </w:r>
      <w:r>
        <w:rPr>
          <w:spacing w:val="1"/>
          <w:sz w:val="22"/>
        </w:rPr>
        <w:t> </w:t>
      </w:r>
      <w:r>
        <w:rPr>
          <w:sz w:val="22"/>
        </w:rPr>
        <w:t>in the</w:t>
      </w:r>
      <w:r>
        <w:rPr>
          <w:spacing w:val="-2"/>
          <w:sz w:val="22"/>
        </w:rPr>
        <w:t> development.</w:t>
      </w:r>
    </w:p>
    <w:p>
      <w:pPr>
        <w:pStyle w:val="BodyText"/>
        <w:spacing w:line="226" w:lineRule="exact"/>
        <w:ind w:left="119"/>
        <w:jc w:val="both"/>
      </w:pPr>
      <w:r>
        <w:rPr/>
        <w:t>If</w:t>
      </w:r>
      <w:r>
        <w:rPr>
          <w:spacing w:val="39"/>
        </w:rPr>
        <w:t> </w:t>
      </w:r>
      <w:r>
        <w:rPr/>
        <w:t>ownership</w:t>
      </w:r>
      <w:r>
        <w:rPr>
          <w:spacing w:val="41"/>
        </w:rPr>
        <w:t> </w:t>
      </w:r>
      <w:r>
        <w:rPr/>
        <w:t>is</w:t>
      </w:r>
      <w:r>
        <w:rPr>
          <w:spacing w:val="40"/>
        </w:rPr>
        <w:t> </w:t>
      </w:r>
      <w:r>
        <w:rPr/>
        <w:t>a</w:t>
      </w:r>
      <w:r>
        <w:rPr>
          <w:spacing w:val="41"/>
        </w:rPr>
        <w:t> </w:t>
      </w:r>
      <w:r>
        <w:rPr/>
        <w:t>limited</w:t>
      </w:r>
      <w:r>
        <w:rPr>
          <w:spacing w:val="41"/>
        </w:rPr>
        <w:t> </w:t>
      </w:r>
      <w:r>
        <w:rPr/>
        <w:t>partnership,</w:t>
      </w:r>
      <w:r>
        <w:rPr>
          <w:spacing w:val="39"/>
        </w:rPr>
        <w:t> </w:t>
      </w:r>
      <w:r>
        <w:rPr/>
        <w:t>the</w:t>
      </w:r>
      <w:r>
        <w:rPr>
          <w:spacing w:val="38"/>
        </w:rPr>
        <w:t> </w:t>
      </w:r>
      <w:r>
        <w:rPr/>
        <w:t>Qualified</w:t>
      </w:r>
      <w:r>
        <w:rPr>
          <w:spacing w:val="41"/>
        </w:rPr>
        <w:t> </w:t>
      </w:r>
      <w:r>
        <w:rPr/>
        <w:t>Nonprofit</w:t>
      </w:r>
      <w:r>
        <w:rPr>
          <w:spacing w:val="39"/>
        </w:rPr>
        <w:t> </w:t>
      </w:r>
      <w:r>
        <w:rPr/>
        <w:t>Organization/HUB</w:t>
      </w:r>
      <w:r>
        <w:rPr>
          <w:spacing w:val="40"/>
        </w:rPr>
        <w:t> </w:t>
      </w:r>
      <w:r>
        <w:rPr/>
        <w:t>must</w:t>
      </w:r>
      <w:r>
        <w:rPr>
          <w:spacing w:val="42"/>
        </w:rPr>
        <w:t> </w:t>
      </w:r>
      <w:r>
        <w:rPr/>
        <w:t>be</w:t>
      </w:r>
      <w:r>
        <w:rPr>
          <w:spacing w:val="38"/>
        </w:rPr>
        <w:t> </w:t>
      </w:r>
      <w:r>
        <w:rPr>
          <w:spacing w:val="-5"/>
        </w:rPr>
        <w:t>the</w:t>
      </w:r>
    </w:p>
    <w:p>
      <w:pPr>
        <w:pStyle w:val="BodyText"/>
        <w:ind w:left="119" w:right="156"/>
        <w:jc w:val="both"/>
      </w:pPr>
      <w:r>
        <w:rPr/>
        <w:t>Managing</w:t>
      </w:r>
      <w:r>
        <w:rPr>
          <w:spacing w:val="-7"/>
        </w:rPr>
        <w:t> </w:t>
      </w:r>
      <w:r>
        <w:rPr/>
        <w:t>General</w:t>
      </w:r>
      <w:r>
        <w:rPr>
          <w:spacing w:val="-5"/>
        </w:rPr>
        <w:t> </w:t>
      </w:r>
      <w:r>
        <w:rPr/>
        <w:t>Partner</w:t>
      </w:r>
      <w:r>
        <w:rPr>
          <w:spacing w:val="-3"/>
        </w:rPr>
        <w:t> </w:t>
      </w:r>
      <w:r>
        <w:rPr/>
        <w:t>with</w:t>
      </w:r>
      <w:r>
        <w:rPr>
          <w:spacing w:val="-6"/>
        </w:rPr>
        <w:t> </w:t>
      </w:r>
      <w:r>
        <w:rPr/>
        <w:t>greater</w:t>
      </w:r>
      <w:r>
        <w:rPr>
          <w:spacing w:val="-5"/>
        </w:rPr>
        <w:t> </w:t>
      </w:r>
      <w:r>
        <w:rPr/>
        <w:t>than</w:t>
      </w:r>
      <w:r>
        <w:rPr>
          <w:spacing w:val="-6"/>
        </w:rPr>
        <w:t> </w:t>
      </w:r>
      <w:r>
        <w:rPr/>
        <w:t>50%</w:t>
      </w:r>
      <w:r>
        <w:rPr>
          <w:spacing w:val="-8"/>
        </w:rPr>
        <w:t> </w:t>
      </w:r>
      <w:r>
        <w:rPr/>
        <w:t>ownership</w:t>
      </w:r>
      <w:r>
        <w:rPr>
          <w:spacing w:val="-4"/>
        </w:rPr>
        <w:t> </w:t>
      </w:r>
      <w:r>
        <w:rPr/>
        <w:t>in</w:t>
      </w:r>
      <w:r>
        <w:rPr>
          <w:spacing w:val="-4"/>
        </w:rPr>
        <w:t> </w:t>
      </w:r>
      <w:r>
        <w:rPr/>
        <w:t>the</w:t>
      </w:r>
      <w:r>
        <w:rPr>
          <w:spacing w:val="-9"/>
        </w:rPr>
        <w:t> </w:t>
      </w:r>
      <w:r>
        <w:rPr/>
        <w:t>General</w:t>
      </w:r>
      <w:r>
        <w:rPr>
          <w:spacing w:val="-7"/>
        </w:rPr>
        <w:t> </w:t>
      </w:r>
      <w:r>
        <w:rPr/>
        <w:t>Partner.</w:t>
      </w:r>
      <w:r>
        <w:rPr>
          <w:spacing w:val="-7"/>
        </w:rPr>
        <w:t> </w:t>
      </w:r>
      <w:r>
        <w:rPr/>
        <w:t>If</w:t>
      </w:r>
      <w:r>
        <w:rPr>
          <w:spacing w:val="-5"/>
        </w:rPr>
        <w:t> </w:t>
      </w:r>
      <w:r>
        <w:rPr/>
        <w:t>ownership is a limited liability company, the Qualified Nonprofit Organization/HUB must be the controlling Managing Member with greater than 50% ownership in the Managing member. Additionally, the Qualified Nonprofit Organization/HUB or its affiliate or subsidiary must be the developer or a codeveloper of the Development.</w:t>
      </w:r>
    </w:p>
    <w:p>
      <w:pPr>
        <w:spacing w:after="0"/>
        <w:jc w:val="both"/>
        <w:sectPr>
          <w:pgSz w:w="12240" w:h="15840"/>
          <w:pgMar w:header="0" w:footer="1176" w:top="1360" w:bottom="1420" w:left="1320" w:right="1280"/>
        </w:sectPr>
      </w:pPr>
    </w:p>
    <w:p>
      <w:pPr>
        <w:pStyle w:val="Heading5"/>
        <w:spacing w:before="80"/>
        <w:ind w:left="119"/>
      </w:pPr>
      <w:r>
        <w:rPr/>
        <w:t>Proximity</w:t>
      </w:r>
      <w:r>
        <w:rPr>
          <w:spacing w:val="-8"/>
        </w:rPr>
        <w:t> </w:t>
      </w:r>
      <w:r>
        <w:rPr/>
        <w:t>of</w:t>
      </w:r>
      <w:r>
        <w:rPr>
          <w:spacing w:val="-7"/>
        </w:rPr>
        <w:t> </w:t>
      </w:r>
      <w:r>
        <w:rPr/>
        <w:t>Amenities</w:t>
      </w:r>
      <w:r>
        <w:rPr>
          <w:spacing w:val="-5"/>
        </w:rPr>
        <w:t> </w:t>
      </w:r>
      <w:r>
        <w:rPr/>
        <w:t>to</w:t>
      </w:r>
      <w:r>
        <w:rPr>
          <w:spacing w:val="-3"/>
        </w:rPr>
        <w:t> </w:t>
      </w:r>
      <w:r>
        <w:rPr/>
        <w:t>Development</w:t>
      </w:r>
      <w:r>
        <w:rPr>
          <w:spacing w:val="-5"/>
        </w:rPr>
        <w:t> </w:t>
      </w:r>
      <w:r>
        <w:rPr/>
        <w:t>Site</w:t>
      </w:r>
      <w:r>
        <w:rPr>
          <w:spacing w:val="-5"/>
        </w:rPr>
        <w:t> </w:t>
      </w:r>
      <w:r>
        <w:rPr/>
        <w:t>(Maximum</w:t>
      </w:r>
      <w:r>
        <w:rPr>
          <w:spacing w:val="-3"/>
        </w:rPr>
        <w:t> </w:t>
      </w:r>
      <w:r>
        <w:rPr/>
        <w:t>of</w:t>
      </w:r>
      <w:r>
        <w:rPr>
          <w:spacing w:val="-2"/>
        </w:rPr>
        <w:t> </w:t>
      </w:r>
      <w:r>
        <w:rPr/>
        <w:t>25</w:t>
      </w:r>
      <w:r>
        <w:rPr>
          <w:spacing w:val="-5"/>
        </w:rPr>
        <w:t> </w:t>
      </w:r>
      <w:r>
        <w:rPr>
          <w:spacing w:val="-2"/>
        </w:rPr>
        <w:t>points)</w:t>
      </w:r>
    </w:p>
    <w:p>
      <w:pPr>
        <w:pStyle w:val="BodyText"/>
        <w:spacing w:before="49"/>
        <w:ind w:left="119"/>
        <w:jc w:val="both"/>
      </w:pPr>
      <w:r>
        <w:rPr/>
        <w:pict>
          <v:shape style="position:absolute;margin-left:356.882507pt;margin-top:101.786995pt;width:128.5pt;height:128.6pt;mso-position-horizontal-relative:page;mso-position-vertical-relative:paragraph;z-index:-17693696" id="docshape101" coordorigin="7138,2036" coordsize="2570,2572" path="m8272,2036l7138,3170,7363,3395,7834,2924,9517,4607,9707,4418,8024,2735,8497,2261,8272,2036xe" filled="true" fillcolor="#c0c0c0" stroked="false">
            <v:path arrowok="t"/>
            <v:fill opacity="32896f" type="solid"/>
            <w10:wrap type="none"/>
          </v:shape>
        </w:pict>
      </w:r>
      <w:r>
        <w:rPr/>
        <w:t>The</w:t>
      </w:r>
      <w:r>
        <w:rPr>
          <w:spacing w:val="-6"/>
        </w:rPr>
        <w:t> </w:t>
      </w:r>
      <w:r>
        <w:rPr/>
        <w:t>following</w:t>
      </w:r>
      <w:r>
        <w:rPr>
          <w:spacing w:val="-4"/>
        </w:rPr>
        <w:t> </w:t>
      </w:r>
      <w:r>
        <w:rPr/>
        <w:t>matrix</w:t>
      </w:r>
      <w:r>
        <w:rPr>
          <w:spacing w:val="-6"/>
        </w:rPr>
        <w:t> </w:t>
      </w:r>
      <w:r>
        <w:rPr/>
        <w:t>shall</w:t>
      </w:r>
      <w:r>
        <w:rPr>
          <w:spacing w:val="-4"/>
        </w:rPr>
        <w:t> </w:t>
      </w:r>
      <w:r>
        <w:rPr/>
        <w:t>be</w:t>
      </w:r>
      <w:r>
        <w:rPr>
          <w:spacing w:val="-4"/>
        </w:rPr>
        <w:t> </w:t>
      </w:r>
      <w:r>
        <w:rPr/>
        <w:t>used</w:t>
      </w:r>
      <w:r>
        <w:rPr>
          <w:spacing w:val="-4"/>
        </w:rPr>
        <w:t> </w:t>
      </w:r>
      <w:r>
        <w:rPr/>
        <w:t>in</w:t>
      </w:r>
      <w:r>
        <w:rPr>
          <w:spacing w:val="-6"/>
        </w:rPr>
        <w:t> </w:t>
      </w:r>
      <w:r>
        <w:rPr/>
        <w:t>scoring</w:t>
      </w:r>
      <w:r>
        <w:rPr>
          <w:spacing w:val="-6"/>
        </w:rPr>
        <w:t> </w:t>
      </w:r>
      <w:r>
        <w:rPr/>
        <w:t>the</w:t>
      </w:r>
      <w:r>
        <w:rPr>
          <w:spacing w:val="-8"/>
        </w:rPr>
        <w:t> </w:t>
      </w:r>
      <w:r>
        <w:rPr/>
        <w:t>Development</w:t>
      </w:r>
      <w:r>
        <w:rPr>
          <w:spacing w:val="-2"/>
        </w:rPr>
        <w:t> </w:t>
      </w:r>
      <w:r>
        <w:rPr/>
        <w:t>under</w:t>
      </w:r>
      <w:r>
        <w:rPr>
          <w:spacing w:val="-5"/>
        </w:rPr>
        <w:t> </w:t>
      </w:r>
      <w:r>
        <w:rPr/>
        <w:t>this</w:t>
      </w:r>
      <w:r>
        <w:rPr>
          <w:spacing w:val="-6"/>
        </w:rPr>
        <w:t> </w:t>
      </w:r>
      <w:r>
        <w:rPr>
          <w:spacing w:val="-2"/>
        </w:rPr>
        <w:t>category:</w:t>
      </w:r>
    </w:p>
    <w:tbl>
      <w:tblPr>
        <w:tblW w:w="0" w:type="auto"/>
        <w:jc w:val="left"/>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046"/>
        <w:gridCol w:w="1708"/>
        <w:gridCol w:w="1696"/>
        <w:gridCol w:w="1883"/>
      </w:tblGrid>
      <w:tr>
        <w:trPr>
          <w:trHeight w:val="758" w:hRule="atLeast"/>
        </w:trPr>
        <w:tc>
          <w:tcPr>
            <w:tcW w:w="4046" w:type="dxa"/>
            <w:tcBorders>
              <w:top w:val="nil"/>
            </w:tcBorders>
            <w:shd w:val="clear" w:color="auto" w:fill="001F5F"/>
          </w:tcPr>
          <w:p>
            <w:pPr>
              <w:pStyle w:val="TableParagraph"/>
              <w:spacing w:before="7"/>
              <w:ind w:left="0"/>
              <w:jc w:val="left"/>
              <w:rPr>
                <w:sz w:val="21"/>
              </w:rPr>
            </w:pPr>
          </w:p>
          <w:p>
            <w:pPr>
              <w:pStyle w:val="TableParagraph"/>
              <w:ind w:left="1612" w:right="1603"/>
              <w:rPr>
                <w:sz w:val="22"/>
              </w:rPr>
            </w:pPr>
            <w:r>
              <w:rPr>
                <w:color w:val="FFFFFF"/>
                <w:spacing w:val="-2"/>
                <w:sz w:val="22"/>
              </w:rPr>
              <w:t>Amenity</w:t>
            </w:r>
          </w:p>
        </w:tc>
        <w:tc>
          <w:tcPr>
            <w:tcW w:w="1708" w:type="dxa"/>
            <w:tcBorders>
              <w:top w:val="nil"/>
            </w:tcBorders>
            <w:shd w:val="clear" w:color="auto" w:fill="001F5F"/>
          </w:tcPr>
          <w:p>
            <w:pPr>
              <w:pStyle w:val="TableParagraph"/>
              <w:spacing w:before="7"/>
              <w:ind w:left="0"/>
              <w:jc w:val="left"/>
              <w:rPr>
                <w:sz w:val="21"/>
              </w:rPr>
            </w:pPr>
          </w:p>
          <w:p>
            <w:pPr>
              <w:pStyle w:val="TableParagraph"/>
              <w:ind w:right="94"/>
              <w:rPr>
                <w:sz w:val="22"/>
              </w:rPr>
            </w:pPr>
            <w:r>
              <w:rPr>
                <w:color w:val="FFFFFF"/>
                <w:sz w:val="22"/>
              </w:rPr>
              <w:t>1/4</w:t>
            </w:r>
            <w:r>
              <w:rPr>
                <w:color w:val="FFFFFF"/>
                <w:spacing w:val="-4"/>
                <w:sz w:val="22"/>
              </w:rPr>
              <w:t> </w:t>
            </w:r>
            <w:r>
              <w:rPr>
                <w:color w:val="FFFFFF"/>
                <w:sz w:val="22"/>
              </w:rPr>
              <w:t>mile</w:t>
            </w:r>
            <w:r>
              <w:rPr>
                <w:color w:val="FFFFFF"/>
                <w:spacing w:val="-2"/>
                <w:sz w:val="22"/>
              </w:rPr>
              <w:t> </w:t>
            </w:r>
            <w:r>
              <w:rPr>
                <w:color w:val="FFFFFF"/>
                <w:sz w:val="22"/>
              </w:rPr>
              <w:t>or</w:t>
            </w:r>
            <w:r>
              <w:rPr>
                <w:color w:val="FFFFFF"/>
                <w:spacing w:val="-2"/>
                <w:sz w:val="22"/>
              </w:rPr>
              <w:t> </w:t>
            </w:r>
            <w:r>
              <w:rPr>
                <w:color w:val="FFFFFF"/>
                <w:spacing w:val="-4"/>
                <w:sz w:val="22"/>
              </w:rPr>
              <w:t>less</w:t>
            </w:r>
          </w:p>
        </w:tc>
        <w:tc>
          <w:tcPr>
            <w:tcW w:w="1696" w:type="dxa"/>
            <w:tcBorders>
              <w:top w:val="nil"/>
            </w:tcBorders>
            <w:shd w:val="clear" w:color="auto" w:fill="001F5F"/>
          </w:tcPr>
          <w:p>
            <w:pPr>
              <w:pStyle w:val="TableParagraph"/>
              <w:spacing w:line="250" w:lineRule="exact"/>
              <w:ind w:left="81" w:right="67"/>
              <w:rPr>
                <w:sz w:val="22"/>
              </w:rPr>
            </w:pPr>
            <w:r>
              <w:rPr>
                <w:color w:val="FFFFFF"/>
                <w:sz w:val="22"/>
              </w:rPr>
              <w:t>&gt;1/4</w:t>
            </w:r>
            <w:r>
              <w:rPr>
                <w:color w:val="FFFFFF"/>
                <w:spacing w:val="-7"/>
                <w:sz w:val="22"/>
              </w:rPr>
              <w:t> </w:t>
            </w:r>
            <w:r>
              <w:rPr>
                <w:color w:val="FFFFFF"/>
                <w:sz w:val="22"/>
              </w:rPr>
              <w:t>mile</w:t>
            </w:r>
            <w:r>
              <w:rPr>
                <w:color w:val="FFFFFF"/>
                <w:spacing w:val="-2"/>
                <w:sz w:val="22"/>
              </w:rPr>
              <w:t> </w:t>
            </w:r>
            <w:r>
              <w:rPr>
                <w:color w:val="FFFFFF"/>
                <w:spacing w:val="-5"/>
                <w:sz w:val="22"/>
              </w:rPr>
              <w:t>and</w:t>
            </w:r>
          </w:p>
          <w:p>
            <w:pPr>
              <w:pStyle w:val="TableParagraph"/>
              <w:spacing w:line="252" w:lineRule="exact"/>
              <w:ind w:left="81" w:right="68"/>
              <w:rPr>
                <w:sz w:val="22"/>
              </w:rPr>
            </w:pPr>
            <w:r>
              <w:rPr>
                <w:color w:val="FFFFFF"/>
                <w:sz w:val="22"/>
              </w:rPr>
              <w:t>&lt;</w:t>
            </w:r>
            <w:r>
              <w:rPr>
                <w:color w:val="FFFFFF"/>
                <w:spacing w:val="2"/>
                <w:sz w:val="22"/>
              </w:rPr>
              <w:t> </w:t>
            </w:r>
            <w:r>
              <w:rPr>
                <w:color w:val="FFFFFF"/>
                <w:spacing w:val="-5"/>
                <w:sz w:val="22"/>
              </w:rPr>
              <w:t>1/2</w:t>
            </w:r>
          </w:p>
          <w:p>
            <w:pPr>
              <w:pStyle w:val="TableParagraph"/>
              <w:spacing w:line="235" w:lineRule="exact" w:before="1"/>
              <w:ind w:left="79" w:right="70"/>
              <w:rPr>
                <w:sz w:val="22"/>
              </w:rPr>
            </w:pPr>
            <w:r>
              <w:rPr>
                <w:color w:val="FFFFFF"/>
                <w:spacing w:val="-4"/>
                <w:sz w:val="22"/>
              </w:rPr>
              <w:t>Mile</w:t>
            </w:r>
          </w:p>
        </w:tc>
        <w:tc>
          <w:tcPr>
            <w:tcW w:w="1883" w:type="dxa"/>
            <w:tcBorders>
              <w:top w:val="nil"/>
            </w:tcBorders>
            <w:shd w:val="clear" w:color="auto" w:fill="001F5F"/>
          </w:tcPr>
          <w:p>
            <w:pPr>
              <w:pStyle w:val="TableParagraph"/>
              <w:spacing w:before="124"/>
              <w:ind w:left="527" w:right="51" w:hanging="336"/>
              <w:jc w:val="left"/>
              <w:rPr>
                <w:sz w:val="22"/>
              </w:rPr>
            </w:pPr>
            <w:r>
              <w:rPr>
                <w:color w:val="FFFFFF"/>
                <w:sz w:val="22"/>
              </w:rPr>
              <w:t>1/2</w:t>
            </w:r>
            <w:r>
              <w:rPr>
                <w:color w:val="FFFFFF"/>
                <w:spacing w:val="-13"/>
                <w:sz w:val="22"/>
              </w:rPr>
              <w:t> </w:t>
            </w:r>
            <w:r>
              <w:rPr>
                <w:color w:val="FFFFFF"/>
                <w:sz w:val="22"/>
              </w:rPr>
              <w:t>mile</w:t>
            </w:r>
            <w:r>
              <w:rPr>
                <w:color w:val="FFFFFF"/>
                <w:spacing w:val="-12"/>
                <w:sz w:val="22"/>
              </w:rPr>
              <w:t> </w:t>
            </w:r>
            <w:r>
              <w:rPr>
                <w:color w:val="FFFFFF"/>
                <w:sz w:val="22"/>
              </w:rPr>
              <w:t>and</w:t>
            </w:r>
            <w:r>
              <w:rPr>
                <w:color w:val="FFFFFF"/>
                <w:spacing w:val="-12"/>
                <w:sz w:val="22"/>
              </w:rPr>
              <w:t> </w:t>
            </w:r>
            <w:r>
              <w:rPr>
                <w:color w:val="FFFFFF"/>
                <w:sz w:val="22"/>
              </w:rPr>
              <w:t>up to 1 mile</w:t>
            </w:r>
          </w:p>
        </w:tc>
      </w:tr>
      <w:tr>
        <w:trPr>
          <w:trHeight w:val="359" w:hRule="atLeast"/>
        </w:trPr>
        <w:tc>
          <w:tcPr>
            <w:tcW w:w="4046" w:type="dxa"/>
            <w:shd w:val="clear" w:color="auto" w:fill="DBE4F0"/>
          </w:tcPr>
          <w:p>
            <w:pPr>
              <w:pStyle w:val="TableParagraph"/>
              <w:spacing w:before="52"/>
              <w:ind w:left="4"/>
              <w:jc w:val="left"/>
              <w:rPr>
                <w:sz w:val="22"/>
              </w:rPr>
            </w:pPr>
            <w:r>
              <w:rPr>
                <w:sz w:val="22"/>
              </w:rPr>
              <w:t>High</w:t>
            </w:r>
            <w:r>
              <w:rPr>
                <w:spacing w:val="-6"/>
                <w:sz w:val="22"/>
              </w:rPr>
              <w:t> </w:t>
            </w:r>
            <w:r>
              <w:rPr>
                <w:sz w:val="22"/>
              </w:rPr>
              <w:t>Frequency</w:t>
            </w:r>
            <w:r>
              <w:rPr>
                <w:spacing w:val="-5"/>
                <w:sz w:val="22"/>
              </w:rPr>
              <w:t> </w:t>
            </w:r>
            <w:r>
              <w:rPr>
                <w:spacing w:val="-2"/>
                <w:sz w:val="22"/>
              </w:rPr>
              <w:t>Transit</w:t>
            </w:r>
          </w:p>
        </w:tc>
        <w:tc>
          <w:tcPr>
            <w:tcW w:w="1708" w:type="dxa"/>
          </w:tcPr>
          <w:p>
            <w:pPr>
              <w:pStyle w:val="TableParagraph"/>
              <w:spacing w:before="52"/>
              <w:ind w:left="9"/>
              <w:rPr>
                <w:sz w:val="22"/>
              </w:rPr>
            </w:pPr>
            <w:r>
              <w:rPr>
                <w:w w:val="100"/>
                <w:sz w:val="22"/>
              </w:rPr>
              <w:t>5</w:t>
            </w:r>
          </w:p>
        </w:tc>
        <w:tc>
          <w:tcPr>
            <w:tcW w:w="1696" w:type="dxa"/>
          </w:tcPr>
          <w:p>
            <w:pPr>
              <w:pStyle w:val="TableParagraph"/>
              <w:spacing w:before="52"/>
              <w:ind w:left="13"/>
              <w:rPr>
                <w:sz w:val="22"/>
              </w:rPr>
            </w:pPr>
            <w:r>
              <w:rPr>
                <w:w w:val="100"/>
                <w:sz w:val="22"/>
              </w:rPr>
              <w:t>3</w:t>
            </w:r>
          </w:p>
        </w:tc>
        <w:tc>
          <w:tcPr>
            <w:tcW w:w="1883" w:type="dxa"/>
          </w:tcPr>
          <w:p>
            <w:pPr>
              <w:pStyle w:val="TableParagraph"/>
              <w:spacing w:before="52"/>
              <w:ind w:left="14"/>
              <w:rPr>
                <w:sz w:val="22"/>
              </w:rPr>
            </w:pPr>
            <w:r>
              <w:rPr>
                <w:w w:val="100"/>
                <w:sz w:val="22"/>
              </w:rPr>
              <w:t>1</w:t>
            </w:r>
          </w:p>
        </w:tc>
      </w:tr>
      <w:tr>
        <w:trPr>
          <w:trHeight w:val="359" w:hRule="atLeast"/>
        </w:trPr>
        <w:tc>
          <w:tcPr>
            <w:tcW w:w="4046" w:type="dxa"/>
            <w:shd w:val="clear" w:color="auto" w:fill="DBE4F0"/>
          </w:tcPr>
          <w:p>
            <w:pPr>
              <w:pStyle w:val="TableParagraph"/>
              <w:spacing w:before="52"/>
              <w:ind w:left="4"/>
              <w:jc w:val="left"/>
              <w:rPr>
                <w:sz w:val="22"/>
              </w:rPr>
            </w:pPr>
            <w:r>
              <w:rPr>
                <w:sz w:val="22"/>
              </w:rPr>
              <w:t>Public</w:t>
            </w:r>
            <w:r>
              <w:rPr>
                <w:spacing w:val="-6"/>
                <w:sz w:val="22"/>
              </w:rPr>
              <w:t> </w:t>
            </w:r>
            <w:r>
              <w:rPr>
                <w:spacing w:val="-4"/>
                <w:sz w:val="22"/>
              </w:rPr>
              <w:t>Park</w:t>
            </w:r>
          </w:p>
        </w:tc>
        <w:tc>
          <w:tcPr>
            <w:tcW w:w="1708" w:type="dxa"/>
          </w:tcPr>
          <w:p>
            <w:pPr>
              <w:pStyle w:val="TableParagraph"/>
              <w:spacing w:before="52"/>
              <w:ind w:left="9"/>
              <w:rPr>
                <w:sz w:val="22"/>
              </w:rPr>
            </w:pPr>
            <w:r>
              <w:rPr>
                <w:w w:val="100"/>
                <w:sz w:val="22"/>
              </w:rPr>
              <w:t>5</w:t>
            </w:r>
          </w:p>
        </w:tc>
        <w:tc>
          <w:tcPr>
            <w:tcW w:w="1696" w:type="dxa"/>
          </w:tcPr>
          <w:p>
            <w:pPr>
              <w:pStyle w:val="TableParagraph"/>
              <w:spacing w:before="52"/>
              <w:ind w:left="13"/>
              <w:rPr>
                <w:sz w:val="22"/>
              </w:rPr>
            </w:pPr>
            <w:r>
              <w:rPr>
                <w:w w:val="100"/>
                <w:sz w:val="22"/>
              </w:rPr>
              <w:t>3</w:t>
            </w:r>
          </w:p>
        </w:tc>
        <w:tc>
          <w:tcPr>
            <w:tcW w:w="1883" w:type="dxa"/>
          </w:tcPr>
          <w:p>
            <w:pPr>
              <w:pStyle w:val="TableParagraph"/>
              <w:spacing w:before="52"/>
              <w:ind w:left="14"/>
              <w:rPr>
                <w:sz w:val="22"/>
              </w:rPr>
            </w:pPr>
            <w:r>
              <w:rPr>
                <w:w w:val="100"/>
                <w:sz w:val="22"/>
              </w:rPr>
              <w:t>1</w:t>
            </w:r>
          </w:p>
        </w:tc>
      </w:tr>
      <w:tr>
        <w:trPr>
          <w:trHeight w:val="362" w:hRule="atLeast"/>
        </w:trPr>
        <w:tc>
          <w:tcPr>
            <w:tcW w:w="4046" w:type="dxa"/>
            <w:shd w:val="clear" w:color="auto" w:fill="DBE4F0"/>
          </w:tcPr>
          <w:p>
            <w:pPr>
              <w:pStyle w:val="TableParagraph"/>
              <w:spacing w:before="52"/>
              <w:ind w:left="4"/>
              <w:jc w:val="left"/>
              <w:rPr>
                <w:sz w:val="22"/>
              </w:rPr>
            </w:pPr>
            <w:r>
              <w:rPr>
                <w:sz w:val="22"/>
              </w:rPr>
              <w:t>Full</w:t>
            </w:r>
            <w:r>
              <w:rPr>
                <w:spacing w:val="-4"/>
                <w:sz w:val="22"/>
              </w:rPr>
              <w:t> </w:t>
            </w:r>
            <w:r>
              <w:rPr>
                <w:sz w:val="22"/>
              </w:rPr>
              <w:t>Scale</w:t>
            </w:r>
            <w:r>
              <w:rPr>
                <w:spacing w:val="-4"/>
                <w:sz w:val="22"/>
              </w:rPr>
              <w:t> </w:t>
            </w:r>
            <w:r>
              <w:rPr>
                <w:sz w:val="22"/>
              </w:rPr>
              <w:t>Grocery</w:t>
            </w:r>
            <w:r>
              <w:rPr>
                <w:spacing w:val="-5"/>
                <w:sz w:val="22"/>
              </w:rPr>
              <w:t> </w:t>
            </w:r>
            <w:r>
              <w:rPr>
                <w:spacing w:val="-2"/>
                <w:sz w:val="22"/>
              </w:rPr>
              <w:t>Store</w:t>
            </w:r>
          </w:p>
        </w:tc>
        <w:tc>
          <w:tcPr>
            <w:tcW w:w="1708" w:type="dxa"/>
          </w:tcPr>
          <w:p>
            <w:pPr>
              <w:pStyle w:val="TableParagraph"/>
              <w:spacing w:before="52"/>
              <w:ind w:left="9"/>
              <w:rPr>
                <w:sz w:val="22"/>
              </w:rPr>
            </w:pPr>
            <w:r>
              <w:rPr>
                <w:w w:val="100"/>
                <w:sz w:val="22"/>
              </w:rPr>
              <w:t>5</w:t>
            </w:r>
          </w:p>
        </w:tc>
        <w:tc>
          <w:tcPr>
            <w:tcW w:w="1696" w:type="dxa"/>
          </w:tcPr>
          <w:p>
            <w:pPr>
              <w:pStyle w:val="TableParagraph"/>
              <w:spacing w:before="52"/>
              <w:ind w:left="13"/>
              <w:rPr>
                <w:sz w:val="22"/>
              </w:rPr>
            </w:pPr>
            <w:r>
              <w:rPr>
                <w:w w:val="100"/>
                <w:sz w:val="22"/>
              </w:rPr>
              <w:t>3</w:t>
            </w:r>
          </w:p>
        </w:tc>
        <w:tc>
          <w:tcPr>
            <w:tcW w:w="1883" w:type="dxa"/>
          </w:tcPr>
          <w:p>
            <w:pPr>
              <w:pStyle w:val="TableParagraph"/>
              <w:spacing w:before="52"/>
              <w:ind w:left="14"/>
              <w:rPr>
                <w:sz w:val="22"/>
              </w:rPr>
            </w:pPr>
            <w:r>
              <w:rPr>
                <w:w w:val="100"/>
                <w:sz w:val="22"/>
              </w:rPr>
              <w:t>1</w:t>
            </w:r>
          </w:p>
        </w:tc>
      </w:tr>
      <w:tr>
        <w:trPr>
          <w:trHeight w:val="359" w:hRule="atLeast"/>
        </w:trPr>
        <w:tc>
          <w:tcPr>
            <w:tcW w:w="4046" w:type="dxa"/>
            <w:shd w:val="clear" w:color="auto" w:fill="DBE4F0"/>
          </w:tcPr>
          <w:p>
            <w:pPr>
              <w:pStyle w:val="TableParagraph"/>
              <w:spacing w:before="49"/>
              <w:ind w:left="4"/>
              <w:jc w:val="left"/>
              <w:rPr>
                <w:sz w:val="22"/>
              </w:rPr>
            </w:pPr>
            <w:r>
              <w:rPr>
                <w:sz w:val="22"/>
              </w:rPr>
              <w:t>Community/Senior</w:t>
            </w:r>
            <w:r>
              <w:rPr>
                <w:spacing w:val="-9"/>
                <w:sz w:val="22"/>
              </w:rPr>
              <w:t> </w:t>
            </w:r>
            <w:r>
              <w:rPr>
                <w:sz w:val="22"/>
              </w:rPr>
              <w:t>Center</w:t>
            </w:r>
            <w:r>
              <w:rPr>
                <w:spacing w:val="-6"/>
                <w:sz w:val="22"/>
              </w:rPr>
              <w:t> </w:t>
            </w:r>
            <w:r>
              <w:rPr>
                <w:sz w:val="22"/>
              </w:rPr>
              <w:t>or</w:t>
            </w:r>
            <w:r>
              <w:rPr>
                <w:spacing w:val="-6"/>
                <w:sz w:val="22"/>
              </w:rPr>
              <w:t> </w:t>
            </w:r>
            <w:r>
              <w:rPr>
                <w:spacing w:val="-2"/>
                <w:sz w:val="22"/>
              </w:rPr>
              <w:t>Library</w:t>
            </w:r>
          </w:p>
        </w:tc>
        <w:tc>
          <w:tcPr>
            <w:tcW w:w="1708" w:type="dxa"/>
          </w:tcPr>
          <w:p>
            <w:pPr>
              <w:pStyle w:val="TableParagraph"/>
              <w:spacing w:before="49"/>
              <w:ind w:left="9"/>
              <w:rPr>
                <w:sz w:val="22"/>
              </w:rPr>
            </w:pPr>
            <w:r>
              <w:rPr>
                <w:w w:val="100"/>
                <w:sz w:val="22"/>
              </w:rPr>
              <w:t>5</w:t>
            </w:r>
          </w:p>
        </w:tc>
        <w:tc>
          <w:tcPr>
            <w:tcW w:w="1696" w:type="dxa"/>
          </w:tcPr>
          <w:p>
            <w:pPr>
              <w:pStyle w:val="TableParagraph"/>
              <w:spacing w:before="49"/>
              <w:ind w:left="13"/>
              <w:rPr>
                <w:sz w:val="22"/>
              </w:rPr>
            </w:pPr>
            <w:r>
              <w:rPr>
                <w:w w:val="100"/>
                <w:sz w:val="22"/>
              </w:rPr>
              <w:t>3</w:t>
            </w:r>
          </w:p>
        </w:tc>
        <w:tc>
          <w:tcPr>
            <w:tcW w:w="1883" w:type="dxa"/>
          </w:tcPr>
          <w:p>
            <w:pPr>
              <w:pStyle w:val="TableParagraph"/>
              <w:spacing w:before="49"/>
              <w:ind w:left="14"/>
              <w:rPr>
                <w:sz w:val="22"/>
              </w:rPr>
            </w:pPr>
            <w:r>
              <w:rPr>
                <w:w w:val="100"/>
                <w:sz w:val="22"/>
              </w:rPr>
              <w:t>1</w:t>
            </w:r>
          </w:p>
        </w:tc>
      </w:tr>
      <w:tr>
        <w:trPr>
          <w:trHeight w:val="359" w:hRule="atLeast"/>
        </w:trPr>
        <w:tc>
          <w:tcPr>
            <w:tcW w:w="4046" w:type="dxa"/>
            <w:shd w:val="clear" w:color="auto" w:fill="DBE4F0"/>
          </w:tcPr>
          <w:p>
            <w:pPr>
              <w:pStyle w:val="TableParagraph"/>
              <w:spacing w:before="49"/>
              <w:ind w:left="4"/>
              <w:jc w:val="left"/>
              <w:rPr>
                <w:sz w:val="22"/>
              </w:rPr>
            </w:pPr>
            <w:r>
              <w:rPr>
                <w:sz w:val="22"/>
              </w:rPr>
              <w:t>Licensed</w:t>
            </w:r>
            <w:r>
              <w:rPr>
                <w:spacing w:val="-7"/>
                <w:sz w:val="22"/>
              </w:rPr>
              <w:t> </w:t>
            </w:r>
            <w:r>
              <w:rPr>
                <w:sz w:val="22"/>
              </w:rPr>
              <w:t>Day</w:t>
            </w:r>
            <w:r>
              <w:rPr>
                <w:spacing w:val="-4"/>
                <w:sz w:val="22"/>
              </w:rPr>
              <w:t> Care</w:t>
            </w:r>
          </w:p>
        </w:tc>
        <w:tc>
          <w:tcPr>
            <w:tcW w:w="1708" w:type="dxa"/>
          </w:tcPr>
          <w:p>
            <w:pPr>
              <w:pStyle w:val="TableParagraph"/>
              <w:spacing w:before="49"/>
              <w:ind w:left="9"/>
              <w:rPr>
                <w:sz w:val="22"/>
              </w:rPr>
            </w:pPr>
            <w:r>
              <w:rPr>
                <w:w w:val="100"/>
                <w:sz w:val="22"/>
              </w:rPr>
              <w:t>5</w:t>
            </w:r>
          </w:p>
        </w:tc>
        <w:tc>
          <w:tcPr>
            <w:tcW w:w="1696" w:type="dxa"/>
          </w:tcPr>
          <w:p>
            <w:pPr>
              <w:pStyle w:val="TableParagraph"/>
              <w:spacing w:before="49"/>
              <w:ind w:left="13"/>
              <w:rPr>
                <w:sz w:val="22"/>
              </w:rPr>
            </w:pPr>
            <w:r>
              <w:rPr>
                <w:w w:val="100"/>
                <w:sz w:val="22"/>
              </w:rPr>
              <w:t>3</w:t>
            </w:r>
          </w:p>
        </w:tc>
        <w:tc>
          <w:tcPr>
            <w:tcW w:w="1883" w:type="dxa"/>
          </w:tcPr>
          <w:p>
            <w:pPr>
              <w:pStyle w:val="TableParagraph"/>
              <w:spacing w:before="49"/>
              <w:ind w:left="14"/>
              <w:rPr>
                <w:sz w:val="22"/>
              </w:rPr>
            </w:pPr>
            <w:r>
              <w:rPr>
                <w:w w:val="100"/>
                <w:sz w:val="22"/>
              </w:rPr>
              <w:t>1</w:t>
            </w:r>
          </w:p>
        </w:tc>
      </w:tr>
      <w:tr>
        <w:trPr>
          <w:trHeight w:val="505" w:hRule="atLeast"/>
        </w:trPr>
        <w:tc>
          <w:tcPr>
            <w:tcW w:w="4046" w:type="dxa"/>
            <w:shd w:val="clear" w:color="auto" w:fill="001F5F"/>
          </w:tcPr>
          <w:p>
            <w:pPr>
              <w:pStyle w:val="TableParagraph"/>
              <w:spacing w:before="124"/>
              <w:ind w:left="1612" w:right="1603"/>
              <w:rPr>
                <w:sz w:val="22"/>
              </w:rPr>
            </w:pPr>
            <w:r>
              <w:rPr>
                <w:color w:val="FFFFFF"/>
                <w:spacing w:val="-2"/>
                <w:sz w:val="22"/>
              </w:rPr>
              <w:t>Amenity</w:t>
            </w:r>
          </w:p>
        </w:tc>
        <w:tc>
          <w:tcPr>
            <w:tcW w:w="1708" w:type="dxa"/>
            <w:shd w:val="clear" w:color="auto" w:fill="001F5F"/>
          </w:tcPr>
          <w:p>
            <w:pPr>
              <w:pStyle w:val="TableParagraph"/>
              <w:spacing w:before="124"/>
              <w:ind w:right="94"/>
              <w:rPr>
                <w:sz w:val="22"/>
              </w:rPr>
            </w:pPr>
            <w:r>
              <w:rPr>
                <w:color w:val="FFFFFF"/>
                <w:sz w:val="22"/>
              </w:rPr>
              <w:t>1/2</w:t>
            </w:r>
            <w:r>
              <w:rPr>
                <w:color w:val="FFFFFF"/>
                <w:spacing w:val="-6"/>
                <w:sz w:val="22"/>
              </w:rPr>
              <w:t> </w:t>
            </w:r>
            <w:r>
              <w:rPr>
                <w:color w:val="FFFFFF"/>
                <w:sz w:val="22"/>
              </w:rPr>
              <w:t>mile</w:t>
            </w:r>
            <w:r>
              <w:rPr>
                <w:color w:val="FFFFFF"/>
                <w:spacing w:val="-2"/>
                <w:sz w:val="22"/>
              </w:rPr>
              <w:t> </w:t>
            </w:r>
            <w:r>
              <w:rPr>
                <w:color w:val="FFFFFF"/>
                <w:sz w:val="22"/>
              </w:rPr>
              <w:t>or</w:t>
            </w:r>
            <w:r>
              <w:rPr>
                <w:color w:val="FFFFFF"/>
                <w:spacing w:val="-2"/>
                <w:sz w:val="22"/>
              </w:rPr>
              <w:t> </w:t>
            </w:r>
            <w:r>
              <w:rPr>
                <w:color w:val="FFFFFF"/>
                <w:spacing w:val="-4"/>
                <w:sz w:val="22"/>
              </w:rPr>
              <w:t>less</w:t>
            </w:r>
          </w:p>
        </w:tc>
        <w:tc>
          <w:tcPr>
            <w:tcW w:w="1696" w:type="dxa"/>
            <w:shd w:val="clear" w:color="auto" w:fill="001F5F"/>
          </w:tcPr>
          <w:p>
            <w:pPr>
              <w:pStyle w:val="TableParagraph"/>
              <w:spacing w:line="250" w:lineRule="exact"/>
              <w:ind w:left="81" w:right="70"/>
              <w:rPr>
                <w:sz w:val="22"/>
              </w:rPr>
            </w:pPr>
            <w:r>
              <w:rPr>
                <w:color w:val="FFFFFF"/>
                <w:sz w:val="22"/>
              </w:rPr>
              <w:t>&gt;1/2</w:t>
            </w:r>
            <w:r>
              <w:rPr>
                <w:color w:val="FFFFFF"/>
                <w:spacing w:val="-7"/>
                <w:sz w:val="22"/>
              </w:rPr>
              <w:t> </w:t>
            </w:r>
            <w:r>
              <w:rPr>
                <w:color w:val="FFFFFF"/>
                <w:sz w:val="22"/>
              </w:rPr>
              <w:t>mile</w:t>
            </w:r>
            <w:r>
              <w:rPr>
                <w:color w:val="FFFFFF"/>
                <w:spacing w:val="-2"/>
                <w:sz w:val="22"/>
              </w:rPr>
              <w:t> </w:t>
            </w:r>
            <w:r>
              <w:rPr>
                <w:color w:val="FFFFFF"/>
                <w:sz w:val="22"/>
              </w:rPr>
              <w:t>and</w:t>
            </w:r>
            <w:r>
              <w:rPr>
                <w:color w:val="FFFFFF"/>
                <w:spacing w:val="-4"/>
                <w:sz w:val="22"/>
              </w:rPr>
              <w:t> </w:t>
            </w:r>
            <w:r>
              <w:rPr>
                <w:color w:val="FFFFFF"/>
                <w:spacing w:val="-10"/>
                <w:sz w:val="22"/>
              </w:rPr>
              <w:t>&lt;</w:t>
            </w:r>
          </w:p>
          <w:p>
            <w:pPr>
              <w:pStyle w:val="TableParagraph"/>
              <w:spacing w:line="235" w:lineRule="exact" w:before="1"/>
              <w:ind w:left="81" w:right="70"/>
              <w:rPr>
                <w:sz w:val="22"/>
              </w:rPr>
            </w:pPr>
            <w:r>
              <w:rPr>
                <w:color w:val="FFFFFF"/>
                <w:sz w:val="22"/>
              </w:rPr>
              <w:t>1 </w:t>
            </w:r>
            <w:r>
              <w:rPr>
                <w:color w:val="FFFFFF"/>
                <w:spacing w:val="-4"/>
                <w:sz w:val="22"/>
              </w:rPr>
              <w:t>mile</w:t>
            </w:r>
          </w:p>
        </w:tc>
        <w:tc>
          <w:tcPr>
            <w:tcW w:w="1883" w:type="dxa"/>
            <w:shd w:val="clear" w:color="auto" w:fill="001F5F"/>
          </w:tcPr>
          <w:p>
            <w:pPr>
              <w:pStyle w:val="TableParagraph"/>
              <w:spacing w:line="250" w:lineRule="exact"/>
              <w:ind w:left="49" w:right="32"/>
              <w:rPr>
                <w:sz w:val="22"/>
              </w:rPr>
            </w:pPr>
            <w:r>
              <w:rPr>
                <w:color w:val="FFFFFF"/>
                <w:sz w:val="22"/>
              </w:rPr>
              <w:t>1</w:t>
            </w:r>
            <w:r>
              <w:rPr>
                <w:color w:val="FFFFFF"/>
                <w:spacing w:val="-2"/>
                <w:sz w:val="22"/>
              </w:rPr>
              <w:t> </w:t>
            </w:r>
            <w:r>
              <w:rPr>
                <w:color w:val="FFFFFF"/>
                <w:sz w:val="22"/>
              </w:rPr>
              <w:t>mile</w:t>
            </w:r>
            <w:r>
              <w:rPr>
                <w:color w:val="FFFFFF"/>
                <w:spacing w:val="-1"/>
                <w:sz w:val="22"/>
              </w:rPr>
              <w:t> </w:t>
            </w:r>
            <w:r>
              <w:rPr>
                <w:color w:val="FFFFFF"/>
                <w:sz w:val="22"/>
              </w:rPr>
              <w:t>and</w:t>
            </w:r>
            <w:r>
              <w:rPr>
                <w:color w:val="FFFFFF"/>
                <w:spacing w:val="-3"/>
                <w:sz w:val="22"/>
              </w:rPr>
              <w:t> </w:t>
            </w:r>
            <w:r>
              <w:rPr>
                <w:color w:val="FFFFFF"/>
                <w:sz w:val="22"/>
              </w:rPr>
              <w:t>up</w:t>
            </w:r>
            <w:r>
              <w:rPr>
                <w:color w:val="FFFFFF"/>
                <w:spacing w:val="-3"/>
                <w:sz w:val="22"/>
              </w:rPr>
              <w:t> </w:t>
            </w:r>
            <w:r>
              <w:rPr>
                <w:color w:val="FFFFFF"/>
                <w:sz w:val="22"/>
              </w:rPr>
              <w:t>to</w:t>
            </w:r>
            <w:r>
              <w:rPr>
                <w:color w:val="FFFFFF"/>
                <w:spacing w:val="-1"/>
                <w:sz w:val="22"/>
              </w:rPr>
              <w:t> </w:t>
            </w:r>
            <w:r>
              <w:rPr>
                <w:color w:val="FFFFFF"/>
                <w:spacing w:val="-10"/>
                <w:sz w:val="22"/>
              </w:rPr>
              <w:t>2</w:t>
            </w:r>
          </w:p>
          <w:p>
            <w:pPr>
              <w:pStyle w:val="TableParagraph"/>
              <w:spacing w:line="235" w:lineRule="exact" w:before="1"/>
              <w:ind w:left="46" w:right="34"/>
              <w:rPr>
                <w:sz w:val="22"/>
              </w:rPr>
            </w:pPr>
            <w:r>
              <w:rPr>
                <w:color w:val="FFFFFF"/>
                <w:spacing w:val="-2"/>
                <w:sz w:val="22"/>
              </w:rPr>
              <w:t>miles</w:t>
            </w:r>
          </w:p>
        </w:tc>
      </w:tr>
      <w:tr>
        <w:trPr>
          <w:trHeight w:val="359" w:hRule="atLeast"/>
        </w:trPr>
        <w:tc>
          <w:tcPr>
            <w:tcW w:w="4046" w:type="dxa"/>
            <w:shd w:val="clear" w:color="auto" w:fill="DBE4F0"/>
          </w:tcPr>
          <w:p>
            <w:pPr>
              <w:pStyle w:val="TableParagraph"/>
              <w:spacing w:before="49"/>
              <w:ind w:left="4"/>
              <w:jc w:val="left"/>
              <w:rPr>
                <w:sz w:val="22"/>
              </w:rPr>
            </w:pPr>
            <w:r>
              <w:rPr>
                <w:sz w:val="22"/>
              </w:rPr>
              <w:t>Qualifying</w:t>
            </w:r>
            <w:r>
              <w:rPr>
                <w:spacing w:val="-8"/>
                <w:sz w:val="22"/>
              </w:rPr>
              <w:t> </w:t>
            </w:r>
            <w:r>
              <w:rPr>
                <w:sz w:val="22"/>
              </w:rPr>
              <w:t>Medical</w:t>
            </w:r>
            <w:r>
              <w:rPr>
                <w:spacing w:val="-5"/>
                <w:sz w:val="22"/>
              </w:rPr>
              <w:t> </w:t>
            </w:r>
            <w:r>
              <w:rPr>
                <w:sz w:val="22"/>
              </w:rPr>
              <w:t>Clinic</w:t>
            </w:r>
            <w:r>
              <w:rPr>
                <w:spacing w:val="-3"/>
                <w:sz w:val="22"/>
              </w:rPr>
              <w:t> </w:t>
            </w:r>
            <w:r>
              <w:rPr>
                <w:sz w:val="22"/>
              </w:rPr>
              <w:t>or</w:t>
            </w:r>
            <w:r>
              <w:rPr>
                <w:spacing w:val="-6"/>
                <w:sz w:val="22"/>
              </w:rPr>
              <w:t> </w:t>
            </w:r>
            <w:r>
              <w:rPr>
                <w:spacing w:val="-2"/>
                <w:sz w:val="22"/>
              </w:rPr>
              <w:t>Hospital</w:t>
            </w:r>
          </w:p>
        </w:tc>
        <w:tc>
          <w:tcPr>
            <w:tcW w:w="1708" w:type="dxa"/>
          </w:tcPr>
          <w:p>
            <w:pPr>
              <w:pStyle w:val="TableParagraph"/>
              <w:spacing w:before="49"/>
              <w:ind w:left="9"/>
              <w:rPr>
                <w:sz w:val="22"/>
              </w:rPr>
            </w:pPr>
            <w:r>
              <w:rPr>
                <w:w w:val="100"/>
                <w:sz w:val="22"/>
              </w:rPr>
              <w:t>5</w:t>
            </w:r>
          </w:p>
        </w:tc>
        <w:tc>
          <w:tcPr>
            <w:tcW w:w="1696" w:type="dxa"/>
          </w:tcPr>
          <w:p>
            <w:pPr>
              <w:pStyle w:val="TableParagraph"/>
              <w:spacing w:before="49"/>
              <w:ind w:left="13"/>
              <w:rPr>
                <w:sz w:val="22"/>
              </w:rPr>
            </w:pPr>
            <w:r>
              <w:rPr>
                <w:w w:val="100"/>
                <w:sz w:val="22"/>
              </w:rPr>
              <w:t>2</w:t>
            </w:r>
          </w:p>
        </w:tc>
        <w:tc>
          <w:tcPr>
            <w:tcW w:w="1883" w:type="dxa"/>
          </w:tcPr>
          <w:p>
            <w:pPr>
              <w:pStyle w:val="TableParagraph"/>
              <w:spacing w:before="49"/>
              <w:ind w:left="14"/>
              <w:rPr>
                <w:sz w:val="22"/>
              </w:rPr>
            </w:pPr>
            <w:r>
              <w:rPr>
                <w:w w:val="100"/>
                <w:sz w:val="22"/>
              </w:rPr>
              <w:t>1</w:t>
            </w:r>
          </w:p>
        </w:tc>
      </w:tr>
      <w:tr>
        <w:trPr>
          <w:trHeight w:val="505" w:hRule="atLeast"/>
        </w:trPr>
        <w:tc>
          <w:tcPr>
            <w:tcW w:w="4046" w:type="dxa"/>
            <w:shd w:val="clear" w:color="auto" w:fill="001F5F"/>
          </w:tcPr>
          <w:p>
            <w:pPr>
              <w:pStyle w:val="TableParagraph"/>
              <w:spacing w:before="124"/>
              <w:ind w:left="1612" w:right="1603"/>
              <w:rPr>
                <w:sz w:val="22"/>
              </w:rPr>
            </w:pPr>
            <w:r>
              <w:rPr>
                <w:color w:val="FFFFFF"/>
                <w:spacing w:val="-2"/>
                <w:sz w:val="22"/>
              </w:rPr>
              <w:t>Amenity</w:t>
            </w:r>
          </w:p>
        </w:tc>
        <w:tc>
          <w:tcPr>
            <w:tcW w:w="1708" w:type="dxa"/>
            <w:shd w:val="clear" w:color="auto" w:fill="001F5F"/>
          </w:tcPr>
          <w:p>
            <w:pPr>
              <w:pStyle w:val="TableParagraph"/>
              <w:spacing w:line="250" w:lineRule="exact"/>
              <w:ind w:left="104" w:right="94"/>
              <w:rPr>
                <w:sz w:val="22"/>
              </w:rPr>
            </w:pPr>
            <w:r>
              <w:rPr>
                <w:color w:val="FFFFFF"/>
                <w:sz w:val="22"/>
              </w:rPr>
              <w:t>20</w:t>
            </w:r>
            <w:r>
              <w:rPr>
                <w:color w:val="FFFFFF"/>
                <w:spacing w:val="-4"/>
                <w:sz w:val="22"/>
              </w:rPr>
              <w:t> </w:t>
            </w:r>
            <w:r>
              <w:rPr>
                <w:color w:val="FFFFFF"/>
                <w:sz w:val="22"/>
              </w:rPr>
              <w:t>minutes</w:t>
            </w:r>
            <w:r>
              <w:rPr>
                <w:color w:val="FFFFFF"/>
                <w:spacing w:val="-2"/>
                <w:sz w:val="22"/>
              </w:rPr>
              <w:t> </w:t>
            </w:r>
            <w:r>
              <w:rPr>
                <w:color w:val="FFFFFF"/>
                <w:spacing w:val="-5"/>
                <w:sz w:val="22"/>
              </w:rPr>
              <w:t>or</w:t>
            </w:r>
          </w:p>
          <w:p>
            <w:pPr>
              <w:pStyle w:val="TableParagraph"/>
              <w:spacing w:line="235" w:lineRule="exact" w:before="1"/>
              <w:ind w:left="102" w:right="94"/>
              <w:rPr>
                <w:sz w:val="22"/>
              </w:rPr>
            </w:pPr>
            <w:r>
              <w:rPr>
                <w:color w:val="FFFFFF"/>
                <w:spacing w:val="-4"/>
                <w:sz w:val="22"/>
              </w:rPr>
              <w:t>less</w:t>
            </w:r>
          </w:p>
        </w:tc>
        <w:tc>
          <w:tcPr>
            <w:tcW w:w="1696" w:type="dxa"/>
            <w:shd w:val="clear" w:color="auto" w:fill="001F5F"/>
          </w:tcPr>
          <w:p>
            <w:pPr>
              <w:pStyle w:val="TableParagraph"/>
              <w:spacing w:line="250" w:lineRule="exact"/>
              <w:ind w:left="81" w:right="70"/>
              <w:rPr>
                <w:sz w:val="22"/>
              </w:rPr>
            </w:pPr>
            <w:r>
              <w:rPr>
                <w:color w:val="FFFFFF"/>
                <w:sz w:val="22"/>
              </w:rPr>
              <w:t>&gt;20</w:t>
            </w:r>
            <w:r>
              <w:rPr>
                <w:color w:val="FFFFFF"/>
                <w:spacing w:val="-4"/>
                <w:sz w:val="22"/>
              </w:rPr>
              <w:t> </w:t>
            </w:r>
            <w:r>
              <w:rPr>
                <w:color w:val="FFFFFF"/>
                <w:sz w:val="22"/>
              </w:rPr>
              <w:t>min.</w:t>
            </w:r>
            <w:r>
              <w:rPr>
                <w:color w:val="FFFFFF"/>
                <w:spacing w:val="-1"/>
                <w:sz w:val="22"/>
              </w:rPr>
              <w:t> </w:t>
            </w:r>
            <w:r>
              <w:rPr>
                <w:color w:val="FFFFFF"/>
                <w:sz w:val="22"/>
              </w:rPr>
              <w:t>and</w:t>
            </w:r>
            <w:r>
              <w:rPr>
                <w:color w:val="FFFFFF"/>
                <w:spacing w:val="-3"/>
                <w:sz w:val="22"/>
              </w:rPr>
              <w:t> </w:t>
            </w:r>
            <w:r>
              <w:rPr>
                <w:color w:val="FFFFFF"/>
                <w:spacing w:val="-10"/>
                <w:sz w:val="22"/>
              </w:rPr>
              <w:t>&lt;</w:t>
            </w:r>
          </w:p>
          <w:p>
            <w:pPr>
              <w:pStyle w:val="TableParagraph"/>
              <w:spacing w:line="235" w:lineRule="exact" w:before="1"/>
              <w:ind w:left="81" w:right="68"/>
              <w:rPr>
                <w:sz w:val="22"/>
              </w:rPr>
            </w:pPr>
            <w:r>
              <w:rPr>
                <w:color w:val="FFFFFF"/>
                <w:sz w:val="22"/>
              </w:rPr>
              <w:t>40</w:t>
            </w:r>
            <w:r>
              <w:rPr>
                <w:color w:val="FFFFFF"/>
                <w:spacing w:val="-1"/>
                <w:sz w:val="22"/>
              </w:rPr>
              <w:t> </w:t>
            </w:r>
            <w:r>
              <w:rPr>
                <w:color w:val="FFFFFF"/>
                <w:spacing w:val="-4"/>
                <w:sz w:val="22"/>
              </w:rPr>
              <w:t>min.</w:t>
            </w:r>
          </w:p>
        </w:tc>
        <w:tc>
          <w:tcPr>
            <w:tcW w:w="1883" w:type="dxa"/>
            <w:shd w:val="clear" w:color="auto" w:fill="001F5F"/>
          </w:tcPr>
          <w:p>
            <w:pPr>
              <w:pStyle w:val="TableParagraph"/>
              <w:spacing w:before="124"/>
              <w:ind w:left="49" w:right="34"/>
              <w:rPr>
                <w:sz w:val="22"/>
              </w:rPr>
            </w:pPr>
            <w:r>
              <w:rPr>
                <w:color w:val="FFFFFF"/>
                <w:sz w:val="22"/>
              </w:rPr>
              <w:t>More</w:t>
            </w:r>
            <w:r>
              <w:rPr>
                <w:color w:val="FFFFFF"/>
                <w:spacing w:val="-3"/>
                <w:sz w:val="22"/>
              </w:rPr>
              <w:t> </w:t>
            </w:r>
            <w:r>
              <w:rPr>
                <w:color w:val="FFFFFF"/>
                <w:sz w:val="22"/>
              </w:rPr>
              <w:t>than</w:t>
            </w:r>
            <w:r>
              <w:rPr>
                <w:color w:val="FFFFFF"/>
                <w:spacing w:val="-3"/>
                <w:sz w:val="22"/>
              </w:rPr>
              <w:t> </w:t>
            </w:r>
            <w:r>
              <w:rPr>
                <w:color w:val="FFFFFF"/>
                <w:sz w:val="22"/>
              </w:rPr>
              <w:t>40</w:t>
            </w:r>
            <w:r>
              <w:rPr>
                <w:color w:val="FFFFFF"/>
                <w:spacing w:val="-3"/>
                <w:sz w:val="22"/>
              </w:rPr>
              <w:t> </w:t>
            </w:r>
            <w:r>
              <w:rPr>
                <w:color w:val="FFFFFF"/>
                <w:spacing w:val="-4"/>
                <w:sz w:val="22"/>
              </w:rPr>
              <w:t>min.</w:t>
            </w:r>
          </w:p>
        </w:tc>
      </w:tr>
      <w:tr>
        <w:trPr>
          <w:trHeight w:val="254" w:hRule="atLeast"/>
        </w:trPr>
        <w:tc>
          <w:tcPr>
            <w:tcW w:w="4046" w:type="dxa"/>
            <w:shd w:val="clear" w:color="auto" w:fill="DBE4F0"/>
          </w:tcPr>
          <w:p>
            <w:pPr>
              <w:pStyle w:val="TableParagraph"/>
              <w:spacing w:line="234" w:lineRule="exact"/>
              <w:ind w:left="4"/>
              <w:jc w:val="left"/>
              <w:rPr>
                <w:sz w:val="22"/>
              </w:rPr>
            </w:pPr>
            <w:r>
              <w:rPr>
                <w:sz w:val="22"/>
              </w:rPr>
              <w:t>Transit</w:t>
            </w:r>
            <w:r>
              <w:rPr>
                <w:spacing w:val="-6"/>
                <w:sz w:val="22"/>
              </w:rPr>
              <w:t> </w:t>
            </w:r>
            <w:r>
              <w:rPr>
                <w:sz w:val="22"/>
              </w:rPr>
              <w:t>time</w:t>
            </w:r>
            <w:r>
              <w:rPr>
                <w:spacing w:val="-7"/>
                <w:sz w:val="22"/>
              </w:rPr>
              <w:t> </w:t>
            </w:r>
            <w:r>
              <w:rPr>
                <w:sz w:val="22"/>
              </w:rPr>
              <w:t>to</w:t>
            </w:r>
            <w:r>
              <w:rPr>
                <w:spacing w:val="-7"/>
                <w:sz w:val="22"/>
              </w:rPr>
              <w:t> </w:t>
            </w:r>
            <w:r>
              <w:rPr>
                <w:sz w:val="22"/>
              </w:rPr>
              <w:t>Major</w:t>
            </w:r>
            <w:r>
              <w:rPr>
                <w:spacing w:val="-3"/>
                <w:sz w:val="22"/>
              </w:rPr>
              <w:t> </w:t>
            </w:r>
            <w:r>
              <w:rPr>
                <w:sz w:val="22"/>
              </w:rPr>
              <w:t>Employment</w:t>
            </w:r>
            <w:r>
              <w:rPr>
                <w:spacing w:val="-5"/>
                <w:sz w:val="22"/>
              </w:rPr>
              <w:t> </w:t>
            </w:r>
            <w:r>
              <w:rPr>
                <w:spacing w:val="-2"/>
                <w:sz w:val="22"/>
              </w:rPr>
              <w:t>Center</w:t>
            </w:r>
          </w:p>
        </w:tc>
        <w:tc>
          <w:tcPr>
            <w:tcW w:w="1708" w:type="dxa"/>
          </w:tcPr>
          <w:p>
            <w:pPr>
              <w:pStyle w:val="TableParagraph"/>
              <w:spacing w:line="234" w:lineRule="exact"/>
              <w:ind w:left="9"/>
              <w:rPr>
                <w:sz w:val="22"/>
              </w:rPr>
            </w:pPr>
            <w:r>
              <w:rPr>
                <w:w w:val="100"/>
                <w:sz w:val="22"/>
              </w:rPr>
              <w:t>5</w:t>
            </w:r>
          </w:p>
        </w:tc>
        <w:tc>
          <w:tcPr>
            <w:tcW w:w="1696" w:type="dxa"/>
          </w:tcPr>
          <w:p>
            <w:pPr>
              <w:pStyle w:val="TableParagraph"/>
              <w:spacing w:line="234" w:lineRule="exact"/>
              <w:ind w:left="13"/>
              <w:rPr>
                <w:sz w:val="22"/>
              </w:rPr>
            </w:pPr>
            <w:r>
              <w:rPr>
                <w:w w:val="100"/>
                <w:sz w:val="22"/>
              </w:rPr>
              <w:t>2</w:t>
            </w:r>
          </w:p>
        </w:tc>
        <w:tc>
          <w:tcPr>
            <w:tcW w:w="1883" w:type="dxa"/>
          </w:tcPr>
          <w:p>
            <w:pPr>
              <w:pStyle w:val="TableParagraph"/>
              <w:spacing w:line="234" w:lineRule="exact"/>
              <w:ind w:left="14"/>
              <w:rPr>
                <w:sz w:val="22"/>
              </w:rPr>
            </w:pPr>
            <w:r>
              <w:rPr>
                <w:w w:val="100"/>
                <w:sz w:val="22"/>
              </w:rPr>
              <w:t>0</w:t>
            </w:r>
          </w:p>
        </w:tc>
      </w:tr>
    </w:tbl>
    <w:p>
      <w:pPr>
        <w:pStyle w:val="BodyText"/>
        <w:spacing w:before="5"/>
      </w:pPr>
    </w:p>
    <w:p>
      <w:pPr>
        <w:pStyle w:val="Heading5"/>
        <w:spacing w:before="1"/>
      </w:pPr>
      <w:r>
        <w:rPr/>
        <w:pict>
          <v:shape style="position:absolute;margin-left:90.065002pt;margin-top:-76.461792pt;width:316.5pt;height:355.3pt;mso-position-horizontal-relative:page;mso-position-vertical-relative:paragraph;z-index:-17694208" id="docshape102" coordorigin="1801,-1529" coordsize="6330,7106" path="m4498,4461l4492,4388,4477,4310,4455,4227,4432,4158,4403,4086,4367,4011,4325,3933,4276,3852,4237,3793,4200,3742,4200,4428,4197,4484,4186,4541,4167,4599,4138,4658,4097,4721,4044,4787,3979,4856,3674,5162,2216,3704,2517,3403,2598,3327,2672,3267,2740,3224,2801,3197,2868,3183,2941,3179,3020,3185,3105,3203,3195,3232,3255,3258,3317,3290,3380,3329,3446,3374,3514,3426,3584,3484,3656,3549,3729,3620,3789,3681,3845,3741,3896,3801,3943,3858,3986,3915,4025,3970,4059,4024,4101,4099,4136,4171,4163,4241,4183,4307,4196,4372,4200,4428,4200,3742,4194,3733,4148,3673,4098,3613,4045,3552,3989,3490,3929,3429,3865,3366,3801,3308,3737,3253,3673,3201,3643,3179,3609,3153,3546,3109,3482,3068,3419,3030,3346,2992,3274,2960,3203,2933,3132,2911,3062,2894,2992,2882,2923,2874,2850,2873,2779,2880,2709,2894,2642,2917,2577,2948,2528,2976,2476,3013,2420,3059,2359,3113,2294,3175,1801,3668,3710,5577,4124,5162,4226,5060,4287,4995,4341,4930,4386,4864,4424,4797,4454,4731,4476,4664,4491,4597,4498,4530,4498,4461xm6418,2868l6056,2740,5650,2598,5561,2568,5475,2544,5393,2525,5365,2520,5314,2511,5239,2501,5193,2499,5143,2502,5089,2509,5030,2520,5073,2450,5109,2381,5136,2312,5154,2243,5164,2174,5165,2106,5157,2038,5139,1960,5111,1884,5075,1810,5030,1737,4976,1666,4956,1643,4913,1598,4872,1559,4872,2117,4868,2172,4854,2227,4830,2284,4794,2342,4747,2403,4687,2467,4280,2874,3649,2243,4102,1790,4166,1733,4229,1689,4293,1660,4358,1645,4422,1643,4501,1659,4577,1688,4649,1733,4718,1793,4761,1840,4797,1891,4827,1945,4851,2001,4867,2060,4872,2117,4872,1559,4849,1538,4782,1485,4713,1440,4641,1401,4566,1369,4474,1341,4386,1328,4303,1330,4225,1346,4163,1371,4098,1408,4030,1456,3958,1516,3883,1587,3248,2221,5157,4129,5346,3940,4499,3093,4718,2874,4753,2839,4783,2812,4810,2791,4833,2777,4863,2763,4896,2752,4932,2745,4971,2740,5014,2740,5066,2746,5125,2756,5194,2772,5256,2790,5328,2811,5407,2836,5496,2865,6180,3106,6418,2868xm7780,1506l7415,1311,6555,857,6555,1164,6070,1649,6030,1577,5989,1506,5748,1075,5708,1003,5668,932,5629,866,5590,802,5550,738,5509,675,5467,612,5424,551,5380,490,5436,526,5498,564,5564,604,5635,646,5792,736,6555,1164,6555,857,5862,490,5286,183,5082,387,5277,738,5316,808,5701,1506,6207,2425,6441,2845,6642,2644,6565,2511,6298,2043,6221,1909,6481,1649,6820,1311,7173,1506,7565,1722,7780,1506xm8131,1155l7264,288,7936,-383,7711,-609,7039,63,6448,-528,7224,-1304,6999,-1529,6033,-564,7941,1345,8131,1155xe" filled="true" fillcolor="#c0c0c0" stroked="false">
            <v:path arrowok="t"/>
            <v:fill opacity="32896f" type="solid"/>
            <w10:wrap type="none"/>
          </v:shape>
        </w:pict>
      </w:r>
      <w:r>
        <w:rPr/>
        <w:t>Resident</w:t>
      </w:r>
      <w:r>
        <w:rPr>
          <w:spacing w:val="-4"/>
        </w:rPr>
        <w:t> </w:t>
      </w:r>
      <w:r>
        <w:rPr/>
        <w:t>Services</w:t>
      </w:r>
      <w:r>
        <w:rPr>
          <w:spacing w:val="-7"/>
        </w:rPr>
        <w:t> </w:t>
      </w:r>
      <w:r>
        <w:rPr/>
        <w:t>(Maximum</w:t>
      </w:r>
      <w:r>
        <w:rPr>
          <w:spacing w:val="-5"/>
        </w:rPr>
        <w:t> </w:t>
      </w:r>
      <w:r>
        <w:rPr/>
        <w:t>of</w:t>
      </w:r>
      <w:r>
        <w:rPr>
          <w:spacing w:val="-3"/>
        </w:rPr>
        <w:t> </w:t>
      </w:r>
      <w:r>
        <w:rPr/>
        <w:t>25</w:t>
      </w:r>
      <w:r>
        <w:rPr>
          <w:spacing w:val="-7"/>
        </w:rPr>
        <w:t> </w:t>
      </w:r>
      <w:r>
        <w:rPr>
          <w:spacing w:val="-2"/>
        </w:rPr>
        <w:t>points)</w:t>
      </w:r>
    </w:p>
    <w:p>
      <w:pPr>
        <w:spacing w:before="51"/>
        <w:ind w:left="120" w:right="156" w:firstLine="0"/>
        <w:jc w:val="both"/>
        <w:rPr>
          <w:i/>
          <w:sz w:val="22"/>
        </w:rPr>
      </w:pPr>
      <w:r>
        <w:rPr>
          <w:i/>
          <w:sz w:val="22"/>
        </w:rPr>
        <w:t>Note: The list of potential resident services is derived from, but not identical to, the QAP, as</w:t>
      </w:r>
      <w:r>
        <w:rPr>
          <w:i/>
          <w:sz w:val="22"/>
        </w:rPr>
        <w:t> amended. The services outlined in the table below are shorthand descriptions, but the City will use</w:t>
      </w:r>
      <w:r>
        <w:rPr>
          <w:i/>
          <w:spacing w:val="-5"/>
          <w:sz w:val="22"/>
        </w:rPr>
        <w:t> </w:t>
      </w:r>
      <w:r>
        <w:rPr>
          <w:i/>
          <w:sz w:val="22"/>
        </w:rPr>
        <w:t>the</w:t>
      </w:r>
      <w:r>
        <w:rPr>
          <w:i/>
          <w:spacing w:val="-5"/>
          <w:sz w:val="22"/>
        </w:rPr>
        <w:t> </w:t>
      </w:r>
      <w:r>
        <w:rPr>
          <w:i/>
          <w:sz w:val="22"/>
        </w:rPr>
        <w:t>same</w:t>
      </w:r>
      <w:r>
        <w:rPr>
          <w:i/>
          <w:spacing w:val="-7"/>
          <w:sz w:val="22"/>
        </w:rPr>
        <w:t> </w:t>
      </w:r>
      <w:r>
        <w:rPr>
          <w:i/>
          <w:sz w:val="22"/>
        </w:rPr>
        <w:t>definitions</w:t>
      </w:r>
      <w:r>
        <w:rPr>
          <w:i/>
          <w:spacing w:val="-9"/>
          <w:sz w:val="22"/>
        </w:rPr>
        <w:t> </w:t>
      </w:r>
      <w:r>
        <w:rPr>
          <w:i/>
          <w:sz w:val="22"/>
        </w:rPr>
        <w:t>and</w:t>
      </w:r>
      <w:r>
        <w:rPr>
          <w:i/>
          <w:spacing w:val="-5"/>
          <w:sz w:val="22"/>
        </w:rPr>
        <w:t> </w:t>
      </w:r>
      <w:r>
        <w:rPr>
          <w:i/>
          <w:sz w:val="22"/>
        </w:rPr>
        <w:t>requirements</w:t>
      </w:r>
      <w:r>
        <w:rPr>
          <w:i/>
          <w:spacing w:val="-7"/>
          <w:sz w:val="22"/>
        </w:rPr>
        <w:t> </w:t>
      </w:r>
      <w:r>
        <w:rPr>
          <w:i/>
          <w:sz w:val="22"/>
        </w:rPr>
        <w:t>for</w:t>
      </w:r>
      <w:r>
        <w:rPr>
          <w:i/>
          <w:spacing w:val="-4"/>
          <w:sz w:val="22"/>
        </w:rPr>
        <w:t> </w:t>
      </w:r>
      <w:r>
        <w:rPr>
          <w:i/>
          <w:sz w:val="22"/>
        </w:rPr>
        <w:t>each</w:t>
      </w:r>
      <w:r>
        <w:rPr>
          <w:i/>
          <w:spacing w:val="-5"/>
          <w:sz w:val="22"/>
        </w:rPr>
        <w:t> </w:t>
      </w:r>
      <w:r>
        <w:rPr>
          <w:i/>
          <w:sz w:val="22"/>
        </w:rPr>
        <w:t>service</w:t>
      </w:r>
      <w:r>
        <w:rPr>
          <w:i/>
          <w:spacing w:val="-5"/>
          <w:sz w:val="22"/>
        </w:rPr>
        <w:t> </w:t>
      </w:r>
      <w:r>
        <w:rPr>
          <w:i/>
          <w:sz w:val="22"/>
        </w:rPr>
        <w:t>as</w:t>
      </w:r>
      <w:r>
        <w:rPr>
          <w:i/>
          <w:spacing w:val="-7"/>
          <w:sz w:val="22"/>
        </w:rPr>
        <w:t> </w:t>
      </w:r>
      <w:r>
        <w:rPr>
          <w:i/>
          <w:sz w:val="22"/>
        </w:rPr>
        <w:t>outlined</w:t>
      </w:r>
      <w:r>
        <w:rPr>
          <w:i/>
          <w:spacing w:val="-5"/>
          <w:sz w:val="22"/>
        </w:rPr>
        <w:t> </w:t>
      </w:r>
      <w:r>
        <w:rPr>
          <w:i/>
          <w:sz w:val="22"/>
        </w:rPr>
        <w:t>in</w:t>
      </w:r>
      <w:r>
        <w:rPr>
          <w:i/>
          <w:spacing w:val="-8"/>
          <w:sz w:val="22"/>
        </w:rPr>
        <w:t> </w:t>
      </w:r>
      <w:r>
        <w:rPr>
          <w:i/>
          <w:sz w:val="22"/>
        </w:rPr>
        <w:t>the</w:t>
      </w:r>
      <w:r>
        <w:rPr>
          <w:i/>
          <w:spacing w:val="-5"/>
          <w:sz w:val="22"/>
        </w:rPr>
        <w:t> </w:t>
      </w:r>
      <w:r>
        <w:rPr>
          <w:i/>
          <w:sz w:val="22"/>
        </w:rPr>
        <w:t>QAP,</w:t>
      </w:r>
      <w:r>
        <w:rPr>
          <w:i/>
          <w:spacing w:val="-4"/>
          <w:sz w:val="22"/>
        </w:rPr>
        <w:t> </w:t>
      </w:r>
      <w:r>
        <w:rPr>
          <w:i/>
          <w:sz w:val="22"/>
        </w:rPr>
        <w:t>as</w:t>
      </w:r>
      <w:r>
        <w:rPr>
          <w:i/>
          <w:spacing w:val="-5"/>
          <w:sz w:val="22"/>
        </w:rPr>
        <w:t> </w:t>
      </w:r>
      <w:r>
        <w:rPr>
          <w:i/>
          <w:sz w:val="22"/>
        </w:rPr>
        <w:t>amended. For</w:t>
      </w:r>
      <w:r>
        <w:rPr>
          <w:i/>
          <w:spacing w:val="-3"/>
          <w:sz w:val="22"/>
        </w:rPr>
        <w:t> </w:t>
      </w:r>
      <w:r>
        <w:rPr>
          <w:i/>
          <w:sz w:val="22"/>
        </w:rPr>
        <w:t>purposes</w:t>
      </w:r>
      <w:r>
        <w:rPr>
          <w:i/>
          <w:spacing w:val="-6"/>
          <w:sz w:val="22"/>
        </w:rPr>
        <w:t> </w:t>
      </w:r>
      <w:r>
        <w:rPr>
          <w:i/>
          <w:sz w:val="22"/>
        </w:rPr>
        <w:t>of</w:t>
      </w:r>
      <w:r>
        <w:rPr>
          <w:i/>
          <w:spacing w:val="-5"/>
          <w:sz w:val="22"/>
        </w:rPr>
        <w:t> </w:t>
      </w:r>
      <w:r>
        <w:rPr>
          <w:i/>
          <w:sz w:val="22"/>
        </w:rPr>
        <w:t>this</w:t>
      </w:r>
      <w:r>
        <w:rPr>
          <w:i/>
          <w:spacing w:val="-6"/>
          <w:sz w:val="22"/>
        </w:rPr>
        <w:t> </w:t>
      </w:r>
      <w:r>
        <w:rPr>
          <w:i/>
          <w:sz w:val="22"/>
        </w:rPr>
        <w:t>section,</w:t>
      </w:r>
      <w:r>
        <w:rPr>
          <w:i/>
          <w:spacing w:val="-3"/>
          <w:sz w:val="22"/>
        </w:rPr>
        <w:t> </w:t>
      </w:r>
      <w:r>
        <w:rPr>
          <w:i/>
          <w:sz w:val="22"/>
        </w:rPr>
        <w:t>however,</w:t>
      </w:r>
      <w:r>
        <w:rPr>
          <w:i/>
          <w:spacing w:val="-5"/>
          <w:sz w:val="22"/>
        </w:rPr>
        <w:t> </w:t>
      </w:r>
      <w:r>
        <w:rPr>
          <w:i/>
          <w:sz w:val="22"/>
        </w:rPr>
        <w:t>the</w:t>
      </w:r>
      <w:r>
        <w:rPr>
          <w:i/>
          <w:spacing w:val="-6"/>
          <w:sz w:val="22"/>
        </w:rPr>
        <w:t> </w:t>
      </w:r>
      <w:r>
        <w:rPr>
          <w:i/>
          <w:sz w:val="22"/>
        </w:rPr>
        <w:t>City</w:t>
      </w:r>
      <w:r>
        <w:rPr>
          <w:i/>
          <w:spacing w:val="-6"/>
          <w:sz w:val="22"/>
        </w:rPr>
        <w:t> </w:t>
      </w:r>
      <w:r>
        <w:rPr>
          <w:i/>
          <w:sz w:val="22"/>
        </w:rPr>
        <w:t>will</w:t>
      </w:r>
      <w:r>
        <w:rPr>
          <w:i/>
          <w:spacing w:val="-2"/>
          <w:sz w:val="22"/>
        </w:rPr>
        <w:t> </w:t>
      </w:r>
      <w:r>
        <w:rPr>
          <w:i/>
          <w:sz w:val="22"/>
        </w:rPr>
        <w:t>use</w:t>
      </w:r>
      <w:r>
        <w:rPr>
          <w:i/>
          <w:spacing w:val="-4"/>
          <w:sz w:val="22"/>
        </w:rPr>
        <w:t> </w:t>
      </w:r>
      <w:r>
        <w:rPr>
          <w:i/>
          <w:sz w:val="22"/>
        </w:rPr>
        <w:t>its</w:t>
      </w:r>
      <w:r>
        <w:rPr>
          <w:i/>
          <w:spacing w:val="-4"/>
          <w:sz w:val="22"/>
        </w:rPr>
        <w:t> </w:t>
      </w:r>
      <w:r>
        <w:rPr>
          <w:i/>
          <w:sz w:val="22"/>
        </w:rPr>
        <w:t>own</w:t>
      </w:r>
      <w:r>
        <w:rPr>
          <w:i/>
          <w:spacing w:val="-6"/>
          <w:sz w:val="22"/>
        </w:rPr>
        <w:t> </w:t>
      </w:r>
      <w:r>
        <w:rPr>
          <w:i/>
          <w:sz w:val="22"/>
        </w:rPr>
        <w:t>scoring</w:t>
      </w:r>
      <w:r>
        <w:rPr>
          <w:i/>
          <w:spacing w:val="-6"/>
          <w:sz w:val="22"/>
        </w:rPr>
        <w:t> </w:t>
      </w:r>
      <w:r>
        <w:rPr>
          <w:i/>
          <w:sz w:val="22"/>
        </w:rPr>
        <w:t>criteria</w:t>
      </w:r>
      <w:r>
        <w:rPr>
          <w:i/>
          <w:spacing w:val="-4"/>
          <w:sz w:val="22"/>
        </w:rPr>
        <w:t> </w:t>
      </w:r>
      <w:r>
        <w:rPr>
          <w:i/>
          <w:sz w:val="22"/>
        </w:rPr>
        <w:t>to</w:t>
      </w:r>
      <w:r>
        <w:rPr>
          <w:i/>
          <w:spacing w:val="-6"/>
          <w:sz w:val="22"/>
        </w:rPr>
        <w:t> </w:t>
      </w:r>
      <w:r>
        <w:rPr>
          <w:i/>
          <w:sz w:val="22"/>
        </w:rPr>
        <w:t>award</w:t>
      </w:r>
      <w:r>
        <w:rPr>
          <w:i/>
          <w:spacing w:val="-6"/>
          <w:sz w:val="22"/>
        </w:rPr>
        <w:t> </w:t>
      </w:r>
      <w:r>
        <w:rPr>
          <w:i/>
          <w:sz w:val="22"/>
        </w:rPr>
        <w:t>points.</w:t>
      </w:r>
      <w:r>
        <w:rPr>
          <w:i/>
          <w:spacing w:val="-5"/>
          <w:sz w:val="22"/>
        </w:rPr>
        <w:t> </w:t>
      </w:r>
      <w:r>
        <w:rPr>
          <w:i/>
          <w:sz w:val="22"/>
        </w:rPr>
        <w:t>In some cases, the points available may vary from those awarded under the QAP, as amended. Additionally, the total points available are not capped in the City’s scoring rubric in the same manner</w:t>
      </w:r>
      <w:r>
        <w:rPr>
          <w:i/>
          <w:spacing w:val="-5"/>
          <w:sz w:val="22"/>
        </w:rPr>
        <w:t> </w:t>
      </w:r>
      <w:r>
        <w:rPr>
          <w:i/>
          <w:sz w:val="22"/>
        </w:rPr>
        <w:t>as</w:t>
      </w:r>
      <w:r>
        <w:rPr>
          <w:i/>
          <w:spacing w:val="-8"/>
          <w:sz w:val="22"/>
        </w:rPr>
        <w:t> </w:t>
      </w:r>
      <w:r>
        <w:rPr>
          <w:i/>
          <w:sz w:val="22"/>
        </w:rPr>
        <w:t>they</w:t>
      </w:r>
      <w:r>
        <w:rPr>
          <w:i/>
          <w:spacing w:val="-6"/>
          <w:sz w:val="22"/>
        </w:rPr>
        <w:t> </w:t>
      </w:r>
      <w:r>
        <w:rPr>
          <w:i/>
          <w:sz w:val="22"/>
        </w:rPr>
        <w:t>are</w:t>
      </w:r>
      <w:r>
        <w:rPr>
          <w:i/>
          <w:spacing w:val="-6"/>
          <w:sz w:val="22"/>
        </w:rPr>
        <w:t> </w:t>
      </w:r>
      <w:r>
        <w:rPr>
          <w:i/>
          <w:sz w:val="22"/>
        </w:rPr>
        <w:t>for</w:t>
      </w:r>
      <w:r>
        <w:rPr>
          <w:i/>
          <w:spacing w:val="-5"/>
          <w:sz w:val="22"/>
        </w:rPr>
        <w:t> </w:t>
      </w:r>
      <w:r>
        <w:rPr>
          <w:i/>
          <w:sz w:val="22"/>
        </w:rPr>
        <w:t>the</w:t>
      </w:r>
      <w:r>
        <w:rPr>
          <w:i/>
          <w:spacing w:val="-7"/>
          <w:sz w:val="22"/>
        </w:rPr>
        <w:t> </w:t>
      </w:r>
      <w:r>
        <w:rPr>
          <w:i/>
          <w:sz w:val="22"/>
        </w:rPr>
        <w:t>QAP,</w:t>
      </w:r>
      <w:r>
        <w:rPr>
          <w:i/>
          <w:spacing w:val="-5"/>
          <w:sz w:val="22"/>
        </w:rPr>
        <w:t> </w:t>
      </w:r>
      <w:r>
        <w:rPr>
          <w:i/>
          <w:sz w:val="22"/>
        </w:rPr>
        <w:t>as</w:t>
      </w:r>
      <w:r>
        <w:rPr>
          <w:i/>
          <w:spacing w:val="-6"/>
          <w:sz w:val="22"/>
        </w:rPr>
        <w:t> </w:t>
      </w:r>
      <w:r>
        <w:rPr>
          <w:i/>
          <w:sz w:val="22"/>
        </w:rPr>
        <w:t>amended.</w:t>
      </w:r>
      <w:r>
        <w:rPr>
          <w:i/>
          <w:spacing w:val="-5"/>
          <w:sz w:val="22"/>
        </w:rPr>
        <w:t> </w:t>
      </w:r>
      <w:r>
        <w:rPr>
          <w:i/>
          <w:sz w:val="22"/>
        </w:rPr>
        <w:t>City</w:t>
      </w:r>
      <w:r>
        <w:rPr>
          <w:i/>
          <w:spacing w:val="-4"/>
          <w:sz w:val="22"/>
        </w:rPr>
        <w:t> </w:t>
      </w:r>
      <w:r>
        <w:rPr>
          <w:i/>
          <w:sz w:val="22"/>
        </w:rPr>
        <w:t>Manager</w:t>
      </w:r>
      <w:r>
        <w:rPr>
          <w:i/>
          <w:spacing w:val="-5"/>
          <w:sz w:val="22"/>
        </w:rPr>
        <w:t> </w:t>
      </w:r>
      <w:r>
        <w:rPr>
          <w:i/>
          <w:sz w:val="22"/>
        </w:rPr>
        <w:t>or</w:t>
      </w:r>
      <w:r>
        <w:rPr>
          <w:i/>
          <w:spacing w:val="-5"/>
          <w:sz w:val="22"/>
        </w:rPr>
        <w:t> </w:t>
      </w:r>
      <w:r>
        <w:rPr>
          <w:i/>
          <w:sz w:val="22"/>
        </w:rPr>
        <w:t>designee</w:t>
      </w:r>
      <w:r>
        <w:rPr>
          <w:i/>
          <w:spacing w:val="-9"/>
          <w:sz w:val="22"/>
        </w:rPr>
        <w:t> </w:t>
      </w:r>
      <w:r>
        <w:rPr>
          <w:i/>
          <w:sz w:val="22"/>
        </w:rPr>
        <w:t>may</w:t>
      </w:r>
      <w:r>
        <w:rPr>
          <w:i/>
          <w:spacing w:val="-6"/>
          <w:sz w:val="22"/>
        </w:rPr>
        <w:t> </w:t>
      </w:r>
      <w:r>
        <w:rPr>
          <w:i/>
          <w:sz w:val="22"/>
        </w:rPr>
        <w:t>amend</w:t>
      </w:r>
      <w:r>
        <w:rPr>
          <w:i/>
          <w:spacing w:val="-9"/>
          <w:sz w:val="22"/>
        </w:rPr>
        <w:t> </w:t>
      </w:r>
      <w:r>
        <w:rPr>
          <w:i/>
          <w:sz w:val="22"/>
        </w:rPr>
        <w:t>the</w:t>
      </w:r>
      <w:r>
        <w:rPr>
          <w:i/>
          <w:spacing w:val="-6"/>
          <w:sz w:val="22"/>
        </w:rPr>
        <w:t> </w:t>
      </w:r>
      <w:r>
        <w:rPr>
          <w:i/>
          <w:sz w:val="22"/>
        </w:rPr>
        <w:t>service descriptions categories and point allocations on an annual basis based on the annually updated QAP. The maximum points allocated to Resident Services will remain the same (25 points).</w:t>
      </w:r>
    </w:p>
    <w:p>
      <w:pPr>
        <w:spacing w:after="0"/>
        <w:jc w:val="both"/>
        <w:rPr>
          <w:sz w:val="22"/>
        </w:rPr>
        <w:sectPr>
          <w:pgSz w:w="12240" w:h="15840"/>
          <w:pgMar w:header="0" w:footer="1176" w:top="1360" w:bottom="1420" w:left="1320" w:right="1280"/>
        </w:sectPr>
      </w:pPr>
    </w:p>
    <w:tbl>
      <w:tblPr>
        <w:tblW w:w="0" w:type="auto"/>
        <w:jc w:val="left"/>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6456"/>
        <w:gridCol w:w="1562"/>
        <w:gridCol w:w="1332"/>
      </w:tblGrid>
      <w:tr>
        <w:trPr>
          <w:trHeight w:val="1012" w:hRule="atLeast"/>
        </w:trPr>
        <w:tc>
          <w:tcPr>
            <w:tcW w:w="6456" w:type="dxa"/>
          </w:tcPr>
          <w:p>
            <w:pPr>
              <w:pStyle w:val="TableParagraph"/>
              <w:ind w:left="0"/>
              <w:jc w:val="left"/>
              <w:rPr>
                <w:rFonts w:ascii="Times New Roman"/>
                <w:sz w:val="22"/>
              </w:rPr>
            </w:pPr>
          </w:p>
        </w:tc>
        <w:tc>
          <w:tcPr>
            <w:tcW w:w="1562" w:type="dxa"/>
          </w:tcPr>
          <w:p>
            <w:pPr>
              <w:pStyle w:val="TableParagraph"/>
              <w:ind w:left="0"/>
              <w:jc w:val="left"/>
              <w:rPr>
                <w:rFonts w:ascii="Times New Roman"/>
                <w:sz w:val="22"/>
              </w:rPr>
            </w:pPr>
          </w:p>
        </w:tc>
        <w:tc>
          <w:tcPr>
            <w:tcW w:w="1332" w:type="dxa"/>
          </w:tcPr>
          <w:p>
            <w:pPr>
              <w:pStyle w:val="TableParagraph"/>
              <w:ind w:left="0"/>
              <w:jc w:val="left"/>
              <w:rPr>
                <w:rFonts w:ascii="Times New Roman"/>
                <w:sz w:val="22"/>
              </w:rPr>
            </w:pPr>
          </w:p>
        </w:tc>
      </w:tr>
      <w:tr>
        <w:trPr>
          <w:trHeight w:val="251" w:hRule="atLeast"/>
        </w:trPr>
        <w:tc>
          <w:tcPr>
            <w:tcW w:w="9350" w:type="dxa"/>
            <w:gridSpan w:val="3"/>
          </w:tcPr>
          <w:p>
            <w:pPr>
              <w:pStyle w:val="TableParagraph"/>
              <w:spacing w:line="232" w:lineRule="exact"/>
              <w:ind w:left="3507" w:right="3496"/>
              <w:rPr>
                <w:sz w:val="22"/>
              </w:rPr>
            </w:pPr>
            <w:r>
              <w:rPr>
                <w:sz w:val="22"/>
              </w:rPr>
              <w:t>Transportation</w:t>
            </w:r>
            <w:r>
              <w:rPr>
                <w:spacing w:val="-11"/>
                <w:sz w:val="22"/>
              </w:rPr>
              <w:t> </w:t>
            </w:r>
            <w:r>
              <w:rPr>
                <w:spacing w:val="-2"/>
                <w:sz w:val="22"/>
              </w:rPr>
              <w:t>Services</w:t>
            </w:r>
          </w:p>
        </w:tc>
      </w:tr>
      <w:tr>
        <w:trPr>
          <w:trHeight w:val="760" w:hRule="atLeast"/>
        </w:trPr>
        <w:tc>
          <w:tcPr>
            <w:tcW w:w="6456" w:type="dxa"/>
          </w:tcPr>
          <w:p>
            <w:pPr>
              <w:pStyle w:val="TableParagraph"/>
              <w:spacing w:line="252" w:lineRule="exact"/>
              <w:jc w:val="left"/>
              <w:rPr>
                <w:sz w:val="22"/>
              </w:rPr>
            </w:pPr>
            <w:r>
              <w:rPr>
                <w:sz w:val="22"/>
              </w:rPr>
              <w:t>Min. 3x/week shuttle to grocery/pharmacy or big-box retail; OR daily</w:t>
            </w:r>
            <w:r>
              <w:rPr>
                <w:spacing w:val="-2"/>
                <w:sz w:val="22"/>
              </w:rPr>
              <w:t> </w:t>
            </w:r>
            <w:r>
              <w:rPr>
                <w:sz w:val="22"/>
              </w:rPr>
              <w:t>shuttle</w:t>
            </w:r>
            <w:r>
              <w:rPr>
                <w:spacing w:val="-3"/>
                <w:sz w:val="22"/>
              </w:rPr>
              <w:t> </w:t>
            </w:r>
            <w:r>
              <w:rPr>
                <w:sz w:val="22"/>
              </w:rPr>
              <w:t>during</w:t>
            </w:r>
            <w:r>
              <w:rPr>
                <w:spacing w:val="-3"/>
                <w:sz w:val="22"/>
              </w:rPr>
              <w:t> </w:t>
            </w:r>
            <w:r>
              <w:rPr>
                <w:sz w:val="22"/>
              </w:rPr>
              <w:t>school</w:t>
            </w:r>
            <w:r>
              <w:rPr>
                <w:spacing w:val="-3"/>
                <w:sz w:val="22"/>
              </w:rPr>
              <w:t> </w:t>
            </w:r>
            <w:r>
              <w:rPr>
                <w:sz w:val="22"/>
              </w:rPr>
              <w:t>year</w:t>
            </w:r>
            <w:r>
              <w:rPr>
                <w:spacing w:val="-4"/>
                <w:sz w:val="22"/>
              </w:rPr>
              <w:t> </w:t>
            </w:r>
            <w:r>
              <w:rPr>
                <w:sz w:val="22"/>
              </w:rPr>
              <w:t>to</w:t>
            </w:r>
            <w:r>
              <w:rPr>
                <w:spacing w:val="-3"/>
                <w:sz w:val="22"/>
              </w:rPr>
              <w:t> </w:t>
            </w:r>
            <w:r>
              <w:rPr>
                <w:sz w:val="22"/>
              </w:rPr>
              <w:t>nearby</w:t>
            </w:r>
            <w:r>
              <w:rPr>
                <w:spacing w:val="-5"/>
                <w:sz w:val="22"/>
              </w:rPr>
              <w:t> </w:t>
            </w:r>
            <w:r>
              <w:rPr>
                <w:sz w:val="22"/>
              </w:rPr>
              <w:t>schools</w:t>
            </w:r>
            <w:r>
              <w:rPr>
                <w:spacing w:val="-5"/>
                <w:sz w:val="22"/>
              </w:rPr>
              <w:t> </w:t>
            </w:r>
            <w:r>
              <w:rPr>
                <w:sz w:val="22"/>
              </w:rPr>
              <w:t>not</w:t>
            </w:r>
            <w:r>
              <w:rPr>
                <w:spacing w:val="-4"/>
                <w:sz w:val="22"/>
              </w:rPr>
              <w:t> </w:t>
            </w:r>
            <w:r>
              <w:rPr>
                <w:sz w:val="22"/>
              </w:rPr>
              <w:t>served</w:t>
            </w:r>
            <w:r>
              <w:rPr>
                <w:spacing w:val="-5"/>
                <w:sz w:val="22"/>
              </w:rPr>
              <w:t> </w:t>
            </w:r>
            <w:r>
              <w:rPr>
                <w:sz w:val="22"/>
              </w:rPr>
              <w:t>by school bus system</w:t>
            </w:r>
          </w:p>
        </w:tc>
        <w:tc>
          <w:tcPr>
            <w:tcW w:w="1562" w:type="dxa"/>
          </w:tcPr>
          <w:p>
            <w:pPr>
              <w:pStyle w:val="TableParagraph"/>
              <w:spacing w:before="2"/>
              <w:ind w:left="0" w:right="523"/>
              <w:jc w:val="right"/>
              <w:rPr>
                <w:sz w:val="22"/>
              </w:rPr>
            </w:pPr>
            <w:r>
              <w:rPr>
                <w:spacing w:val="-2"/>
                <w:sz w:val="22"/>
              </w:rPr>
              <w:t>(A)(i)</w:t>
            </w:r>
          </w:p>
        </w:tc>
        <w:tc>
          <w:tcPr>
            <w:tcW w:w="1332" w:type="dxa"/>
          </w:tcPr>
          <w:p>
            <w:pPr>
              <w:pStyle w:val="TableParagraph"/>
              <w:spacing w:before="2"/>
              <w:ind w:left="502" w:right="489"/>
              <w:rPr>
                <w:sz w:val="22"/>
              </w:rPr>
            </w:pPr>
            <w:r>
              <w:rPr>
                <w:spacing w:val="-5"/>
                <w:sz w:val="22"/>
              </w:rPr>
              <w:t>3.5</w:t>
            </w:r>
          </w:p>
        </w:tc>
      </w:tr>
      <w:tr>
        <w:trPr>
          <w:trHeight w:val="251" w:hRule="atLeast"/>
        </w:trPr>
        <w:tc>
          <w:tcPr>
            <w:tcW w:w="6456" w:type="dxa"/>
          </w:tcPr>
          <w:p>
            <w:pPr>
              <w:pStyle w:val="TableParagraph"/>
              <w:spacing w:line="232" w:lineRule="exact"/>
              <w:jc w:val="left"/>
              <w:rPr>
                <w:sz w:val="22"/>
              </w:rPr>
            </w:pPr>
            <w:r>
              <w:rPr>
                <w:sz w:val="22"/>
              </w:rPr>
              <w:t>Monthly</w:t>
            </w:r>
            <w:r>
              <w:rPr>
                <w:spacing w:val="-10"/>
                <w:sz w:val="22"/>
              </w:rPr>
              <w:t> </w:t>
            </w:r>
            <w:r>
              <w:rPr>
                <w:sz w:val="22"/>
              </w:rPr>
              <w:t>transportation</w:t>
            </w:r>
            <w:r>
              <w:rPr>
                <w:spacing w:val="-9"/>
                <w:sz w:val="22"/>
              </w:rPr>
              <w:t> </w:t>
            </w:r>
            <w:r>
              <w:rPr>
                <w:sz w:val="22"/>
              </w:rPr>
              <w:t>to</w:t>
            </w:r>
            <w:r>
              <w:rPr>
                <w:spacing w:val="-9"/>
                <w:sz w:val="22"/>
              </w:rPr>
              <w:t> </w:t>
            </w:r>
            <w:r>
              <w:rPr>
                <w:sz w:val="22"/>
              </w:rPr>
              <w:t>community/social</w:t>
            </w:r>
            <w:r>
              <w:rPr>
                <w:spacing w:val="-7"/>
                <w:sz w:val="22"/>
              </w:rPr>
              <w:t> </w:t>
            </w:r>
            <w:r>
              <w:rPr>
                <w:spacing w:val="-2"/>
                <w:sz w:val="22"/>
              </w:rPr>
              <w:t>events</w:t>
            </w:r>
          </w:p>
        </w:tc>
        <w:tc>
          <w:tcPr>
            <w:tcW w:w="1562" w:type="dxa"/>
          </w:tcPr>
          <w:p>
            <w:pPr>
              <w:pStyle w:val="TableParagraph"/>
              <w:spacing w:line="232" w:lineRule="exact"/>
              <w:ind w:left="0" w:right="499"/>
              <w:jc w:val="right"/>
              <w:rPr>
                <w:sz w:val="22"/>
              </w:rPr>
            </w:pPr>
            <w:r>
              <w:rPr>
                <w:spacing w:val="-2"/>
                <w:sz w:val="22"/>
              </w:rPr>
              <w:t>(A)(ii)</w:t>
            </w:r>
          </w:p>
        </w:tc>
        <w:tc>
          <w:tcPr>
            <w:tcW w:w="1332" w:type="dxa"/>
          </w:tcPr>
          <w:p>
            <w:pPr>
              <w:pStyle w:val="TableParagraph"/>
              <w:spacing w:line="232" w:lineRule="exact"/>
              <w:ind w:left="10"/>
              <w:rPr>
                <w:sz w:val="22"/>
              </w:rPr>
            </w:pPr>
            <w:r>
              <w:rPr>
                <w:w w:val="100"/>
                <w:sz w:val="22"/>
              </w:rPr>
              <w:t>1</w:t>
            </w:r>
          </w:p>
        </w:tc>
      </w:tr>
      <w:tr>
        <w:trPr>
          <w:trHeight w:val="253" w:hRule="atLeast"/>
        </w:trPr>
        <w:tc>
          <w:tcPr>
            <w:tcW w:w="9350" w:type="dxa"/>
            <w:gridSpan w:val="3"/>
          </w:tcPr>
          <w:p>
            <w:pPr>
              <w:pStyle w:val="TableParagraph"/>
              <w:spacing w:line="232" w:lineRule="exact" w:before="2"/>
              <w:ind w:left="3507" w:right="3496"/>
              <w:rPr>
                <w:sz w:val="22"/>
              </w:rPr>
            </w:pPr>
            <w:r>
              <w:rPr>
                <w:sz w:val="22"/>
              </w:rPr>
              <w:t>Children</w:t>
            </w:r>
            <w:r>
              <w:rPr>
                <w:spacing w:val="-9"/>
                <w:sz w:val="22"/>
              </w:rPr>
              <w:t> </w:t>
            </w:r>
            <w:r>
              <w:rPr>
                <w:spacing w:val="-2"/>
                <w:sz w:val="22"/>
              </w:rPr>
              <w:t>Services</w:t>
            </w:r>
          </w:p>
        </w:tc>
      </w:tr>
      <w:tr>
        <w:trPr>
          <w:trHeight w:val="251" w:hRule="atLeast"/>
        </w:trPr>
        <w:tc>
          <w:tcPr>
            <w:tcW w:w="6456" w:type="dxa"/>
          </w:tcPr>
          <w:p>
            <w:pPr>
              <w:pStyle w:val="TableParagraph"/>
              <w:spacing w:line="232" w:lineRule="exact"/>
              <w:jc w:val="left"/>
              <w:rPr>
                <w:sz w:val="22"/>
              </w:rPr>
            </w:pPr>
            <w:r>
              <w:rPr>
                <w:sz w:val="22"/>
              </w:rPr>
              <w:t>High</w:t>
            </w:r>
            <w:r>
              <w:rPr>
                <w:spacing w:val="-6"/>
                <w:sz w:val="22"/>
              </w:rPr>
              <w:t> </w:t>
            </w:r>
            <w:r>
              <w:rPr>
                <w:sz w:val="22"/>
              </w:rPr>
              <w:t>quality</w:t>
            </w:r>
            <w:r>
              <w:rPr>
                <w:spacing w:val="-4"/>
                <w:sz w:val="22"/>
              </w:rPr>
              <w:t> </w:t>
            </w:r>
            <w:r>
              <w:rPr>
                <w:sz w:val="22"/>
              </w:rPr>
              <w:t>PreK</w:t>
            </w:r>
            <w:r>
              <w:rPr>
                <w:spacing w:val="-5"/>
                <w:sz w:val="22"/>
              </w:rPr>
              <w:t> </w:t>
            </w:r>
            <w:r>
              <w:rPr>
                <w:sz w:val="22"/>
              </w:rPr>
              <w:t>program</w:t>
            </w:r>
            <w:r>
              <w:rPr>
                <w:spacing w:val="-3"/>
                <w:sz w:val="22"/>
              </w:rPr>
              <w:t> </w:t>
            </w:r>
            <w:r>
              <w:rPr>
                <w:sz w:val="22"/>
              </w:rPr>
              <w:t>with</w:t>
            </w:r>
            <w:r>
              <w:rPr>
                <w:spacing w:val="-7"/>
                <w:sz w:val="22"/>
              </w:rPr>
              <w:t> </w:t>
            </w:r>
            <w:r>
              <w:rPr>
                <w:sz w:val="22"/>
              </w:rPr>
              <w:t>dedicated</w:t>
            </w:r>
            <w:r>
              <w:rPr>
                <w:spacing w:val="-7"/>
                <w:sz w:val="22"/>
              </w:rPr>
              <w:t> </w:t>
            </w:r>
            <w:r>
              <w:rPr>
                <w:sz w:val="22"/>
              </w:rPr>
              <w:t>space</w:t>
            </w:r>
            <w:r>
              <w:rPr>
                <w:spacing w:val="-8"/>
                <w:sz w:val="22"/>
              </w:rPr>
              <w:t> </w:t>
            </w:r>
            <w:r>
              <w:rPr>
                <w:sz w:val="22"/>
              </w:rPr>
              <w:t>on-</w:t>
            </w:r>
            <w:r>
              <w:rPr>
                <w:spacing w:val="-4"/>
                <w:sz w:val="22"/>
              </w:rPr>
              <w:t>site</w:t>
            </w:r>
          </w:p>
        </w:tc>
        <w:tc>
          <w:tcPr>
            <w:tcW w:w="1562" w:type="dxa"/>
          </w:tcPr>
          <w:p>
            <w:pPr>
              <w:pStyle w:val="TableParagraph"/>
              <w:spacing w:line="232" w:lineRule="exact"/>
              <w:ind w:left="0" w:right="523"/>
              <w:jc w:val="right"/>
              <w:rPr>
                <w:sz w:val="22"/>
              </w:rPr>
            </w:pPr>
            <w:r>
              <w:rPr>
                <w:spacing w:val="-2"/>
                <w:sz w:val="22"/>
              </w:rPr>
              <w:t>(B)(i)</w:t>
            </w:r>
          </w:p>
        </w:tc>
        <w:tc>
          <w:tcPr>
            <w:tcW w:w="1332" w:type="dxa"/>
          </w:tcPr>
          <w:p>
            <w:pPr>
              <w:pStyle w:val="TableParagraph"/>
              <w:spacing w:line="232" w:lineRule="exact"/>
              <w:ind w:left="10"/>
              <w:rPr>
                <w:sz w:val="22"/>
              </w:rPr>
            </w:pPr>
            <w:r>
              <w:rPr>
                <w:w w:val="100"/>
                <w:sz w:val="22"/>
              </w:rPr>
              <w:t>4</w:t>
            </w:r>
          </w:p>
        </w:tc>
      </w:tr>
      <w:tr>
        <w:trPr>
          <w:trHeight w:val="505" w:hRule="atLeast"/>
        </w:trPr>
        <w:tc>
          <w:tcPr>
            <w:tcW w:w="6456" w:type="dxa"/>
          </w:tcPr>
          <w:p>
            <w:pPr>
              <w:pStyle w:val="TableParagraph"/>
              <w:spacing w:line="252" w:lineRule="exact"/>
              <w:jc w:val="left"/>
              <w:rPr>
                <w:sz w:val="22"/>
              </w:rPr>
            </w:pPr>
            <w:r>
              <w:rPr>
                <w:sz w:val="22"/>
              </w:rPr>
              <w:t>Min.</w:t>
            </w:r>
            <w:r>
              <w:rPr>
                <w:spacing w:val="-3"/>
                <w:sz w:val="22"/>
              </w:rPr>
              <w:t> </w:t>
            </w:r>
            <w:r>
              <w:rPr>
                <w:sz w:val="22"/>
              </w:rPr>
              <w:t>12</w:t>
            </w:r>
            <w:r>
              <w:rPr>
                <w:spacing w:val="-7"/>
                <w:sz w:val="22"/>
              </w:rPr>
              <w:t> </w:t>
            </w:r>
            <w:r>
              <w:rPr>
                <w:sz w:val="22"/>
              </w:rPr>
              <w:t>hours/week</w:t>
            </w:r>
            <w:r>
              <w:rPr>
                <w:spacing w:val="-7"/>
                <w:sz w:val="22"/>
              </w:rPr>
              <w:t> </w:t>
            </w:r>
            <w:r>
              <w:rPr>
                <w:sz w:val="22"/>
              </w:rPr>
              <w:t>organized</w:t>
            </w:r>
            <w:r>
              <w:rPr>
                <w:spacing w:val="-5"/>
                <w:sz w:val="22"/>
              </w:rPr>
              <w:t> </w:t>
            </w:r>
            <w:r>
              <w:rPr>
                <w:sz w:val="22"/>
              </w:rPr>
              <w:t>on-site</w:t>
            </w:r>
            <w:r>
              <w:rPr>
                <w:spacing w:val="-7"/>
                <w:sz w:val="22"/>
              </w:rPr>
              <w:t> </w:t>
            </w:r>
            <w:r>
              <w:rPr>
                <w:sz w:val="22"/>
              </w:rPr>
              <w:t>K-12</w:t>
            </w:r>
            <w:r>
              <w:rPr>
                <w:spacing w:val="-7"/>
                <w:sz w:val="22"/>
              </w:rPr>
              <w:t> </w:t>
            </w:r>
            <w:r>
              <w:rPr>
                <w:sz w:val="22"/>
              </w:rPr>
              <w:t>programming</w:t>
            </w:r>
            <w:r>
              <w:rPr>
                <w:spacing w:val="-7"/>
                <w:sz w:val="22"/>
              </w:rPr>
              <w:t> </w:t>
            </w:r>
            <w:r>
              <w:rPr>
                <w:sz w:val="22"/>
              </w:rPr>
              <w:t>(e.g. tutoring, after school and summer care, etc.)</w:t>
            </w:r>
          </w:p>
        </w:tc>
        <w:tc>
          <w:tcPr>
            <w:tcW w:w="1562" w:type="dxa"/>
          </w:tcPr>
          <w:p>
            <w:pPr>
              <w:pStyle w:val="TableParagraph"/>
              <w:spacing w:before="2"/>
              <w:ind w:left="0" w:right="499"/>
              <w:jc w:val="right"/>
              <w:rPr>
                <w:sz w:val="22"/>
              </w:rPr>
            </w:pPr>
            <w:r>
              <w:rPr>
                <w:spacing w:val="-2"/>
                <w:sz w:val="22"/>
              </w:rPr>
              <w:t>(B)(ii)</w:t>
            </w:r>
          </w:p>
        </w:tc>
        <w:tc>
          <w:tcPr>
            <w:tcW w:w="1332" w:type="dxa"/>
          </w:tcPr>
          <w:p>
            <w:pPr>
              <w:pStyle w:val="TableParagraph"/>
              <w:spacing w:before="2"/>
              <w:ind w:left="502" w:right="489"/>
              <w:rPr>
                <w:sz w:val="22"/>
              </w:rPr>
            </w:pPr>
            <w:r>
              <w:rPr>
                <w:spacing w:val="-5"/>
                <w:sz w:val="22"/>
              </w:rPr>
              <w:t>3.5</w:t>
            </w:r>
          </w:p>
        </w:tc>
      </w:tr>
      <w:tr>
        <w:trPr>
          <w:trHeight w:val="254" w:hRule="atLeast"/>
        </w:trPr>
        <w:tc>
          <w:tcPr>
            <w:tcW w:w="9350" w:type="dxa"/>
            <w:gridSpan w:val="3"/>
          </w:tcPr>
          <w:p>
            <w:pPr>
              <w:pStyle w:val="TableParagraph"/>
              <w:spacing w:line="232" w:lineRule="exact" w:before="2"/>
              <w:ind w:left="3507" w:right="3496"/>
              <w:rPr>
                <w:sz w:val="22"/>
              </w:rPr>
            </w:pPr>
            <w:r>
              <w:rPr>
                <w:sz w:val="22"/>
              </w:rPr>
              <w:t>Adult</w:t>
            </w:r>
            <w:r>
              <w:rPr>
                <w:spacing w:val="-5"/>
                <w:sz w:val="22"/>
              </w:rPr>
              <w:t> </w:t>
            </w:r>
            <w:r>
              <w:rPr>
                <w:spacing w:val="-2"/>
                <w:sz w:val="22"/>
              </w:rPr>
              <w:t>Services</w:t>
            </w:r>
          </w:p>
        </w:tc>
      </w:tr>
      <w:tr>
        <w:trPr>
          <w:trHeight w:val="506" w:hRule="atLeast"/>
        </w:trPr>
        <w:tc>
          <w:tcPr>
            <w:tcW w:w="6456" w:type="dxa"/>
          </w:tcPr>
          <w:p>
            <w:pPr>
              <w:pStyle w:val="TableParagraph"/>
              <w:spacing w:line="254" w:lineRule="exact"/>
              <w:ind w:right="171"/>
              <w:jc w:val="left"/>
              <w:rPr>
                <w:sz w:val="22"/>
              </w:rPr>
            </w:pPr>
            <w:r>
              <w:rPr>
                <w:sz w:val="22"/>
              </w:rPr>
              <w:t>Min.</w:t>
            </w:r>
            <w:r>
              <w:rPr>
                <w:spacing w:val="-3"/>
                <w:sz w:val="22"/>
              </w:rPr>
              <w:t> </w:t>
            </w:r>
            <w:r>
              <w:rPr>
                <w:sz w:val="22"/>
              </w:rPr>
              <w:t>4</w:t>
            </w:r>
            <w:r>
              <w:rPr>
                <w:spacing w:val="-6"/>
                <w:sz w:val="22"/>
              </w:rPr>
              <w:t> </w:t>
            </w:r>
            <w:r>
              <w:rPr>
                <w:sz w:val="22"/>
              </w:rPr>
              <w:t>hours/week</w:t>
            </w:r>
            <w:r>
              <w:rPr>
                <w:spacing w:val="-6"/>
                <w:sz w:val="22"/>
              </w:rPr>
              <w:t> </w:t>
            </w:r>
            <w:r>
              <w:rPr>
                <w:sz w:val="22"/>
              </w:rPr>
              <w:t>organized</w:t>
            </w:r>
            <w:r>
              <w:rPr>
                <w:spacing w:val="-5"/>
                <w:sz w:val="22"/>
              </w:rPr>
              <w:t> </w:t>
            </w:r>
            <w:r>
              <w:rPr>
                <w:sz w:val="22"/>
              </w:rPr>
              <w:t>onsite</w:t>
            </w:r>
            <w:r>
              <w:rPr>
                <w:spacing w:val="-5"/>
                <w:sz w:val="22"/>
              </w:rPr>
              <w:t> </w:t>
            </w:r>
            <w:r>
              <w:rPr>
                <w:sz w:val="22"/>
              </w:rPr>
              <w:t>classes</w:t>
            </w:r>
            <w:r>
              <w:rPr>
                <w:spacing w:val="-6"/>
                <w:sz w:val="22"/>
              </w:rPr>
              <w:t> </w:t>
            </w:r>
            <w:r>
              <w:rPr>
                <w:sz w:val="22"/>
              </w:rPr>
              <w:t>for</w:t>
            </w:r>
            <w:r>
              <w:rPr>
                <w:spacing w:val="-5"/>
                <w:sz w:val="22"/>
              </w:rPr>
              <w:t> </w:t>
            </w:r>
            <w:r>
              <w:rPr>
                <w:sz w:val="22"/>
              </w:rPr>
              <w:t>adults</w:t>
            </w:r>
            <w:r>
              <w:rPr>
                <w:spacing w:val="-4"/>
                <w:sz w:val="22"/>
              </w:rPr>
              <w:t> </w:t>
            </w:r>
            <w:r>
              <w:rPr>
                <w:sz w:val="22"/>
              </w:rPr>
              <w:t>(e.g. GED, ESL, financial literacy, etc.)</w:t>
            </w:r>
          </w:p>
        </w:tc>
        <w:tc>
          <w:tcPr>
            <w:tcW w:w="1562" w:type="dxa"/>
          </w:tcPr>
          <w:p>
            <w:pPr>
              <w:pStyle w:val="TableParagraph"/>
              <w:ind w:left="0" w:right="516"/>
              <w:jc w:val="right"/>
              <w:rPr>
                <w:sz w:val="22"/>
              </w:rPr>
            </w:pPr>
            <w:r>
              <w:rPr>
                <w:spacing w:val="-2"/>
                <w:sz w:val="22"/>
              </w:rPr>
              <w:t>(C)(i)</w:t>
            </w:r>
          </w:p>
        </w:tc>
        <w:tc>
          <w:tcPr>
            <w:tcW w:w="1332" w:type="dxa"/>
          </w:tcPr>
          <w:p>
            <w:pPr>
              <w:pStyle w:val="TableParagraph"/>
              <w:ind w:left="502" w:right="489"/>
              <w:rPr>
                <w:sz w:val="22"/>
              </w:rPr>
            </w:pPr>
            <w:r>
              <w:rPr>
                <w:spacing w:val="-5"/>
                <w:sz w:val="22"/>
              </w:rPr>
              <w:t>3.5</w:t>
            </w:r>
          </w:p>
        </w:tc>
      </w:tr>
      <w:tr>
        <w:trPr>
          <w:trHeight w:val="251" w:hRule="atLeast"/>
        </w:trPr>
        <w:tc>
          <w:tcPr>
            <w:tcW w:w="6456" w:type="dxa"/>
          </w:tcPr>
          <w:p>
            <w:pPr>
              <w:pStyle w:val="TableParagraph"/>
              <w:spacing w:line="232" w:lineRule="exact"/>
              <w:jc w:val="left"/>
              <w:rPr>
                <w:sz w:val="22"/>
              </w:rPr>
            </w:pPr>
            <w:r>
              <w:rPr>
                <w:sz w:val="22"/>
              </w:rPr>
              <w:t>Annual</w:t>
            </w:r>
            <w:r>
              <w:rPr>
                <w:spacing w:val="-4"/>
                <w:sz w:val="22"/>
              </w:rPr>
              <w:t> </w:t>
            </w:r>
            <w:r>
              <w:rPr>
                <w:sz w:val="22"/>
              </w:rPr>
              <w:t>income</w:t>
            </w:r>
            <w:r>
              <w:rPr>
                <w:spacing w:val="-5"/>
                <w:sz w:val="22"/>
              </w:rPr>
              <w:t> </w:t>
            </w:r>
            <w:r>
              <w:rPr>
                <w:sz w:val="22"/>
              </w:rPr>
              <w:t>tax</w:t>
            </w:r>
            <w:r>
              <w:rPr>
                <w:spacing w:val="-2"/>
                <w:sz w:val="22"/>
              </w:rPr>
              <w:t> preparation</w:t>
            </w:r>
          </w:p>
        </w:tc>
        <w:tc>
          <w:tcPr>
            <w:tcW w:w="1562" w:type="dxa"/>
          </w:tcPr>
          <w:p>
            <w:pPr>
              <w:pStyle w:val="TableParagraph"/>
              <w:spacing w:line="232" w:lineRule="exact"/>
              <w:ind w:left="0" w:right="494"/>
              <w:jc w:val="right"/>
              <w:rPr>
                <w:sz w:val="22"/>
              </w:rPr>
            </w:pPr>
            <w:r>
              <w:rPr>
                <w:spacing w:val="-2"/>
                <w:sz w:val="22"/>
              </w:rPr>
              <w:t>(C)(ii)</w:t>
            </w:r>
          </w:p>
        </w:tc>
        <w:tc>
          <w:tcPr>
            <w:tcW w:w="1332" w:type="dxa"/>
          </w:tcPr>
          <w:p>
            <w:pPr>
              <w:pStyle w:val="TableParagraph"/>
              <w:spacing w:line="232" w:lineRule="exact"/>
              <w:ind w:left="10"/>
              <w:rPr>
                <w:sz w:val="22"/>
              </w:rPr>
            </w:pPr>
            <w:r>
              <w:rPr>
                <w:w w:val="100"/>
                <w:sz w:val="22"/>
              </w:rPr>
              <w:t>1</w:t>
            </w:r>
          </w:p>
        </w:tc>
      </w:tr>
      <w:tr>
        <w:trPr>
          <w:trHeight w:val="506" w:hRule="atLeast"/>
        </w:trPr>
        <w:tc>
          <w:tcPr>
            <w:tcW w:w="6456" w:type="dxa"/>
          </w:tcPr>
          <w:p>
            <w:pPr>
              <w:pStyle w:val="TableParagraph"/>
              <w:spacing w:line="252" w:lineRule="exact"/>
              <w:ind w:right="171"/>
              <w:jc w:val="left"/>
              <w:rPr>
                <w:sz w:val="22"/>
              </w:rPr>
            </w:pPr>
            <w:r>
              <w:rPr>
                <w:sz w:val="22"/>
              </w:rPr>
              <w:t>Contracted</w:t>
            </w:r>
            <w:r>
              <w:rPr>
                <w:spacing w:val="-6"/>
                <w:sz w:val="22"/>
              </w:rPr>
              <w:t> </w:t>
            </w:r>
            <w:r>
              <w:rPr>
                <w:sz w:val="22"/>
              </w:rPr>
              <w:t>career</w:t>
            </w:r>
            <w:r>
              <w:rPr>
                <w:spacing w:val="-7"/>
                <w:sz w:val="22"/>
              </w:rPr>
              <w:t> </w:t>
            </w:r>
            <w:r>
              <w:rPr>
                <w:sz w:val="22"/>
              </w:rPr>
              <w:t>training</w:t>
            </w:r>
            <w:r>
              <w:rPr>
                <w:spacing w:val="-6"/>
                <w:sz w:val="22"/>
              </w:rPr>
              <w:t> </w:t>
            </w:r>
            <w:r>
              <w:rPr>
                <w:sz w:val="22"/>
              </w:rPr>
              <w:t>and</w:t>
            </w:r>
            <w:r>
              <w:rPr>
                <w:spacing w:val="-6"/>
                <w:sz w:val="22"/>
              </w:rPr>
              <w:t> </w:t>
            </w:r>
            <w:r>
              <w:rPr>
                <w:sz w:val="22"/>
              </w:rPr>
              <w:t>placement</w:t>
            </w:r>
            <w:r>
              <w:rPr>
                <w:spacing w:val="-7"/>
                <w:sz w:val="22"/>
              </w:rPr>
              <w:t> </w:t>
            </w:r>
            <w:r>
              <w:rPr>
                <w:sz w:val="22"/>
              </w:rPr>
              <w:t>partnerships</w:t>
            </w:r>
            <w:r>
              <w:rPr>
                <w:spacing w:val="-5"/>
                <w:sz w:val="22"/>
              </w:rPr>
              <w:t> </w:t>
            </w:r>
            <w:r>
              <w:rPr>
                <w:sz w:val="22"/>
              </w:rPr>
              <w:t>with local employers</w:t>
            </w:r>
          </w:p>
        </w:tc>
        <w:tc>
          <w:tcPr>
            <w:tcW w:w="1562" w:type="dxa"/>
          </w:tcPr>
          <w:p>
            <w:pPr>
              <w:pStyle w:val="TableParagraph"/>
              <w:ind w:left="0" w:right="470"/>
              <w:jc w:val="right"/>
              <w:rPr>
                <w:sz w:val="22"/>
              </w:rPr>
            </w:pPr>
            <w:r>
              <w:rPr>
                <w:spacing w:val="-2"/>
                <w:sz w:val="22"/>
              </w:rPr>
              <w:t>(C)(iii)</w:t>
            </w:r>
          </w:p>
        </w:tc>
        <w:tc>
          <w:tcPr>
            <w:tcW w:w="1332" w:type="dxa"/>
          </w:tcPr>
          <w:p>
            <w:pPr>
              <w:pStyle w:val="TableParagraph"/>
              <w:ind w:left="10"/>
              <w:rPr>
                <w:sz w:val="22"/>
              </w:rPr>
            </w:pPr>
            <w:r>
              <w:rPr>
                <w:w w:val="100"/>
                <w:sz w:val="22"/>
              </w:rPr>
              <w:t>2</w:t>
            </w:r>
          </w:p>
        </w:tc>
      </w:tr>
      <w:tr>
        <w:trPr>
          <w:trHeight w:val="251" w:hRule="atLeast"/>
        </w:trPr>
        <w:tc>
          <w:tcPr>
            <w:tcW w:w="6456" w:type="dxa"/>
          </w:tcPr>
          <w:p>
            <w:pPr>
              <w:pStyle w:val="TableParagraph"/>
              <w:spacing w:line="232" w:lineRule="exact"/>
              <w:jc w:val="left"/>
              <w:rPr>
                <w:sz w:val="22"/>
              </w:rPr>
            </w:pPr>
            <w:r>
              <w:rPr>
                <w:sz w:val="22"/>
              </w:rPr>
              <w:t>Weekly</w:t>
            </w:r>
            <w:r>
              <w:rPr>
                <w:spacing w:val="-5"/>
                <w:sz w:val="22"/>
              </w:rPr>
              <w:t> </w:t>
            </w:r>
            <w:r>
              <w:rPr>
                <w:sz w:val="22"/>
              </w:rPr>
              <w:t>substance</w:t>
            </w:r>
            <w:r>
              <w:rPr>
                <w:spacing w:val="-7"/>
                <w:sz w:val="22"/>
              </w:rPr>
              <w:t> </w:t>
            </w:r>
            <w:r>
              <w:rPr>
                <w:sz w:val="22"/>
              </w:rPr>
              <w:t>abuse</w:t>
            </w:r>
            <w:r>
              <w:rPr>
                <w:spacing w:val="-8"/>
                <w:sz w:val="22"/>
              </w:rPr>
              <w:t> </w:t>
            </w:r>
            <w:r>
              <w:rPr>
                <w:sz w:val="22"/>
              </w:rPr>
              <w:t>meetings</w:t>
            </w:r>
            <w:r>
              <w:rPr>
                <w:spacing w:val="-4"/>
                <w:sz w:val="22"/>
              </w:rPr>
              <w:t> </w:t>
            </w:r>
            <w:r>
              <w:rPr>
                <w:sz w:val="22"/>
              </w:rPr>
              <w:t>at</w:t>
            </w:r>
            <w:r>
              <w:rPr>
                <w:spacing w:val="-4"/>
                <w:sz w:val="22"/>
              </w:rPr>
              <w:t> </w:t>
            </w:r>
            <w:r>
              <w:rPr>
                <w:sz w:val="22"/>
              </w:rPr>
              <w:t>project</w:t>
            </w:r>
            <w:r>
              <w:rPr>
                <w:spacing w:val="-5"/>
                <w:sz w:val="22"/>
              </w:rPr>
              <w:t> </w:t>
            </w:r>
            <w:r>
              <w:rPr>
                <w:spacing w:val="-4"/>
                <w:sz w:val="22"/>
              </w:rPr>
              <w:t>site</w:t>
            </w:r>
          </w:p>
        </w:tc>
        <w:tc>
          <w:tcPr>
            <w:tcW w:w="1562" w:type="dxa"/>
          </w:tcPr>
          <w:p>
            <w:pPr>
              <w:pStyle w:val="TableParagraph"/>
              <w:spacing w:line="232" w:lineRule="exact"/>
              <w:ind w:left="0" w:right="461"/>
              <w:jc w:val="right"/>
              <w:rPr>
                <w:sz w:val="22"/>
              </w:rPr>
            </w:pPr>
            <w:r>
              <w:rPr>
                <w:spacing w:val="-2"/>
                <w:sz w:val="22"/>
              </w:rPr>
              <w:t>(C)(iv)</w:t>
            </w:r>
          </w:p>
        </w:tc>
        <w:tc>
          <w:tcPr>
            <w:tcW w:w="1332" w:type="dxa"/>
          </w:tcPr>
          <w:p>
            <w:pPr>
              <w:pStyle w:val="TableParagraph"/>
              <w:spacing w:line="232" w:lineRule="exact"/>
              <w:ind w:left="10"/>
              <w:rPr>
                <w:sz w:val="22"/>
              </w:rPr>
            </w:pPr>
            <w:r>
              <w:rPr>
                <w:w w:val="100"/>
                <w:sz w:val="22"/>
              </w:rPr>
              <w:t>1</w:t>
            </w:r>
          </w:p>
        </w:tc>
      </w:tr>
      <w:tr>
        <w:trPr>
          <w:trHeight w:val="254" w:hRule="atLeast"/>
        </w:trPr>
        <w:tc>
          <w:tcPr>
            <w:tcW w:w="9350" w:type="dxa"/>
            <w:gridSpan w:val="3"/>
          </w:tcPr>
          <w:p>
            <w:pPr>
              <w:pStyle w:val="TableParagraph"/>
              <w:spacing w:line="234" w:lineRule="exact"/>
              <w:ind w:left="3507" w:right="3496"/>
              <w:rPr>
                <w:sz w:val="22"/>
              </w:rPr>
            </w:pPr>
            <w:r>
              <w:rPr>
                <w:sz w:val="22"/>
              </w:rPr>
              <w:t>Health</w:t>
            </w:r>
            <w:r>
              <w:rPr>
                <w:spacing w:val="-6"/>
                <w:sz w:val="22"/>
              </w:rPr>
              <w:t> </w:t>
            </w:r>
            <w:r>
              <w:rPr>
                <w:spacing w:val="-2"/>
                <w:sz w:val="22"/>
              </w:rPr>
              <w:t>Services</w:t>
            </w:r>
          </w:p>
        </w:tc>
      </w:tr>
      <w:tr>
        <w:trPr>
          <w:trHeight w:val="506" w:hRule="atLeast"/>
        </w:trPr>
        <w:tc>
          <w:tcPr>
            <w:tcW w:w="6456" w:type="dxa"/>
          </w:tcPr>
          <w:p>
            <w:pPr>
              <w:pStyle w:val="TableParagraph"/>
              <w:spacing w:line="252" w:lineRule="exact"/>
              <w:jc w:val="left"/>
              <w:rPr>
                <w:sz w:val="22"/>
              </w:rPr>
            </w:pPr>
            <w:r>
              <w:rPr>
                <w:sz w:val="22"/>
              </w:rPr>
              <w:t>Food</w:t>
            </w:r>
            <w:r>
              <w:rPr>
                <w:spacing w:val="-3"/>
                <w:sz w:val="22"/>
              </w:rPr>
              <w:t> </w:t>
            </w:r>
            <w:r>
              <w:rPr>
                <w:sz w:val="22"/>
              </w:rPr>
              <w:t>pantry</w:t>
            </w:r>
            <w:r>
              <w:rPr>
                <w:spacing w:val="-3"/>
                <w:sz w:val="22"/>
              </w:rPr>
              <w:t> </w:t>
            </w:r>
            <w:r>
              <w:rPr>
                <w:sz w:val="22"/>
              </w:rPr>
              <w:t>accessible</w:t>
            </w:r>
            <w:r>
              <w:rPr>
                <w:spacing w:val="-4"/>
                <w:sz w:val="22"/>
              </w:rPr>
              <w:t> </w:t>
            </w:r>
            <w:r>
              <w:rPr>
                <w:sz w:val="22"/>
              </w:rPr>
              <w:t>to</w:t>
            </w:r>
            <w:r>
              <w:rPr>
                <w:spacing w:val="-4"/>
                <w:sz w:val="22"/>
              </w:rPr>
              <w:t> </w:t>
            </w:r>
            <w:r>
              <w:rPr>
                <w:sz w:val="22"/>
              </w:rPr>
              <w:t>residents</w:t>
            </w:r>
            <w:r>
              <w:rPr>
                <w:spacing w:val="-6"/>
                <w:sz w:val="22"/>
              </w:rPr>
              <w:t> </w:t>
            </w:r>
            <w:r>
              <w:rPr>
                <w:sz w:val="22"/>
              </w:rPr>
              <w:t>(on</w:t>
            </w:r>
            <w:r>
              <w:rPr>
                <w:spacing w:val="-4"/>
                <w:sz w:val="22"/>
              </w:rPr>
              <w:t> </w:t>
            </w:r>
            <w:r>
              <w:rPr>
                <w:sz w:val="22"/>
              </w:rPr>
              <w:t>site</w:t>
            </w:r>
            <w:r>
              <w:rPr>
                <w:spacing w:val="-6"/>
                <w:sz w:val="22"/>
              </w:rPr>
              <w:t> </w:t>
            </w:r>
            <w:r>
              <w:rPr>
                <w:sz w:val="22"/>
              </w:rPr>
              <w:t>or</w:t>
            </w:r>
            <w:r>
              <w:rPr>
                <w:spacing w:val="-5"/>
                <w:sz w:val="22"/>
              </w:rPr>
              <w:t> </w:t>
            </w:r>
            <w:r>
              <w:rPr>
                <w:sz w:val="22"/>
              </w:rPr>
              <w:t>via</w:t>
            </w:r>
            <w:r>
              <w:rPr>
                <w:spacing w:val="-4"/>
                <w:sz w:val="22"/>
              </w:rPr>
              <w:t> </w:t>
            </w:r>
            <w:r>
              <w:rPr>
                <w:sz w:val="22"/>
              </w:rPr>
              <w:t>on-request </w:t>
            </w:r>
            <w:r>
              <w:rPr>
                <w:spacing w:val="-2"/>
                <w:sz w:val="22"/>
              </w:rPr>
              <w:t>transportation)</w:t>
            </w:r>
          </w:p>
        </w:tc>
        <w:tc>
          <w:tcPr>
            <w:tcW w:w="1562" w:type="dxa"/>
          </w:tcPr>
          <w:p>
            <w:pPr>
              <w:pStyle w:val="TableParagraph"/>
              <w:ind w:left="0" w:right="516"/>
              <w:jc w:val="right"/>
              <w:rPr>
                <w:sz w:val="22"/>
              </w:rPr>
            </w:pPr>
            <w:r>
              <w:rPr>
                <w:spacing w:val="-2"/>
                <w:sz w:val="22"/>
              </w:rPr>
              <w:t>(D)(i)</w:t>
            </w:r>
          </w:p>
        </w:tc>
        <w:tc>
          <w:tcPr>
            <w:tcW w:w="1332" w:type="dxa"/>
          </w:tcPr>
          <w:p>
            <w:pPr>
              <w:pStyle w:val="TableParagraph"/>
              <w:ind w:left="10"/>
              <w:rPr>
                <w:sz w:val="22"/>
              </w:rPr>
            </w:pPr>
            <w:r>
              <w:rPr>
                <w:w w:val="100"/>
                <w:sz w:val="22"/>
              </w:rPr>
              <w:t>2</w:t>
            </w:r>
          </w:p>
        </w:tc>
      </w:tr>
      <w:tr>
        <w:trPr>
          <w:trHeight w:val="251" w:hRule="atLeast"/>
        </w:trPr>
        <w:tc>
          <w:tcPr>
            <w:tcW w:w="6456" w:type="dxa"/>
          </w:tcPr>
          <w:p>
            <w:pPr>
              <w:pStyle w:val="TableParagraph"/>
              <w:spacing w:line="232" w:lineRule="exact"/>
              <w:jc w:val="left"/>
              <w:rPr>
                <w:sz w:val="22"/>
              </w:rPr>
            </w:pPr>
            <w:r>
              <w:rPr>
                <w:sz w:val="22"/>
              </w:rPr>
              <w:t>Annual</w:t>
            </w:r>
            <w:r>
              <w:rPr>
                <w:spacing w:val="-7"/>
                <w:sz w:val="22"/>
              </w:rPr>
              <w:t> </w:t>
            </w:r>
            <w:r>
              <w:rPr>
                <w:sz w:val="22"/>
              </w:rPr>
              <w:t>health</w:t>
            </w:r>
            <w:r>
              <w:rPr>
                <w:spacing w:val="-4"/>
                <w:sz w:val="22"/>
              </w:rPr>
              <w:t> fair</w:t>
            </w:r>
          </w:p>
        </w:tc>
        <w:tc>
          <w:tcPr>
            <w:tcW w:w="1562" w:type="dxa"/>
          </w:tcPr>
          <w:p>
            <w:pPr>
              <w:pStyle w:val="TableParagraph"/>
              <w:spacing w:line="232" w:lineRule="exact"/>
              <w:ind w:left="0" w:right="494"/>
              <w:jc w:val="right"/>
              <w:rPr>
                <w:sz w:val="22"/>
              </w:rPr>
            </w:pPr>
            <w:r>
              <w:rPr>
                <w:spacing w:val="-2"/>
                <w:sz w:val="22"/>
              </w:rPr>
              <w:t>(D)(ii)</w:t>
            </w:r>
          </w:p>
        </w:tc>
        <w:tc>
          <w:tcPr>
            <w:tcW w:w="1332" w:type="dxa"/>
          </w:tcPr>
          <w:p>
            <w:pPr>
              <w:pStyle w:val="TableParagraph"/>
              <w:spacing w:line="232" w:lineRule="exact"/>
              <w:ind w:left="10"/>
              <w:rPr>
                <w:sz w:val="22"/>
              </w:rPr>
            </w:pPr>
            <w:r>
              <w:rPr>
                <w:w w:val="100"/>
                <w:sz w:val="22"/>
              </w:rPr>
              <w:t>1</w:t>
            </w:r>
          </w:p>
        </w:tc>
      </w:tr>
      <w:tr>
        <w:trPr>
          <w:trHeight w:val="254" w:hRule="atLeast"/>
        </w:trPr>
        <w:tc>
          <w:tcPr>
            <w:tcW w:w="6456" w:type="dxa"/>
          </w:tcPr>
          <w:p>
            <w:pPr>
              <w:pStyle w:val="TableParagraph"/>
              <w:spacing w:line="234" w:lineRule="exact"/>
              <w:jc w:val="left"/>
              <w:rPr>
                <w:sz w:val="22"/>
              </w:rPr>
            </w:pPr>
            <w:r>
              <w:rPr>
                <w:sz w:val="22"/>
              </w:rPr>
              <w:t>Weekly</w:t>
            </w:r>
            <w:r>
              <w:rPr>
                <w:spacing w:val="-4"/>
                <w:sz w:val="22"/>
              </w:rPr>
              <w:t> </w:t>
            </w:r>
            <w:r>
              <w:rPr>
                <w:sz w:val="22"/>
              </w:rPr>
              <w:t>exercise</w:t>
            </w:r>
            <w:r>
              <w:rPr>
                <w:spacing w:val="-4"/>
                <w:sz w:val="22"/>
              </w:rPr>
              <w:t> </w:t>
            </w:r>
            <w:r>
              <w:rPr>
                <w:spacing w:val="-2"/>
                <w:sz w:val="22"/>
              </w:rPr>
              <w:t>classes</w:t>
            </w:r>
          </w:p>
        </w:tc>
        <w:tc>
          <w:tcPr>
            <w:tcW w:w="1562" w:type="dxa"/>
          </w:tcPr>
          <w:p>
            <w:pPr>
              <w:pStyle w:val="TableParagraph"/>
              <w:spacing w:line="234" w:lineRule="exact"/>
              <w:ind w:left="0" w:right="470"/>
              <w:jc w:val="right"/>
              <w:rPr>
                <w:sz w:val="22"/>
              </w:rPr>
            </w:pPr>
            <w:r>
              <w:rPr>
                <w:spacing w:val="-2"/>
                <w:sz w:val="22"/>
              </w:rPr>
              <w:t>(D)(iii)</w:t>
            </w:r>
          </w:p>
        </w:tc>
        <w:tc>
          <w:tcPr>
            <w:tcW w:w="1332" w:type="dxa"/>
          </w:tcPr>
          <w:p>
            <w:pPr>
              <w:pStyle w:val="TableParagraph"/>
              <w:spacing w:line="234" w:lineRule="exact"/>
              <w:ind w:left="10"/>
              <w:rPr>
                <w:sz w:val="22"/>
              </w:rPr>
            </w:pPr>
            <w:r>
              <w:rPr>
                <w:w w:val="100"/>
                <w:sz w:val="22"/>
              </w:rPr>
              <w:t>2</w:t>
            </w:r>
          </w:p>
        </w:tc>
      </w:tr>
      <w:tr>
        <w:trPr>
          <w:trHeight w:val="505" w:hRule="atLeast"/>
        </w:trPr>
        <w:tc>
          <w:tcPr>
            <w:tcW w:w="6456" w:type="dxa"/>
          </w:tcPr>
          <w:p>
            <w:pPr>
              <w:pStyle w:val="TableParagraph"/>
              <w:spacing w:line="252" w:lineRule="exact"/>
              <w:ind w:right="171"/>
              <w:jc w:val="left"/>
              <w:rPr>
                <w:sz w:val="22"/>
              </w:rPr>
            </w:pPr>
            <w:r>
              <w:rPr>
                <w:sz w:val="22"/>
              </w:rPr>
              <w:t>Contracted</w:t>
            </w:r>
            <w:r>
              <w:rPr>
                <w:spacing w:val="-6"/>
                <w:sz w:val="22"/>
              </w:rPr>
              <w:t> </w:t>
            </w:r>
            <w:r>
              <w:rPr>
                <w:sz w:val="22"/>
              </w:rPr>
              <w:t>on-site</w:t>
            </w:r>
            <w:r>
              <w:rPr>
                <w:spacing w:val="-6"/>
                <w:sz w:val="22"/>
              </w:rPr>
              <w:t> </w:t>
            </w:r>
            <w:r>
              <w:rPr>
                <w:sz w:val="22"/>
              </w:rPr>
              <w:t>occupational</w:t>
            </w:r>
            <w:r>
              <w:rPr>
                <w:spacing w:val="-6"/>
                <w:sz w:val="22"/>
              </w:rPr>
              <w:t> </w:t>
            </w:r>
            <w:r>
              <w:rPr>
                <w:sz w:val="22"/>
              </w:rPr>
              <w:t>or</w:t>
            </w:r>
            <w:r>
              <w:rPr>
                <w:spacing w:val="-4"/>
                <w:sz w:val="22"/>
              </w:rPr>
              <w:t> </w:t>
            </w:r>
            <w:r>
              <w:rPr>
                <w:sz w:val="22"/>
              </w:rPr>
              <w:t>physical</w:t>
            </w:r>
            <w:r>
              <w:rPr>
                <w:spacing w:val="-6"/>
                <w:sz w:val="22"/>
              </w:rPr>
              <w:t> </w:t>
            </w:r>
            <w:r>
              <w:rPr>
                <w:sz w:val="22"/>
              </w:rPr>
              <w:t>therapy</w:t>
            </w:r>
            <w:r>
              <w:rPr>
                <w:spacing w:val="-5"/>
                <w:sz w:val="22"/>
              </w:rPr>
              <w:t> </w:t>
            </w:r>
            <w:r>
              <w:rPr>
                <w:sz w:val="22"/>
              </w:rPr>
              <w:t>for</w:t>
            </w:r>
            <w:r>
              <w:rPr>
                <w:spacing w:val="-4"/>
                <w:sz w:val="22"/>
              </w:rPr>
              <w:t> </w:t>
            </w:r>
            <w:r>
              <w:rPr>
                <w:sz w:val="22"/>
              </w:rPr>
              <w:t>elderly or disabled tenants</w:t>
            </w:r>
          </w:p>
        </w:tc>
        <w:tc>
          <w:tcPr>
            <w:tcW w:w="1562" w:type="dxa"/>
          </w:tcPr>
          <w:p>
            <w:pPr>
              <w:pStyle w:val="TableParagraph"/>
              <w:ind w:left="0" w:right="461"/>
              <w:jc w:val="right"/>
              <w:rPr>
                <w:sz w:val="22"/>
              </w:rPr>
            </w:pPr>
            <w:r>
              <w:rPr>
                <w:spacing w:val="-2"/>
                <w:sz w:val="22"/>
              </w:rPr>
              <w:t>(D)(iv)</w:t>
            </w:r>
          </w:p>
        </w:tc>
        <w:tc>
          <w:tcPr>
            <w:tcW w:w="1332" w:type="dxa"/>
          </w:tcPr>
          <w:p>
            <w:pPr>
              <w:pStyle w:val="TableParagraph"/>
              <w:ind w:left="10"/>
              <w:rPr>
                <w:sz w:val="22"/>
              </w:rPr>
            </w:pPr>
            <w:r>
              <w:rPr>
                <w:w w:val="100"/>
                <w:sz w:val="22"/>
              </w:rPr>
              <w:t>2</w:t>
            </w:r>
          </w:p>
        </w:tc>
      </w:tr>
      <w:tr>
        <w:trPr>
          <w:trHeight w:val="251" w:hRule="atLeast"/>
        </w:trPr>
        <w:tc>
          <w:tcPr>
            <w:tcW w:w="9350" w:type="dxa"/>
            <w:gridSpan w:val="3"/>
          </w:tcPr>
          <w:p>
            <w:pPr>
              <w:pStyle w:val="TableParagraph"/>
              <w:spacing w:line="232" w:lineRule="exact"/>
              <w:ind w:left="3505" w:right="3496"/>
              <w:rPr>
                <w:sz w:val="22"/>
              </w:rPr>
            </w:pPr>
            <w:r>
              <w:rPr>
                <w:sz w:val="22"/>
              </w:rPr>
              <w:t>Community</w:t>
            </w:r>
            <w:r>
              <w:rPr>
                <w:spacing w:val="-10"/>
                <w:sz w:val="22"/>
              </w:rPr>
              <w:t> </w:t>
            </w:r>
            <w:r>
              <w:rPr>
                <w:spacing w:val="-2"/>
                <w:sz w:val="22"/>
              </w:rPr>
              <w:t>Services</w:t>
            </w:r>
          </w:p>
        </w:tc>
      </w:tr>
      <w:tr>
        <w:trPr>
          <w:trHeight w:val="505" w:hRule="atLeast"/>
        </w:trPr>
        <w:tc>
          <w:tcPr>
            <w:tcW w:w="6456" w:type="dxa"/>
          </w:tcPr>
          <w:p>
            <w:pPr>
              <w:pStyle w:val="TableParagraph"/>
              <w:spacing w:line="252" w:lineRule="exact"/>
              <w:jc w:val="left"/>
              <w:rPr>
                <w:sz w:val="22"/>
              </w:rPr>
            </w:pPr>
            <w:r>
              <w:rPr>
                <w:sz w:val="22"/>
              </w:rPr>
              <w:t>Partnership</w:t>
            </w:r>
            <w:r>
              <w:rPr>
                <w:spacing w:val="-6"/>
                <w:sz w:val="22"/>
              </w:rPr>
              <w:t> </w:t>
            </w:r>
            <w:r>
              <w:rPr>
                <w:sz w:val="22"/>
              </w:rPr>
              <w:t>with</w:t>
            </w:r>
            <w:r>
              <w:rPr>
                <w:spacing w:val="-6"/>
                <w:sz w:val="22"/>
              </w:rPr>
              <w:t> </w:t>
            </w:r>
            <w:r>
              <w:rPr>
                <w:sz w:val="22"/>
              </w:rPr>
              <w:t>local</w:t>
            </w:r>
            <w:r>
              <w:rPr>
                <w:spacing w:val="-6"/>
                <w:sz w:val="22"/>
              </w:rPr>
              <w:t> </w:t>
            </w:r>
            <w:r>
              <w:rPr>
                <w:sz w:val="22"/>
              </w:rPr>
              <w:t>law</w:t>
            </w:r>
            <w:r>
              <w:rPr>
                <w:spacing w:val="-6"/>
                <w:sz w:val="22"/>
              </w:rPr>
              <w:t> </w:t>
            </w:r>
            <w:r>
              <w:rPr>
                <w:sz w:val="22"/>
              </w:rPr>
              <w:t>enforcement</w:t>
            </w:r>
            <w:r>
              <w:rPr>
                <w:spacing w:val="-7"/>
                <w:sz w:val="22"/>
              </w:rPr>
              <w:t> </w:t>
            </w:r>
            <w:r>
              <w:rPr>
                <w:sz w:val="22"/>
              </w:rPr>
              <w:t>to</w:t>
            </w:r>
            <w:r>
              <w:rPr>
                <w:spacing w:val="-6"/>
                <w:sz w:val="22"/>
              </w:rPr>
              <w:t> </w:t>
            </w:r>
            <w:r>
              <w:rPr>
                <w:sz w:val="22"/>
              </w:rPr>
              <w:t>provide</w:t>
            </w:r>
            <w:r>
              <w:rPr>
                <w:spacing w:val="-6"/>
                <w:sz w:val="22"/>
              </w:rPr>
              <w:t> </w:t>
            </w:r>
            <w:r>
              <w:rPr>
                <w:sz w:val="22"/>
              </w:rPr>
              <w:t>quarterly activities with tenants</w:t>
            </w:r>
          </w:p>
        </w:tc>
        <w:tc>
          <w:tcPr>
            <w:tcW w:w="1562" w:type="dxa"/>
          </w:tcPr>
          <w:p>
            <w:pPr>
              <w:pStyle w:val="TableParagraph"/>
              <w:spacing w:before="2"/>
              <w:ind w:left="0" w:right="523"/>
              <w:jc w:val="right"/>
              <w:rPr>
                <w:sz w:val="22"/>
              </w:rPr>
            </w:pPr>
            <w:r>
              <w:rPr>
                <w:spacing w:val="-2"/>
                <w:sz w:val="22"/>
              </w:rPr>
              <w:t>(E)(i)</w:t>
            </w:r>
          </w:p>
        </w:tc>
        <w:tc>
          <w:tcPr>
            <w:tcW w:w="1332" w:type="dxa"/>
          </w:tcPr>
          <w:p>
            <w:pPr>
              <w:pStyle w:val="TableParagraph"/>
              <w:spacing w:before="2"/>
              <w:ind w:left="10"/>
              <w:rPr>
                <w:sz w:val="22"/>
              </w:rPr>
            </w:pPr>
            <w:r>
              <w:rPr>
                <w:w w:val="100"/>
                <w:sz w:val="22"/>
              </w:rPr>
              <w:t>2</w:t>
            </w:r>
          </w:p>
        </w:tc>
      </w:tr>
      <w:tr>
        <w:trPr>
          <w:trHeight w:val="254" w:hRule="atLeast"/>
        </w:trPr>
        <w:tc>
          <w:tcPr>
            <w:tcW w:w="6456" w:type="dxa"/>
          </w:tcPr>
          <w:p>
            <w:pPr>
              <w:pStyle w:val="TableParagraph"/>
              <w:spacing w:line="232" w:lineRule="exact" w:before="2"/>
              <w:jc w:val="left"/>
              <w:rPr>
                <w:sz w:val="22"/>
              </w:rPr>
            </w:pPr>
            <w:r>
              <w:rPr>
                <w:sz w:val="22"/>
              </w:rPr>
              <w:t>Notary</w:t>
            </w:r>
            <w:r>
              <w:rPr>
                <w:spacing w:val="-6"/>
                <w:sz w:val="22"/>
              </w:rPr>
              <w:t> </w:t>
            </w:r>
            <w:r>
              <w:rPr>
                <w:sz w:val="22"/>
              </w:rPr>
              <w:t>services</w:t>
            </w:r>
            <w:r>
              <w:rPr>
                <w:spacing w:val="-5"/>
                <w:sz w:val="22"/>
              </w:rPr>
              <w:t> </w:t>
            </w:r>
            <w:r>
              <w:rPr>
                <w:sz w:val="22"/>
              </w:rPr>
              <w:t>for</w:t>
            </w:r>
            <w:r>
              <w:rPr>
                <w:spacing w:val="-4"/>
                <w:sz w:val="22"/>
              </w:rPr>
              <w:t> </w:t>
            </w:r>
            <w:r>
              <w:rPr>
                <w:spacing w:val="-2"/>
                <w:sz w:val="22"/>
              </w:rPr>
              <w:t>tenants</w:t>
            </w:r>
          </w:p>
        </w:tc>
        <w:tc>
          <w:tcPr>
            <w:tcW w:w="1562" w:type="dxa"/>
          </w:tcPr>
          <w:p>
            <w:pPr>
              <w:pStyle w:val="TableParagraph"/>
              <w:spacing w:line="232" w:lineRule="exact" w:before="2"/>
              <w:ind w:left="0" w:right="499"/>
              <w:jc w:val="right"/>
              <w:rPr>
                <w:sz w:val="22"/>
              </w:rPr>
            </w:pPr>
            <w:r>
              <w:rPr>
                <w:spacing w:val="-2"/>
                <w:sz w:val="22"/>
              </w:rPr>
              <w:t>(E)(ii)</w:t>
            </w:r>
          </w:p>
        </w:tc>
        <w:tc>
          <w:tcPr>
            <w:tcW w:w="1332" w:type="dxa"/>
          </w:tcPr>
          <w:p>
            <w:pPr>
              <w:pStyle w:val="TableParagraph"/>
              <w:spacing w:line="232" w:lineRule="exact" w:before="2"/>
              <w:ind w:left="10"/>
              <w:rPr>
                <w:sz w:val="22"/>
              </w:rPr>
            </w:pPr>
            <w:r>
              <w:rPr>
                <w:w w:val="100"/>
                <w:sz w:val="22"/>
              </w:rPr>
              <w:t>1</w:t>
            </w:r>
          </w:p>
        </w:tc>
      </w:tr>
      <w:tr>
        <w:trPr>
          <w:trHeight w:val="505" w:hRule="atLeast"/>
        </w:trPr>
        <w:tc>
          <w:tcPr>
            <w:tcW w:w="6456" w:type="dxa"/>
          </w:tcPr>
          <w:p>
            <w:pPr>
              <w:pStyle w:val="TableParagraph"/>
              <w:spacing w:line="254" w:lineRule="exact"/>
              <w:ind w:right="171"/>
              <w:jc w:val="left"/>
              <w:rPr>
                <w:sz w:val="22"/>
              </w:rPr>
            </w:pPr>
            <w:r>
              <w:rPr>
                <w:sz w:val="22"/>
              </w:rPr>
              <w:t>Min</w:t>
            </w:r>
            <w:r>
              <w:rPr>
                <w:spacing w:val="-5"/>
                <w:sz w:val="22"/>
              </w:rPr>
              <w:t> </w:t>
            </w:r>
            <w:r>
              <w:rPr>
                <w:sz w:val="22"/>
              </w:rPr>
              <w:t>2x/month</w:t>
            </w:r>
            <w:r>
              <w:rPr>
                <w:spacing w:val="-5"/>
                <w:sz w:val="22"/>
              </w:rPr>
              <w:t> </w:t>
            </w:r>
            <w:r>
              <w:rPr>
                <w:sz w:val="22"/>
              </w:rPr>
              <w:t>arts,</w:t>
            </w:r>
            <w:r>
              <w:rPr>
                <w:spacing w:val="-5"/>
                <w:sz w:val="22"/>
              </w:rPr>
              <w:t> </w:t>
            </w:r>
            <w:r>
              <w:rPr>
                <w:sz w:val="22"/>
              </w:rPr>
              <w:t>crafts,</w:t>
            </w:r>
            <w:r>
              <w:rPr>
                <w:spacing w:val="-4"/>
                <w:sz w:val="22"/>
              </w:rPr>
              <w:t> </w:t>
            </w:r>
            <w:r>
              <w:rPr>
                <w:sz w:val="22"/>
              </w:rPr>
              <w:t>or</w:t>
            </w:r>
            <w:r>
              <w:rPr>
                <w:spacing w:val="-4"/>
                <w:sz w:val="22"/>
              </w:rPr>
              <w:t> </w:t>
            </w:r>
            <w:r>
              <w:rPr>
                <w:sz w:val="22"/>
              </w:rPr>
              <w:t>other</w:t>
            </w:r>
            <w:r>
              <w:rPr>
                <w:spacing w:val="-6"/>
                <w:sz w:val="22"/>
              </w:rPr>
              <w:t> </w:t>
            </w:r>
            <w:r>
              <w:rPr>
                <w:sz w:val="22"/>
              </w:rPr>
              <w:t>recreational</w:t>
            </w:r>
            <w:r>
              <w:rPr>
                <w:spacing w:val="-5"/>
                <w:sz w:val="22"/>
              </w:rPr>
              <w:t> </w:t>
            </w:r>
            <w:r>
              <w:rPr>
                <w:sz w:val="22"/>
              </w:rPr>
              <w:t>activities</w:t>
            </w:r>
            <w:r>
              <w:rPr>
                <w:spacing w:val="-5"/>
                <w:sz w:val="22"/>
              </w:rPr>
              <w:t> </w:t>
            </w:r>
            <w:r>
              <w:rPr>
                <w:sz w:val="22"/>
              </w:rPr>
              <w:t>(e.g. book club)</w:t>
            </w:r>
          </w:p>
        </w:tc>
        <w:tc>
          <w:tcPr>
            <w:tcW w:w="1562" w:type="dxa"/>
          </w:tcPr>
          <w:p>
            <w:pPr>
              <w:pStyle w:val="TableParagraph"/>
              <w:ind w:left="0" w:right="477"/>
              <w:jc w:val="right"/>
              <w:rPr>
                <w:sz w:val="22"/>
              </w:rPr>
            </w:pPr>
            <w:r>
              <w:rPr>
                <w:spacing w:val="-2"/>
                <w:sz w:val="22"/>
              </w:rPr>
              <w:t>(E)(iii)</w:t>
            </w:r>
          </w:p>
        </w:tc>
        <w:tc>
          <w:tcPr>
            <w:tcW w:w="1332" w:type="dxa"/>
          </w:tcPr>
          <w:p>
            <w:pPr>
              <w:pStyle w:val="TableParagraph"/>
              <w:ind w:left="10"/>
              <w:rPr>
                <w:sz w:val="22"/>
              </w:rPr>
            </w:pPr>
            <w:r>
              <w:rPr>
                <w:w w:val="100"/>
                <w:sz w:val="22"/>
              </w:rPr>
              <w:t>1</w:t>
            </w:r>
          </w:p>
        </w:tc>
      </w:tr>
      <w:tr>
        <w:trPr>
          <w:trHeight w:val="503" w:hRule="atLeast"/>
        </w:trPr>
        <w:tc>
          <w:tcPr>
            <w:tcW w:w="6456" w:type="dxa"/>
          </w:tcPr>
          <w:p>
            <w:pPr>
              <w:pStyle w:val="TableParagraph"/>
              <w:spacing w:line="254" w:lineRule="exact"/>
              <w:jc w:val="left"/>
              <w:rPr>
                <w:sz w:val="22"/>
              </w:rPr>
            </w:pPr>
            <w:r>
              <w:rPr>
                <w:sz w:val="22"/>
              </w:rPr>
              <w:t>Min</w:t>
            </w:r>
            <w:r>
              <w:rPr>
                <w:spacing w:val="-6"/>
                <w:sz w:val="22"/>
              </w:rPr>
              <w:t> </w:t>
            </w:r>
            <w:r>
              <w:rPr>
                <w:sz w:val="22"/>
              </w:rPr>
              <w:t>2x/month</w:t>
            </w:r>
            <w:r>
              <w:rPr>
                <w:spacing w:val="-6"/>
                <w:sz w:val="22"/>
              </w:rPr>
              <w:t> </w:t>
            </w:r>
            <w:r>
              <w:rPr>
                <w:sz w:val="22"/>
              </w:rPr>
              <w:t>on-site</w:t>
            </w:r>
            <w:r>
              <w:rPr>
                <w:spacing w:val="-8"/>
                <w:sz w:val="22"/>
              </w:rPr>
              <w:t> </w:t>
            </w:r>
            <w:r>
              <w:rPr>
                <w:sz w:val="22"/>
              </w:rPr>
              <w:t>social</w:t>
            </w:r>
            <w:r>
              <w:rPr>
                <w:spacing w:val="-6"/>
                <w:sz w:val="22"/>
              </w:rPr>
              <w:t> </w:t>
            </w:r>
            <w:r>
              <w:rPr>
                <w:sz w:val="22"/>
              </w:rPr>
              <w:t>events</w:t>
            </w:r>
            <w:r>
              <w:rPr>
                <w:spacing w:val="-8"/>
                <w:sz w:val="22"/>
              </w:rPr>
              <w:t> </w:t>
            </w:r>
            <w:r>
              <w:rPr>
                <w:sz w:val="22"/>
              </w:rPr>
              <w:t>(e.g.</w:t>
            </w:r>
            <w:r>
              <w:rPr>
                <w:spacing w:val="-4"/>
                <w:sz w:val="22"/>
              </w:rPr>
              <w:t> </w:t>
            </w:r>
            <w:r>
              <w:rPr>
                <w:sz w:val="22"/>
              </w:rPr>
              <w:t>potlucks,</w:t>
            </w:r>
            <w:r>
              <w:rPr>
                <w:spacing w:val="-7"/>
                <w:sz w:val="22"/>
              </w:rPr>
              <w:t> </w:t>
            </w:r>
            <w:r>
              <w:rPr>
                <w:sz w:val="22"/>
              </w:rPr>
              <w:t>holiday celebrations, etc.)</w:t>
            </w:r>
          </w:p>
        </w:tc>
        <w:tc>
          <w:tcPr>
            <w:tcW w:w="1562" w:type="dxa"/>
          </w:tcPr>
          <w:p>
            <w:pPr>
              <w:pStyle w:val="TableParagraph"/>
              <w:spacing w:line="251" w:lineRule="exact"/>
              <w:ind w:left="0" w:right="468"/>
              <w:jc w:val="right"/>
              <w:rPr>
                <w:sz w:val="22"/>
              </w:rPr>
            </w:pPr>
            <w:r>
              <w:rPr>
                <w:spacing w:val="-2"/>
                <w:sz w:val="22"/>
              </w:rPr>
              <w:t>(E)(iv)</w:t>
            </w:r>
          </w:p>
        </w:tc>
        <w:tc>
          <w:tcPr>
            <w:tcW w:w="1332" w:type="dxa"/>
          </w:tcPr>
          <w:p>
            <w:pPr>
              <w:pStyle w:val="TableParagraph"/>
              <w:spacing w:line="251" w:lineRule="exact"/>
              <w:ind w:left="10"/>
              <w:rPr>
                <w:sz w:val="22"/>
              </w:rPr>
            </w:pPr>
            <w:r>
              <w:rPr>
                <w:w w:val="100"/>
                <w:sz w:val="22"/>
              </w:rPr>
              <w:t>1</w:t>
            </w:r>
          </w:p>
        </w:tc>
      </w:tr>
      <w:tr>
        <w:trPr>
          <w:trHeight w:val="502" w:hRule="atLeast"/>
        </w:trPr>
        <w:tc>
          <w:tcPr>
            <w:tcW w:w="6456" w:type="dxa"/>
          </w:tcPr>
          <w:p>
            <w:pPr>
              <w:pStyle w:val="TableParagraph"/>
              <w:spacing w:line="249" w:lineRule="exact"/>
              <w:jc w:val="left"/>
              <w:rPr>
                <w:sz w:val="22"/>
              </w:rPr>
            </w:pPr>
            <w:r>
              <w:rPr>
                <w:sz w:val="22"/>
              </w:rPr>
              <w:t>Case</w:t>
            </w:r>
            <w:r>
              <w:rPr>
                <w:spacing w:val="-6"/>
                <w:sz w:val="22"/>
              </w:rPr>
              <w:t> </w:t>
            </w:r>
            <w:r>
              <w:rPr>
                <w:sz w:val="22"/>
              </w:rPr>
              <w:t>management</w:t>
            </w:r>
            <w:r>
              <w:rPr>
                <w:spacing w:val="-7"/>
                <w:sz w:val="22"/>
              </w:rPr>
              <w:t> </w:t>
            </w:r>
            <w:r>
              <w:rPr>
                <w:sz w:val="22"/>
              </w:rPr>
              <w:t>for</w:t>
            </w:r>
            <w:r>
              <w:rPr>
                <w:spacing w:val="-7"/>
                <w:sz w:val="22"/>
              </w:rPr>
              <w:t> </w:t>
            </w:r>
            <w:r>
              <w:rPr>
                <w:sz w:val="22"/>
              </w:rPr>
              <w:t>elderly,</w:t>
            </w:r>
            <w:r>
              <w:rPr>
                <w:spacing w:val="-4"/>
                <w:sz w:val="22"/>
              </w:rPr>
              <w:t> </w:t>
            </w:r>
            <w:r>
              <w:rPr>
                <w:sz w:val="22"/>
              </w:rPr>
              <w:t>disabled,</w:t>
            </w:r>
            <w:r>
              <w:rPr>
                <w:spacing w:val="-7"/>
                <w:sz w:val="22"/>
              </w:rPr>
              <w:t> </w:t>
            </w:r>
            <w:r>
              <w:rPr>
                <w:sz w:val="22"/>
              </w:rPr>
              <w:t>or</w:t>
            </w:r>
            <w:r>
              <w:rPr>
                <w:spacing w:val="-7"/>
                <w:sz w:val="22"/>
              </w:rPr>
              <w:t> </w:t>
            </w:r>
            <w:r>
              <w:rPr>
                <w:sz w:val="22"/>
              </w:rPr>
              <w:t>special</w:t>
            </w:r>
            <w:r>
              <w:rPr>
                <w:spacing w:val="-5"/>
                <w:sz w:val="22"/>
              </w:rPr>
              <w:t> </w:t>
            </w:r>
            <w:r>
              <w:rPr>
                <w:spacing w:val="-2"/>
                <w:sz w:val="22"/>
              </w:rPr>
              <w:t>needs</w:t>
            </w:r>
          </w:p>
          <w:p>
            <w:pPr>
              <w:pStyle w:val="TableParagraph"/>
              <w:spacing w:line="232" w:lineRule="exact" w:before="1"/>
              <w:jc w:val="left"/>
              <w:rPr>
                <w:sz w:val="22"/>
              </w:rPr>
            </w:pPr>
            <w:r>
              <w:rPr>
                <w:spacing w:val="-2"/>
                <w:sz w:val="22"/>
              </w:rPr>
              <w:t>tenants</w:t>
            </w:r>
          </w:p>
        </w:tc>
        <w:tc>
          <w:tcPr>
            <w:tcW w:w="1562" w:type="dxa"/>
          </w:tcPr>
          <w:p>
            <w:pPr>
              <w:pStyle w:val="TableParagraph"/>
              <w:spacing w:line="249" w:lineRule="exact"/>
              <w:ind w:left="0" w:right="492"/>
              <w:jc w:val="right"/>
              <w:rPr>
                <w:sz w:val="22"/>
              </w:rPr>
            </w:pPr>
            <w:r>
              <w:rPr>
                <w:spacing w:val="-2"/>
                <w:sz w:val="22"/>
              </w:rPr>
              <w:t>(E)(v)</w:t>
            </w:r>
          </w:p>
        </w:tc>
        <w:tc>
          <w:tcPr>
            <w:tcW w:w="1332" w:type="dxa"/>
          </w:tcPr>
          <w:p>
            <w:pPr>
              <w:pStyle w:val="TableParagraph"/>
              <w:spacing w:line="249" w:lineRule="exact"/>
              <w:ind w:left="10"/>
              <w:rPr>
                <w:sz w:val="22"/>
              </w:rPr>
            </w:pPr>
            <w:r>
              <w:rPr>
                <w:w w:val="100"/>
                <w:sz w:val="22"/>
              </w:rPr>
              <w:t>3</w:t>
            </w:r>
          </w:p>
        </w:tc>
      </w:tr>
      <w:tr>
        <w:trPr>
          <w:trHeight w:val="506" w:hRule="atLeast"/>
        </w:trPr>
        <w:tc>
          <w:tcPr>
            <w:tcW w:w="6456" w:type="dxa"/>
          </w:tcPr>
          <w:p>
            <w:pPr>
              <w:pStyle w:val="TableParagraph"/>
              <w:spacing w:line="252" w:lineRule="exact"/>
              <w:jc w:val="left"/>
              <w:rPr>
                <w:sz w:val="22"/>
              </w:rPr>
            </w:pPr>
            <w:r>
              <w:rPr>
                <w:sz w:val="22"/>
              </w:rPr>
              <w:t>Weekly</w:t>
            </w:r>
            <w:r>
              <w:rPr>
                <w:spacing w:val="-4"/>
                <w:sz w:val="22"/>
              </w:rPr>
              <w:t> </w:t>
            </w:r>
            <w:r>
              <w:rPr>
                <w:sz w:val="22"/>
              </w:rPr>
              <w:t>home</w:t>
            </w:r>
            <w:r>
              <w:rPr>
                <w:spacing w:val="-5"/>
                <w:sz w:val="22"/>
              </w:rPr>
              <w:t> </w:t>
            </w:r>
            <w:r>
              <w:rPr>
                <w:sz w:val="22"/>
              </w:rPr>
              <w:t>chore</w:t>
            </w:r>
            <w:r>
              <w:rPr>
                <w:spacing w:val="-5"/>
                <w:sz w:val="22"/>
              </w:rPr>
              <w:t> </w:t>
            </w:r>
            <w:r>
              <w:rPr>
                <w:sz w:val="22"/>
              </w:rPr>
              <w:t>and</w:t>
            </w:r>
            <w:r>
              <w:rPr>
                <w:spacing w:val="-9"/>
                <w:sz w:val="22"/>
              </w:rPr>
              <w:t> </w:t>
            </w:r>
            <w:r>
              <w:rPr>
                <w:sz w:val="22"/>
              </w:rPr>
              <w:t>quarterly</w:t>
            </w:r>
            <w:r>
              <w:rPr>
                <w:spacing w:val="-4"/>
                <w:sz w:val="22"/>
              </w:rPr>
              <w:t> </w:t>
            </w:r>
            <w:r>
              <w:rPr>
                <w:sz w:val="22"/>
              </w:rPr>
              <w:t>preventative</w:t>
            </w:r>
            <w:r>
              <w:rPr>
                <w:spacing w:val="-7"/>
                <w:sz w:val="22"/>
              </w:rPr>
              <w:t> </w:t>
            </w:r>
            <w:r>
              <w:rPr>
                <w:sz w:val="22"/>
              </w:rPr>
              <w:t>maintenance</w:t>
            </w:r>
            <w:r>
              <w:rPr>
                <w:spacing w:val="-5"/>
                <w:sz w:val="22"/>
              </w:rPr>
              <w:t> </w:t>
            </w:r>
            <w:r>
              <w:rPr>
                <w:sz w:val="22"/>
              </w:rPr>
              <w:t>for elderly or disabled tenants</w:t>
            </w:r>
          </w:p>
        </w:tc>
        <w:tc>
          <w:tcPr>
            <w:tcW w:w="1562" w:type="dxa"/>
          </w:tcPr>
          <w:p>
            <w:pPr>
              <w:pStyle w:val="TableParagraph"/>
              <w:ind w:left="0" w:right="468"/>
              <w:jc w:val="right"/>
              <w:rPr>
                <w:sz w:val="22"/>
              </w:rPr>
            </w:pPr>
            <w:r>
              <w:rPr>
                <w:spacing w:val="-2"/>
                <w:sz w:val="22"/>
              </w:rPr>
              <w:t>(E)(vi)</w:t>
            </w:r>
          </w:p>
        </w:tc>
        <w:tc>
          <w:tcPr>
            <w:tcW w:w="1332" w:type="dxa"/>
          </w:tcPr>
          <w:p>
            <w:pPr>
              <w:pStyle w:val="TableParagraph"/>
              <w:ind w:left="10"/>
              <w:rPr>
                <w:sz w:val="22"/>
              </w:rPr>
            </w:pPr>
            <w:r>
              <w:rPr>
                <w:w w:val="100"/>
                <w:sz w:val="22"/>
              </w:rPr>
              <w:t>2</w:t>
            </w:r>
          </w:p>
        </w:tc>
      </w:tr>
      <w:tr>
        <w:trPr>
          <w:trHeight w:val="251" w:hRule="atLeast"/>
        </w:trPr>
        <w:tc>
          <w:tcPr>
            <w:tcW w:w="6456" w:type="dxa"/>
          </w:tcPr>
          <w:p>
            <w:pPr>
              <w:pStyle w:val="TableParagraph"/>
              <w:spacing w:line="232" w:lineRule="exact"/>
              <w:jc w:val="left"/>
              <w:rPr>
                <w:sz w:val="22"/>
              </w:rPr>
            </w:pPr>
            <w:r>
              <w:rPr>
                <w:sz w:val="22"/>
              </w:rPr>
              <w:t>Social</w:t>
            </w:r>
            <w:r>
              <w:rPr>
                <w:spacing w:val="-5"/>
                <w:sz w:val="22"/>
              </w:rPr>
              <w:t> </w:t>
            </w:r>
            <w:r>
              <w:rPr>
                <w:sz w:val="22"/>
              </w:rPr>
              <w:t>Security</w:t>
            </w:r>
            <w:r>
              <w:rPr>
                <w:spacing w:val="-3"/>
                <w:sz w:val="22"/>
              </w:rPr>
              <w:t> </w:t>
            </w:r>
            <w:r>
              <w:rPr>
                <w:sz w:val="22"/>
              </w:rPr>
              <w:t>Act</w:t>
            </w:r>
            <w:r>
              <w:rPr>
                <w:spacing w:val="-3"/>
                <w:sz w:val="22"/>
              </w:rPr>
              <w:t> </w:t>
            </w:r>
            <w:r>
              <w:rPr>
                <w:sz w:val="22"/>
              </w:rPr>
              <w:t>Title</w:t>
            </w:r>
            <w:r>
              <w:rPr>
                <w:spacing w:val="-6"/>
                <w:sz w:val="22"/>
              </w:rPr>
              <w:t> </w:t>
            </w:r>
            <w:r>
              <w:rPr>
                <w:sz w:val="22"/>
              </w:rPr>
              <w:t>IV-A</w:t>
            </w:r>
            <w:r>
              <w:rPr>
                <w:spacing w:val="-4"/>
                <w:sz w:val="22"/>
              </w:rPr>
              <w:t> </w:t>
            </w:r>
            <w:r>
              <w:rPr>
                <w:spacing w:val="-2"/>
                <w:sz w:val="22"/>
              </w:rPr>
              <w:t>programming</w:t>
            </w:r>
          </w:p>
        </w:tc>
        <w:tc>
          <w:tcPr>
            <w:tcW w:w="1562" w:type="dxa"/>
          </w:tcPr>
          <w:p>
            <w:pPr>
              <w:pStyle w:val="TableParagraph"/>
              <w:spacing w:line="232" w:lineRule="exact"/>
              <w:ind w:left="0" w:right="444"/>
              <w:jc w:val="right"/>
              <w:rPr>
                <w:sz w:val="22"/>
              </w:rPr>
            </w:pPr>
            <w:r>
              <w:rPr>
                <w:spacing w:val="-2"/>
                <w:sz w:val="22"/>
              </w:rPr>
              <w:t>(E)(vii)</w:t>
            </w:r>
          </w:p>
        </w:tc>
        <w:tc>
          <w:tcPr>
            <w:tcW w:w="1332" w:type="dxa"/>
          </w:tcPr>
          <w:p>
            <w:pPr>
              <w:pStyle w:val="TableParagraph"/>
              <w:spacing w:line="232" w:lineRule="exact"/>
              <w:ind w:left="10"/>
              <w:rPr>
                <w:sz w:val="22"/>
              </w:rPr>
            </w:pPr>
            <w:r>
              <w:rPr>
                <w:w w:val="100"/>
                <w:sz w:val="22"/>
              </w:rPr>
              <w:t>1</w:t>
            </w:r>
          </w:p>
        </w:tc>
      </w:tr>
      <w:tr>
        <w:trPr>
          <w:trHeight w:val="506" w:hRule="atLeast"/>
        </w:trPr>
        <w:tc>
          <w:tcPr>
            <w:tcW w:w="6456" w:type="dxa"/>
          </w:tcPr>
          <w:p>
            <w:pPr>
              <w:pStyle w:val="TableParagraph"/>
              <w:spacing w:line="252" w:lineRule="exact"/>
              <w:jc w:val="left"/>
              <w:rPr>
                <w:sz w:val="22"/>
              </w:rPr>
            </w:pPr>
            <w:r>
              <w:rPr>
                <w:sz w:val="22"/>
              </w:rPr>
              <w:t>Part-time</w:t>
            </w:r>
            <w:r>
              <w:rPr>
                <w:spacing w:val="-8"/>
                <w:sz w:val="22"/>
              </w:rPr>
              <w:t> </w:t>
            </w:r>
            <w:r>
              <w:rPr>
                <w:sz w:val="22"/>
              </w:rPr>
              <w:t>resident</w:t>
            </w:r>
            <w:r>
              <w:rPr>
                <w:spacing w:val="-4"/>
                <w:sz w:val="22"/>
              </w:rPr>
              <w:t> </w:t>
            </w:r>
            <w:r>
              <w:rPr>
                <w:sz w:val="22"/>
              </w:rPr>
              <w:t>services</w:t>
            </w:r>
            <w:r>
              <w:rPr>
                <w:spacing w:val="-5"/>
                <w:sz w:val="22"/>
              </w:rPr>
              <w:t> </w:t>
            </w:r>
            <w:r>
              <w:rPr>
                <w:sz w:val="22"/>
              </w:rPr>
              <w:t>coordinator</w:t>
            </w:r>
            <w:r>
              <w:rPr>
                <w:spacing w:val="-7"/>
                <w:sz w:val="22"/>
              </w:rPr>
              <w:t> </w:t>
            </w:r>
            <w:r>
              <w:rPr>
                <w:sz w:val="22"/>
              </w:rPr>
              <w:t>(min.</w:t>
            </w:r>
            <w:r>
              <w:rPr>
                <w:spacing w:val="-4"/>
                <w:sz w:val="22"/>
              </w:rPr>
              <w:t> </w:t>
            </w:r>
            <w:r>
              <w:rPr>
                <w:sz w:val="22"/>
              </w:rPr>
              <w:t>15</w:t>
            </w:r>
            <w:r>
              <w:rPr>
                <w:spacing w:val="-8"/>
                <w:sz w:val="22"/>
              </w:rPr>
              <w:t> </w:t>
            </w:r>
            <w:r>
              <w:rPr>
                <w:sz w:val="22"/>
              </w:rPr>
              <w:t>hours/week)</w:t>
            </w:r>
            <w:r>
              <w:rPr>
                <w:spacing w:val="-4"/>
                <w:sz w:val="22"/>
              </w:rPr>
              <w:t> </w:t>
            </w:r>
            <w:r>
              <w:rPr>
                <w:sz w:val="22"/>
              </w:rPr>
              <w:t>or contract for same through local provider</w:t>
            </w:r>
          </w:p>
        </w:tc>
        <w:tc>
          <w:tcPr>
            <w:tcW w:w="1562" w:type="dxa"/>
          </w:tcPr>
          <w:p>
            <w:pPr>
              <w:pStyle w:val="TableParagraph"/>
              <w:spacing w:before="2"/>
              <w:ind w:left="0" w:right="422"/>
              <w:jc w:val="right"/>
              <w:rPr>
                <w:sz w:val="22"/>
              </w:rPr>
            </w:pPr>
            <w:r>
              <w:rPr>
                <w:spacing w:val="-2"/>
                <w:sz w:val="22"/>
              </w:rPr>
              <w:t>(E)(viii)</w:t>
            </w:r>
          </w:p>
        </w:tc>
        <w:tc>
          <w:tcPr>
            <w:tcW w:w="1332" w:type="dxa"/>
          </w:tcPr>
          <w:p>
            <w:pPr>
              <w:pStyle w:val="TableParagraph"/>
              <w:spacing w:before="2"/>
              <w:ind w:left="10"/>
              <w:rPr>
                <w:sz w:val="22"/>
              </w:rPr>
            </w:pPr>
            <w:r>
              <w:rPr>
                <w:w w:val="100"/>
                <w:sz w:val="22"/>
              </w:rPr>
              <w:t>2</w:t>
            </w:r>
          </w:p>
        </w:tc>
      </w:tr>
      <w:tr>
        <w:trPr>
          <w:trHeight w:val="508" w:hRule="atLeast"/>
        </w:trPr>
        <w:tc>
          <w:tcPr>
            <w:tcW w:w="6456" w:type="dxa"/>
          </w:tcPr>
          <w:p>
            <w:pPr>
              <w:pStyle w:val="TableParagraph"/>
              <w:spacing w:line="252" w:lineRule="exact"/>
              <w:jc w:val="left"/>
              <w:rPr>
                <w:sz w:val="22"/>
              </w:rPr>
            </w:pPr>
            <w:r>
              <w:rPr>
                <w:sz w:val="22"/>
              </w:rPr>
              <w:t>Education/tuition</w:t>
            </w:r>
            <w:r>
              <w:rPr>
                <w:spacing w:val="-8"/>
                <w:sz w:val="22"/>
              </w:rPr>
              <w:t> </w:t>
            </w:r>
            <w:r>
              <w:rPr>
                <w:sz w:val="22"/>
              </w:rPr>
              <w:t>savings</w:t>
            </w:r>
            <w:r>
              <w:rPr>
                <w:spacing w:val="-8"/>
                <w:sz w:val="22"/>
              </w:rPr>
              <w:t> </w:t>
            </w:r>
            <w:r>
              <w:rPr>
                <w:sz w:val="22"/>
              </w:rPr>
              <w:t>match</w:t>
            </w:r>
            <w:r>
              <w:rPr>
                <w:spacing w:val="-7"/>
                <w:sz w:val="22"/>
              </w:rPr>
              <w:t> </w:t>
            </w:r>
            <w:r>
              <w:rPr>
                <w:sz w:val="22"/>
              </w:rPr>
              <w:t>or</w:t>
            </w:r>
            <w:r>
              <w:rPr>
                <w:spacing w:val="-7"/>
                <w:sz w:val="22"/>
              </w:rPr>
              <w:t> </w:t>
            </w:r>
            <w:r>
              <w:rPr>
                <w:sz w:val="22"/>
              </w:rPr>
              <w:t>scholarship</w:t>
            </w:r>
            <w:r>
              <w:rPr>
                <w:spacing w:val="-7"/>
                <w:sz w:val="22"/>
              </w:rPr>
              <w:t> </w:t>
            </w:r>
            <w:r>
              <w:rPr>
                <w:sz w:val="22"/>
              </w:rPr>
              <w:t>program</w:t>
            </w:r>
            <w:r>
              <w:rPr>
                <w:spacing w:val="-6"/>
                <w:sz w:val="22"/>
              </w:rPr>
              <w:t> </w:t>
            </w:r>
            <w:r>
              <w:rPr>
                <w:sz w:val="22"/>
              </w:rPr>
              <w:t>for </w:t>
            </w:r>
            <w:r>
              <w:rPr>
                <w:spacing w:val="-2"/>
                <w:sz w:val="22"/>
              </w:rPr>
              <w:t>residents</w:t>
            </w:r>
          </w:p>
        </w:tc>
        <w:tc>
          <w:tcPr>
            <w:tcW w:w="1562" w:type="dxa"/>
          </w:tcPr>
          <w:p>
            <w:pPr>
              <w:pStyle w:val="TableParagraph"/>
              <w:spacing w:before="2"/>
              <w:ind w:left="0" w:right="468"/>
              <w:jc w:val="right"/>
              <w:rPr>
                <w:sz w:val="22"/>
              </w:rPr>
            </w:pPr>
            <w:r>
              <w:rPr>
                <w:spacing w:val="-2"/>
                <w:sz w:val="22"/>
              </w:rPr>
              <w:t>(E)(ix)</w:t>
            </w:r>
          </w:p>
        </w:tc>
        <w:tc>
          <w:tcPr>
            <w:tcW w:w="1332" w:type="dxa"/>
          </w:tcPr>
          <w:p>
            <w:pPr>
              <w:pStyle w:val="TableParagraph"/>
              <w:spacing w:before="2"/>
              <w:ind w:left="10"/>
              <w:rPr>
                <w:sz w:val="22"/>
              </w:rPr>
            </w:pPr>
            <w:r>
              <w:rPr>
                <w:w w:val="100"/>
                <w:sz w:val="22"/>
              </w:rPr>
              <w:t>2</w:t>
            </w:r>
          </w:p>
        </w:tc>
      </w:tr>
    </w:tbl>
    <w:p>
      <w:pPr>
        <w:rPr>
          <w:sz w:val="2"/>
          <w:szCs w:val="2"/>
        </w:rPr>
      </w:pPr>
      <w:r>
        <w:rPr/>
        <w:pict>
          <v:shape style="position:absolute;margin-left:90.065002pt;margin-top:186.460968pt;width:395.3pt;height:419pt;mso-position-horizontal-relative:page;mso-position-vertical-relative:page;z-index:-17693184" id="docshape103" coordorigin="1801,3729" coordsize="7906,8380" path="m4498,10993l4492,10920,4477,10842,4455,10759,4432,10689,4403,10617,4367,10542,4325,10464,4276,10384,4237,10325,4200,10274,4200,10960,4197,11016,4186,11073,4167,11130,4138,11190,4097,11253,4044,11319,3979,11388,3674,11694,2216,10236,2517,9935,2598,9859,2672,9799,2740,9756,2801,9729,2868,9714,2941,9710,3020,9717,3105,9735,3195,9764,3255,9790,3317,9822,3380,9861,3446,9906,3514,9957,3584,10016,3656,10080,3729,10152,3789,10213,3845,10273,3896,10332,3943,10390,3986,10447,4025,10502,4059,10556,4101,10631,4136,10703,4163,10772,4183,10839,4196,10903,4200,10960,4200,10274,4194,10265,4148,10205,4098,10144,4045,10083,3989,10022,3929,9960,3865,9898,3801,9840,3737,9785,3673,9733,3643,9710,3609,9685,3546,9641,3482,9599,3419,9562,3346,9524,3274,9492,3203,9464,3132,9442,3062,9425,2992,9413,2923,9406,2850,9404,2779,9411,2709,9426,2642,9449,2577,9479,2528,9508,2476,9545,2420,9590,2359,9644,2294,9707,1801,10200,3710,12108,4124,11694,4226,11592,4287,11527,4341,11461,4386,11396,4424,11329,4454,11262,4476,11196,4491,11129,4498,11062,4498,10993xm6418,9400l6056,9272,5650,9129,5561,9100,5475,9076,5393,9057,5365,9052,5314,9043,5239,9033,5193,9031,5143,9034,5089,9041,5030,9052,5073,8982,5109,8913,5136,8844,5154,8775,5164,8706,5165,8638,5157,8570,5139,8492,5111,8416,5075,8341,5030,8269,4976,8198,4956,8175,4913,8129,4872,8091,4872,8648,4868,8704,4854,8759,4830,8815,4794,8874,4747,8935,4687,8999,4280,9406,3649,8774,4102,8321,4166,8264,4229,8221,4293,8192,4358,8176,4422,8175,4501,8190,4577,8220,4649,8265,4718,8325,4761,8372,4797,8423,4827,8477,4851,8533,4867,8591,4872,8648,4872,8091,4849,8070,4782,8017,4713,7972,4641,7933,4566,7901,4474,7873,4386,7860,4303,7862,4225,7878,4163,7903,4098,7940,4030,7988,3958,8047,3883,8118,3248,8753,5157,10661,5346,10472,4499,9624,4718,9406,4753,9371,4783,9344,4810,9323,4833,9308,4863,9295,4896,9284,4932,9276,4971,9272,5014,9272,5066,9277,5125,9288,5194,9304,5256,9321,5328,9342,5407,9367,5496,9397,6180,9638,6418,9400xm7780,8038l7415,7842,6555,7388,6555,7695,6070,8181,6030,8109,5989,8037,5748,7607,5708,7535,5668,7464,5629,7398,5590,7333,5550,7269,5509,7206,5467,7144,5424,7083,5380,7022,5436,7058,5498,7096,5564,7135,5635,7177,5792,7268,6555,7695,6555,7388,5862,7022,5286,6715,5082,6919,5277,7270,5316,7340,5701,8038,6207,8957,6441,9377,6642,9176,6565,9043,6298,8574,6221,8441,6481,8181,6820,7842,7173,8038,7565,8253,7780,8038xm8131,7687l7264,6820,7936,6148,7711,5923,7039,6595,6448,6004,7224,5228,6999,5003,6033,5968,7941,7876,8131,7687xm9707,6111l8024,4428,8497,3954,8272,3729,7138,4864,7363,5089,7834,4617,9517,6300,9707,6111xe" filled="true" fillcolor="#c0c0c0" stroked="false">
            <v:path arrowok="t"/>
            <v:fill opacity="32896f" type="solid"/>
            <w10:wrap type="none"/>
          </v:shape>
        </w:pict>
      </w:r>
    </w:p>
    <w:p>
      <w:pPr>
        <w:spacing w:after="0"/>
        <w:rPr>
          <w:sz w:val="2"/>
          <w:szCs w:val="2"/>
        </w:rPr>
        <w:sectPr>
          <w:pgSz w:w="12240" w:h="15840"/>
          <w:pgMar w:header="0" w:footer="1176" w:top="1420" w:bottom="1420" w:left="1320" w:right="1280"/>
        </w:sectPr>
      </w:pPr>
    </w:p>
    <w:p>
      <w:pPr>
        <w:pStyle w:val="Heading1"/>
        <w:spacing w:before="104"/>
        <w:rPr>
          <w:u w:val="none"/>
        </w:rPr>
      </w:pPr>
      <w:bookmarkStart w:name="CORPORATIONS" w:id="64"/>
      <w:bookmarkEnd w:id="64"/>
      <w:r>
        <w:rPr>
          <w:b w:val="0"/>
          <w:u w:val="none"/>
        </w:rPr>
      </w:r>
      <w:bookmarkStart w:name="_bookmark26" w:id="65"/>
      <w:bookmarkEnd w:id="65"/>
      <w:r>
        <w:rPr>
          <w:b w:val="0"/>
          <w:u w:val="none"/>
        </w:rPr>
      </w:r>
      <w:r>
        <w:rPr>
          <w:spacing w:val="-2"/>
          <w:u w:val="single"/>
        </w:rPr>
        <w:t>CORPORATIONS</w:t>
      </w:r>
    </w:p>
    <w:p>
      <w:pPr>
        <w:pStyle w:val="BodyText"/>
        <w:rPr>
          <w:b/>
          <w:sz w:val="20"/>
        </w:rPr>
      </w:pPr>
    </w:p>
    <w:p>
      <w:pPr>
        <w:pStyle w:val="BodyText"/>
        <w:spacing w:before="8"/>
        <w:rPr>
          <w:b/>
          <w:sz w:val="17"/>
        </w:rPr>
      </w:pPr>
    </w:p>
    <w:p>
      <w:pPr>
        <w:pStyle w:val="Heading3"/>
        <w:spacing w:line="259" w:lineRule="auto" w:before="89"/>
        <w:ind w:right="1028"/>
      </w:pPr>
      <w:r>
        <w:rPr/>
        <w:pict>
          <v:shape style="position:absolute;margin-left:90.065002pt;margin-top:45.598778pt;width:395.3pt;height:419pt;mso-position-horizontal-relative:page;mso-position-vertical-relative:paragraph;z-index:-17692672" id="docshape104" coordorigin="1801,912" coordsize="7906,8380" path="m4498,8176l4492,8102,4477,8024,4455,7941,4432,7872,4403,7800,4367,7725,4325,7647,4276,7566,4237,7507,4200,7457,4200,8142,4197,8199,4186,8255,4167,8313,4138,8373,4097,8435,4044,8501,3979,8571,3674,8876,2216,7419,2517,7118,2598,7042,2672,6982,2740,6938,2801,6912,2868,6897,2941,6893,3020,6900,3105,6918,3195,6947,3255,6973,3317,7005,3380,7043,3446,7089,3514,7140,3584,7198,3656,7263,3729,7334,3789,7396,3845,7456,3896,7515,3943,7573,3986,7629,4025,7685,4059,7739,4101,7813,4136,7885,4163,7955,4183,8022,4196,8086,4200,8142,4200,7457,4194,7448,4148,7388,4098,7327,4045,7266,3989,7205,3929,7143,3865,7081,3801,7022,3737,6967,3673,6916,3643,6893,3609,6868,3546,6823,3482,6782,3419,6744,3346,6707,3274,6674,3203,6647,3132,6625,3062,6608,2992,6596,2923,6589,2850,6587,2779,6594,2709,6609,2642,6632,2577,6662,2528,6690,2476,6727,2420,6773,2359,6827,2294,6890,1801,7383,3710,9291,4124,8876,4226,8775,4287,8709,4341,8644,4386,8578,4424,8512,4454,8445,4476,8379,4491,8312,4498,8244,4498,8176xm6418,6582l6056,6455,5650,6312,5561,6283,5475,6259,5393,6240,5365,6235,5314,6225,5239,6215,5193,6214,5143,6217,5089,6224,5030,6235,5073,6165,5109,6096,5136,6026,5154,5957,5164,5889,5165,5821,5157,5753,5139,5675,5111,5599,5075,5524,5030,5451,4976,5381,4956,5358,4913,5312,4872,5274,4872,5831,4868,5887,4854,5942,4830,5998,4794,6057,4747,6118,4687,6181,4280,6588,3649,5957,4102,5504,4166,5447,4229,5404,4293,5375,4358,5359,4422,5358,4501,5373,4577,5403,4649,5448,4718,5507,4761,5555,4797,5606,4827,5659,4851,5716,4867,5774,4872,5831,4872,5274,4849,5252,4782,5200,4713,5155,4641,5116,4566,5084,4474,5056,4386,5043,4303,5045,4225,5061,4163,5086,4098,5122,4030,5170,3958,5230,3883,5301,3248,5936,5157,7844,5346,7655,4499,6807,4718,6588,4753,6554,4783,6527,4810,6506,4833,6491,4863,6477,4896,6467,4932,6459,4971,6455,5014,6455,5066,6460,5125,6471,5194,6487,5256,6504,5328,6525,5407,6550,5496,6579,6180,6821,6418,6582xm7780,5220l7415,5025,6555,4571,6555,4878,6070,5363,6030,5292,5989,5220,5748,4790,5708,4718,5668,4646,5629,4581,5590,4516,5550,4452,5509,4389,5467,4327,5424,4265,5380,4205,5436,4241,5498,4278,5564,4318,5635,4360,5792,4451,6555,4878,6555,4571,5862,4205,5286,3898,5082,4102,5277,4452,5316,4523,5701,5220,6207,6139,6441,6560,6642,6359,6565,6225,6298,5757,6221,5624,6481,5363,6820,5025,7173,5220,7565,5436,7780,5220xm8131,4870l7264,4003,7936,3331,7711,3106,7039,3778,6448,3187,7224,2410,6999,2185,6033,3151,7941,5059,8131,4870xm9707,3294l8024,1611,8497,1137,8272,912,7138,2047,7363,2272,7834,1800,9517,3483,9707,3294xe" filled="true" fillcolor="#c0c0c0" stroked="false">
            <v:path arrowok="t"/>
            <v:fill opacity="32896f" type="solid"/>
            <w10:wrap type="none"/>
          </v:shape>
        </w:pict>
      </w:r>
      <w:bookmarkStart w:name="Dallas Housing Acquisition and Developme" w:id="66"/>
      <w:bookmarkEnd w:id="66"/>
      <w:r>
        <w:rPr/>
      </w:r>
      <w:bookmarkStart w:name="_bookmark27" w:id="67"/>
      <w:bookmarkEnd w:id="67"/>
      <w:r>
        <w:rPr/>
      </w:r>
      <w:r>
        <w:rPr>
          <w:color w:val="001F5F"/>
        </w:rPr>
        <w:t>Dallas</w:t>
      </w:r>
      <w:r>
        <w:rPr>
          <w:color w:val="001F5F"/>
          <w:spacing w:val="-8"/>
        </w:rPr>
        <w:t> </w:t>
      </w:r>
      <w:r>
        <w:rPr>
          <w:color w:val="001F5F"/>
        </w:rPr>
        <w:t>Housing</w:t>
      </w:r>
      <w:r>
        <w:rPr>
          <w:color w:val="001F5F"/>
          <w:spacing w:val="-9"/>
        </w:rPr>
        <w:t> </w:t>
      </w:r>
      <w:r>
        <w:rPr>
          <w:color w:val="001F5F"/>
        </w:rPr>
        <w:t>Acquisition</w:t>
      </w:r>
      <w:r>
        <w:rPr>
          <w:color w:val="001F5F"/>
          <w:spacing w:val="-9"/>
        </w:rPr>
        <w:t> </w:t>
      </w:r>
      <w:r>
        <w:rPr>
          <w:color w:val="001F5F"/>
        </w:rPr>
        <w:t>and</w:t>
      </w:r>
      <w:r>
        <w:rPr>
          <w:color w:val="001F5F"/>
          <w:spacing w:val="-9"/>
        </w:rPr>
        <w:t> </w:t>
      </w:r>
      <w:r>
        <w:rPr>
          <w:color w:val="001F5F"/>
        </w:rPr>
        <w:t>Development</w:t>
      </w:r>
      <w:r>
        <w:rPr>
          <w:color w:val="001F5F"/>
          <w:spacing w:val="-9"/>
        </w:rPr>
        <w:t> </w:t>
      </w:r>
      <w:r>
        <w:rPr>
          <w:color w:val="001F5F"/>
        </w:rPr>
        <w:t>Corporation (DHADC or Land Bank) – </w:t>
      </w:r>
      <w:r>
        <w:rPr>
          <w:color w:val="FF0000"/>
        </w:rPr>
        <w:t>Pillars 1, 2, 6, 7</w:t>
      </w:r>
    </w:p>
    <w:p>
      <w:pPr>
        <w:pStyle w:val="BodyText"/>
        <w:spacing w:before="268"/>
        <w:ind w:left="120" w:right="50"/>
      </w:pPr>
      <w:r>
        <w:rPr>
          <w:color w:val="222222"/>
        </w:rPr>
        <w:t>The</w:t>
      </w:r>
      <w:r>
        <w:rPr>
          <w:color w:val="222222"/>
          <w:spacing w:val="-3"/>
        </w:rPr>
        <w:t> </w:t>
      </w:r>
      <w:r>
        <w:rPr>
          <w:color w:val="222222"/>
        </w:rPr>
        <w:t>Dallas</w:t>
      </w:r>
      <w:r>
        <w:rPr>
          <w:color w:val="222222"/>
          <w:spacing w:val="-3"/>
        </w:rPr>
        <w:t> </w:t>
      </w:r>
      <w:r>
        <w:rPr>
          <w:color w:val="222222"/>
        </w:rPr>
        <w:t>Housing</w:t>
      </w:r>
      <w:r>
        <w:rPr>
          <w:color w:val="222222"/>
          <w:spacing w:val="-3"/>
        </w:rPr>
        <w:t> </w:t>
      </w:r>
      <w:r>
        <w:rPr>
          <w:color w:val="222222"/>
        </w:rPr>
        <w:t>and</w:t>
      </w:r>
      <w:r>
        <w:rPr>
          <w:color w:val="222222"/>
          <w:spacing w:val="-5"/>
        </w:rPr>
        <w:t> </w:t>
      </w:r>
      <w:r>
        <w:rPr>
          <w:color w:val="222222"/>
        </w:rPr>
        <w:t>Acquisition</w:t>
      </w:r>
      <w:r>
        <w:rPr>
          <w:color w:val="222222"/>
          <w:spacing w:val="-3"/>
        </w:rPr>
        <w:t> </w:t>
      </w:r>
      <w:r>
        <w:rPr>
          <w:color w:val="222222"/>
        </w:rPr>
        <w:t>Development</w:t>
      </w:r>
      <w:r>
        <w:rPr>
          <w:color w:val="222222"/>
          <w:spacing w:val="-4"/>
        </w:rPr>
        <w:t> </w:t>
      </w:r>
      <w:r>
        <w:rPr>
          <w:color w:val="222222"/>
        </w:rPr>
        <w:t>Corporation</w:t>
      </w:r>
      <w:r>
        <w:rPr>
          <w:color w:val="222222"/>
          <w:spacing w:val="-5"/>
        </w:rPr>
        <w:t> </w:t>
      </w:r>
      <w:r>
        <w:rPr>
          <w:color w:val="222222"/>
        </w:rPr>
        <w:t>(DHADC)</w:t>
      </w:r>
      <w:r>
        <w:rPr>
          <w:color w:val="222222"/>
          <w:spacing w:val="-2"/>
        </w:rPr>
        <w:t> </w:t>
      </w:r>
      <w:r>
        <w:rPr>
          <w:color w:val="222222"/>
        </w:rPr>
        <w:t>is</w:t>
      </w:r>
      <w:r>
        <w:rPr>
          <w:color w:val="222222"/>
          <w:spacing w:val="-3"/>
        </w:rPr>
        <w:t> </w:t>
      </w:r>
      <w:r>
        <w:rPr>
          <w:color w:val="222222"/>
        </w:rPr>
        <w:t>a</w:t>
      </w:r>
      <w:r>
        <w:rPr>
          <w:color w:val="222222"/>
          <w:spacing w:val="-3"/>
        </w:rPr>
        <w:t> </w:t>
      </w:r>
      <w:r>
        <w:rPr>
          <w:color w:val="222222"/>
        </w:rPr>
        <w:t>non-profit</w:t>
      </w:r>
      <w:r>
        <w:rPr>
          <w:color w:val="222222"/>
          <w:spacing w:val="-2"/>
        </w:rPr>
        <w:t> </w:t>
      </w:r>
      <w:r>
        <w:rPr>
          <w:color w:val="222222"/>
        </w:rPr>
        <w:t>entity organized under the Texas Nonprofit Corporation Act and acts as a duly constituted instrumentality of the City of Dallas (the "City"). Its purposes are to:</w:t>
      </w:r>
    </w:p>
    <w:p>
      <w:pPr>
        <w:pStyle w:val="ListParagraph"/>
        <w:numPr>
          <w:ilvl w:val="0"/>
          <w:numId w:val="24"/>
        </w:numPr>
        <w:tabs>
          <w:tab w:pos="841" w:val="left" w:leader="none"/>
        </w:tabs>
        <w:spacing w:line="240" w:lineRule="auto" w:before="0" w:after="0"/>
        <w:ind w:left="840" w:right="553" w:hanging="360"/>
        <w:jc w:val="both"/>
        <w:rPr>
          <w:sz w:val="22"/>
        </w:rPr>
      </w:pPr>
      <w:r>
        <w:rPr>
          <w:color w:val="222222"/>
          <w:sz w:val="22"/>
        </w:rPr>
        <w:t>Provide</w:t>
      </w:r>
      <w:r>
        <w:rPr>
          <w:color w:val="222222"/>
          <w:spacing w:val="-3"/>
          <w:sz w:val="22"/>
        </w:rPr>
        <w:t> </w:t>
      </w:r>
      <w:r>
        <w:rPr>
          <w:color w:val="222222"/>
          <w:sz w:val="22"/>
        </w:rPr>
        <w:t>safe,</w:t>
      </w:r>
      <w:r>
        <w:rPr>
          <w:color w:val="222222"/>
          <w:spacing w:val="-1"/>
          <w:sz w:val="22"/>
        </w:rPr>
        <w:t> </w:t>
      </w:r>
      <w:r>
        <w:rPr>
          <w:color w:val="222222"/>
          <w:sz w:val="22"/>
        </w:rPr>
        <w:t>affordable</w:t>
      </w:r>
      <w:r>
        <w:rPr>
          <w:color w:val="222222"/>
          <w:spacing w:val="-5"/>
          <w:sz w:val="22"/>
        </w:rPr>
        <w:t> </w:t>
      </w:r>
      <w:r>
        <w:rPr>
          <w:color w:val="222222"/>
          <w:sz w:val="22"/>
        </w:rPr>
        <w:t>housing</w:t>
      </w:r>
      <w:r>
        <w:rPr>
          <w:color w:val="222222"/>
          <w:spacing w:val="-3"/>
          <w:sz w:val="22"/>
        </w:rPr>
        <w:t> </w:t>
      </w:r>
      <w:r>
        <w:rPr>
          <w:color w:val="222222"/>
          <w:sz w:val="22"/>
        </w:rPr>
        <w:t>facilities</w:t>
      </w:r>
      <w:r>
        <w:rPr>
          <w:color w:val="222222"/>
          <w:spacing w:val="-2"/>
          <w:sz w:val="22"/>
        </w:rPr>
        <w:t> </w:t>
      </w:r>
      <w:r>
        <w:rPr>
          <w:color w:val="222222"/>
          <w:sz w:val="22"/>
        </w:rPr>
        <w:t>for</w:t>
      </w:r>
      <w:r>
        <w:rPr>
          <w:color w:val="222222"/>
          <w:spacing w:val="-4"/>
          <w:sz w:val="22"/>
        </w:rPr>
        <w:t> </w:t>
      </w:r>
      <w:r>
        <w:rPr>
          <w:color w:val="222222"/>
          <w:sz w:val="22"/>
        </w:rPr>
        <w:t>the</w:t>
      </w:r>
      <w:r>
        <w:rPr>
          <w:color w:val="222222"/>
          <w:spacing w:val="-7"/>
          <w:sz w:val="22"/>
        </w:rPr>
        <w:t> </w:t>
      </w:r>
      <w:r>
        <w:rPr>
          <w:color w:val="222222"/>
          <w:sz w:val="22"/>
        </w:rPr>
        <w:t>benefit</w:t>
      </w:r>
      <w:r>
        <w:rPr>
          <w:color w:val="222222"/>
          <w:spacing w:val="-1"/>
          <w:sz w:val="22"/>
        </w:rPr>
        <w:t> </w:t>
      </w:r>
      <w:r>
        <w:rPr>
          <w:color w:val="222222"/>
          <w:sz w:val="22"/>
        </w:rPr>
        <w:t>of</w:t>
      </w:r>
      <w:r>
        <w:rPr>
          <w:color w:val="222222"/>
          <w:spacing w:val="-1"/>
          <w:sz w:val="22"/>
        </w:rPr>
        <w:t> </w:t>
      </w:r>
      <w:r>
        <w:rPr>
          <w:color w:val="222222"/>
          <w:sz w:val="22"/>
        </w:rPr>
        <w:t>low</w:t>
      </w:r>
      <w:r>
        <w:rPr>
          <w:color w:val="222222"/>
          <w:spacing w:val="-3"/>
          <w:sz w:val="22"/>
        </w:rPr>
        <w:t> </w:t>
      </w:r>
      <w:r>
        <w:rPr>
          <w:color w:val="222222"/>
          <w:sz w:val="22"/>
        </w:rPr>
        <w:t>and</w:t>
      </w:r>
      <w:r>
        <w:rPr>
          <w:color w:val="222222"/>
          <w:spacing w:val="-7"/>
          <w:sz w:val="22"/>
        </w:rPr>
        <w:t> </w:t>
      </w:r>
      <w:r>
        <w:rPr>
          <w:color w:val="222222"/>
          <w:sz w:val="22"/>
        </w:rPr>
        <w:t>moderate-income persons, as determined by the City.</w:t>
      </w:r>
    </w:p>
    <w:p>
      <w:pPr>
        <w:pStyle w:val="ListParagraph"/>
        <w:numPr>
          <w:ilvl w:val="0"/>
          <w:numId w:val="24"/>
        </w:numPr>
        <w:tabs>
          <w:tab w:pos="841" w:val="left" w:leader="none"/>
        </w:tabs>
        <w:spacing w:line="240" w:lineRule="auto" w:before="0" w:after="0"/>
        <w:ind w:left="840" w:right="482" w:hanging="360"/>
        <w:jc w:val="both"/>
        <w:rPr>
          <w:sz w:val="22"/>
        </w:rPr>
      </w:pPr>
      <w:r>
        <w:rPr>
          <w:color w:val="222222"/>
          <w:sz w:val="22"/>
        </w:rPr>
        <w:t>Promote</w:t>
      </w:r>
      <w:r>
        <w:rPr>
          <w:color w:val="222222"/>
          <w:spacing w:val="-4"/>
          <w:sz w:val="22"/>
        </w:rPr>
        <w:t> </w:t>
      </w:r>
      <w:r>
        <w:rPr>
          <w:color w:val="222222"/>
          <w:sz w:val="22"/>
        </w:rPr>
        <w:t>local</w:t>
      </w:r>
      <w:r>
        <w:rPr>
          <w:color w:val="222222"/>
          <w:spacing w:val="-4"/>
          <w:sz w:val="22"/>
        </w:rPr>
        <w:t> </w:t>
      </w:r>
      <w:r>
        <w:rPr>
          <w:color w:val="222222"/>
          <w:sz w:val="22"/>
        </w:rPr>
        <w:t>economic</w:t>
      </w:r>
      <w:r>
        <w:rPr>
          <w:color w:val="222222"/>
          <w:spacing w:val="-6"/>
          <w:sz w:val="22"/>
        </w:rPr>
        <w:t> </w:t>
      </w:r>
      <w:r>
        <w:rPr>
          <w:color w:val="222222"/>
          <w:sz w:val="22"/>
        </w:rPr>
        <w:t>development</w:t>
      </w:r>
      <w:r>
        <w:rPr>
          <w:color w:val="222222"/>
          <w:spacing w:val="-5"/>
          <w:sz w:val="22"/>
        </w:rPr>
        <w:t> </w:t>
      </w:r>
      <w:r>
        <w:rPr>
          <w:color w:val="222222"/>
          <w:sz w:val="22"/>
        </w:rPr>
        <w:t>and</w:t>
      </w:r>
      <w:r>
        <w:rPr>
          <w:color w:val="222222"/>
          <w:spacing w:val="-4"/>
          <w:sz w:val="22"/>
        </w:rPr>
        <w:t> </w:t>
      </w:r>
      <w:r>
        <w:rPr>
          <w:color w:val="222222"/>
          <w:sz w:val="22"/>
        </w:rPr>
        <w:t>stimulate</w:t>
      </w:r>
      <w:r>
        <w:rPr>
          <w:color w:val="222222"/>
          <w:spacing w:val="-4"/>
          <w:sz w:val="22"/>
        </w:rPr>
        <w:t> </w:t>
      </w:r>
      <w:r>
        <w:rPr>
          <w:color w:val="222222"/>
          <w:sz w:val="22"/>
        </w:rPr>
        <w:t>business</w:t>
      </w:r>
      <w:r>
        <w:rPr>
          <w:color w:val="222222"/>
          <w:spacing w:val="-6"/>
          <w:sz w:val="22"/>
        </w:rPr>
        <w:t> </w:t>
      </w:r>
      <w:r>
        <w:rPr>
          <w:color w:val="222222"/>
          <w:sz w:val="22"/>
        </w:rPr>
        <w:t>and</w:t>
      </w:r>
      <w:r>
        <w:rPr>
          <w:color w:val="222222"/>
          <w:spacing w:val="-6"/>
          <w:sz w:val="22"/>
        </w:rPr>
        <w:t> </w:t>
      </w:r>
      <w:r>
        <w:rPr>
          <w:color w:val="222222"/>
          <w:sz w:val="22"/>
        </w:rPr>
        <w:t>commercial</w:t>
      </w:r>
      <w:r>
        <w:rPr>
          <w:color w:val="222222"/>
          <w:spacing w:val="-4"/>
          <w:sz w:val="22"/>
        </w:rPr>
        <w:t> </w:t>
      </w:r>
      <w:r>
        <w:rPr>
          <w:color w:val="222222"/>
          <w:sz w:val="22"/>
        </w:rPr>
        <w:t>activity through</w:t>
      </w:r>
      <w:r>
        <w:rPr>
          <w:color w:val="222222"/>
          <w:spacing w:val="-3"/>
          <w:sz w:val="22"/>
        </w:rPr>
        <w:t> </w:t>
      </w:r>
      <w:r>
        <w:rPr>
          <w:color w:val="222222"/>
          <w:sz w:val="22"/>
        </w:rPr>
        <w:t>enhanced</w:t>
      </w:r>
      <w:r>
        <w:rPr>
          <w:color w:val="222222"/>
          <w:spacing w:val="-3"/>
          <w:sz w:val="22"/>
        </w:rPr>
        <w:t> </w:t>
      </w:r>
      <w:r>
        <w:rPr>
          <w:color w:val="222222"/>
          <w:sz w:val="22"/>
        </w:rPr>
        <w:t>market availability in</w:t>
      </w:r>
      <w:r>
        <w:rPr>
          <w:color w:val="222222"/>
          <w:spacing w:val="-1"/>
          <w:sz w:val="22"/>
        </w:rPr>
        <w:t> </w:t>
      </w:r>
      <w:r>
        <w:rPr>
          <w:color w:val="222222"/>
          <w:sz w:val="22"/>
        </w:rPr>
        <w:t>the</w:t>
      </w:r>
      <w:r>
        <w:rPr>
          <w:color w:val="222222"/>
          <w:spacing w:val="-3"/>
          <w:sz w:val="22"/>
        </w:rPr>
        <w:t> </w:t>
      </w:r>
      <w:r>
        <w:rPr>
          <w:color w:val="222222"/>
          <w:sz w:val="22"/>
        </w:rPr>
        <w:t>City</w:t>
      </w:r>
      <w:r>
        <w:rPr>
          <w:color w:val="222222"/>
          <w:spacing w:val="-3"/>
          <w:sz w:val="22"/>
        </w:rPr>
        <w:t> </w:t>
      </w:r>
      <w:r>
        <w:rPr>
          <w:color w:val="222222"/>
          <w:sz w:val="22"/>
        </w:rPr>
        <w:t>of Dallas by</w:t>
      </w:r>
      <w:r>
        <w:rPr>
          <w:color w:val="222222"/>
          <w:spacing w:val="-3"/>
          <w:sz w:val="22"/>
        </w:rPr>
        <w:t> </w:t>
      </w:r>
      <w:r>
        <w:rPr>
          <w:color w:val="222222"/>
          <w:sz w:val="22"/>
        </w:rPr>
        <w:t>the</w:t>
      </w:r>
      <w:r>
        <w:rPr>
          <w:color w:val="222222"/>
          <w:spacing w:val="-1"/>
          <w:sz w:val="22"/>
        </w:rPr>
        <w:t> </w:t>
      </w:r>
      <w:r>
        <w:rPr>
          <w:color w:val="222222"/>
          <w:sz w:val="22"/>
        </w:rPr>
        <w:t>development of new, mixed income single family housing.</w:t>
      </w:r>
    </w:p>
    <w:p>
      <w:pPr>
        <w:pStyle w:val="ListParagraph"/>
        <w:numPr>
          <w:ilvl w:val="0"/>
          <w:numId w:val="24"/>
        </w:numPr>
        <w:tabs>
          <w:tab w:pos="841" w:val="left" w:leader="none"/>
        </w:tabs>
        <w:spacing w:line="240" w:lineRule="auto" w:before="0" w:after="0"/>
        <w:ind w:left="840" w:right="603" w:hanging="360"/>
        <w:jc w:val="both"/>
        <w:rPr>
          <w:sz w:val="22"/>
        </w:rPr>
      </w:pPr>
      <w:r>
        <w:rPr>
          <w:color w:val="222222"/>
          <w:sz w:val="22"/>
        </w:rPr>
        <w:t>Increase</w:t>
      </w:r>
      <w:r>
        <w:rPr>
          <w:color w:val="222222"/>
          <w:spacing w:val="-5"/>
          <w:sz w:val="22"/>
        </w:rPr>
        <w:t> </w:t>
      </w:r>
      <w:r>
        <w:rPr>
          <w:color w:val="222222"/>
          <w:sz w:val="22"/>
        </w:rPr>
        <w:t>the</w:t>
      </w:r>
      <w:r>
        <w:rPr>
          <w:color w:val="222222"/>
          <w:spacing w:val="-5"/>
          <w:sz w:val="22"/>
        </w:rPr>
        <w:t> </w:t>
      </w:r>
      <w:r>
        <w:rPr>
          <w:color w:val="222222"/>
          <w:sz w:val="22"/>
        </w:rPr>
        <w:t>supply</w:t>
      </w:r>
      <w:r>
        <w:rPr>
          <w:color w:val="222222"/>
          <w:spacing w:val="-5"/>
          <w:sz w:val="22"/>
        </w:rPr>
        <w:t> </w:t>
      </w:r>
      <w:r>
        <w:rPr>
          <w:color w:val="222222"/>
          <w:sz w:val="22"/>
        </w:rPr>
        <w:t>of</w:t>
      </w:r>
      <w:r>
        <w:rPr>
          <w:color w:val="222222"/>
          <w:spacing w:val="-4"/>
          <w:sz w:val="22"/>
        </w:rPr>
        <w:t> </w:t>
      </w:r>
      <w:r>
        <w:rPr>
          <w:color w:val="222222"/>
          <w:sz w:val="22"/>
        </w:rPr>
        <w:t>new</w:t>
      </w:r>
      <w:r>
        <w:rPr>
          <w:color w:val="222222"/>
          <w:spacing w:val="-3"/>
          <w:sz w:val="22"/>
        </w:rPr>
        <w:t> </w:t>
      </w:r>
      <w:r>
        <w:rPr>
          <w:color w:val="222222"/>
          <w:sz w:val="22"/>
        </w:rPr>
        <w:t>affordable</w:t>
      </w:r>
      <w:r>
        <w:rPr>
          <w:color w:val="222222"/>
          <w:spacing w:val="-3"/>
          <w:sz w:val="22"/>
        </w:rPr>
        <w:t> </w:t>
      </w:r>
      <w:r>
        <w:rPr>
          <w:color w:val="222222"/>
          <w:sz w:val="22"/>
        </w:rPr>
        <w:t>housing</w:t>
      </w:r>
      <w:r>
        <w:rPr>
          <w:color w:val="222222"/>
          <w:spacing w:val="-5"/>
          <w:sz w:val="22"/>
        </w:rPr>
        <w:t> </w:t>
      </w:r>
      <w:r>
        <w:rPr>
          <w:color w:val="222222"/>
          <w:sz w:val="22"/>
        </w:rPr>
        <w:t>for</w:t>
      </w:r>
      <w:r>
        <w:rPr>
          <w:color w:val="222222"/>
          <w:spacing w:val="-1"/>
          <w:sz w:val="22"/>
        </w:rPr>
        <w:t> </w:t>
      </w:r>
      <w:r>
        <w:rPr>
          <w:color w:val="222222"/>
          <w:sz w:val="22"/>
        </w:rPr>
        <w:t>working</w:t>
      </w:r>
      <w:r>
        <w:rPr>
          <w:color w:val="222222"/>
          <w:spacing w:val="-5"/>
          <w:sz w:val="22"/>
        </w:rPr>
        <w:t> </w:t>
      </w:r>
      <w:r>
        <w:rPr>
          <w:color w:val="222222"/>
          <w:sz w:val="22"/>
        </w:rPr>
        <w:t>individuals</w:t>
      </w:r>
      <w:r>
        <w:rPr>
          <w:color w:val="222222"/>
          <w:spacing w:val="-2"/>
          <w:sz w:val="22"/>
        </w:rPr>
        <w:t> </w:t>
      </w:r>
      <w:r>
        <w:rPr>
          <w:color w:val="222222"/>
          <w:sz w:val="22"/>
        </w:rPr>
        <w:t>and</w:t>
      </w:r>
      <w:r>
        <w:rPr>
          <w:color w:val="222222"/>
          <w:spacing w:val="-3"/>
          <w:sz w:val="22"/>
        </w:rPr>
        <w:t> </w:t>
      </w:r>
      <w:r>
        <w:rPr>
          <w:color w:val="222222"/>
          <w:sz w:val="22"/>
        </w:rPr>
        <w:t>families</w:t>
      </w:r>
      <w:r>
        <w:rPr>
          <w:color w:val="222222"/>
          <w:spacing w:val="-2"/>
          <w:sz w:val="22"/>
        </w:rPr>
        <w:t> </w:t>
      </w:r>
      <w:r>
        <w:rPr>
          <w:color w:val="222222"/>
          <w:sz w:val="22"/>
        </w:rPr>
        <w:t>to attract and retain economic growth.</w:t>
      </w:r>
    </w:p>
    <w:p>
      <w:pPr>
        <w:pStyle w:val="BodyText"/>
        <w:spacing w:before="10"/>
        <w:rPr>
          <w:sz w:val="21"/>
        </w:rPr>
      </w:pPr>
    </w:p>
    <w:p>
      <w:pPr>
        <w:pStyle w:val="BodyText"/>
        <w:ind w:left="120" w:right="155"/>
      </w:pPr>
      <w:r>
        <w:rPr>
          <w:color w:val="222222"/>
        </w:rPr>
        <w:t>One of the activities of the DHADC is to administer the Urban Land Bank Demonstration Program (the "Program" or "Land Bank"), which is authorized by Chapter 379C of the Texas Local</w:t>
      </w:r>
      <w:r>
        <w:rPr>
          <w:color w:val="222222"/>
          <w:spacing w:val="-3"/>
        </w:rPr>
        <w:t> </w:t>
      </w:r>
      <w:r>
        <w:rPr>
          <w:color w:val="222222"/>
        </w:rPr>
        <w:t>Government</w:t>
      </w:r>
      <w:r>
        <w:rPr>
          <w:color w:val="222222"/>
          <w:spacing w:val="-1"/>
        </w:rPr>
        <w:t> </w:t>
      </w:r>
      <w:r>
        <w:rPr>
          <w:color w:val="222222"/>
        </w:rPr>
        <w:t>Code.</w:t>
      </w:r>
      <w:r>
        <w:rPr>
          <w:color w:val="222222"/>
          <w:spacing w:val="-3"/>
        </w:rPr>
        <w:t> </w:t>
      </w:r>
      <w:r>
        <w:rPr>
          <w:color w:val="222222"/>
        </w:rPr>
        <w:t>Another</w:t>
      </w:r>
      <w:r>
        <w:rPr>
          <w:color w:val="222222"/>
          <w:spacing w:val="-4"/>
        </w:rPr>
        <w:t> </w:t>
      </w:r>
      <w:r>
        <w:rPr>
          <w:color w:val="222222"/>
        </w:rPr>
        <w:t>activity</w:t>
      </w:r>
      <w:r>
        <w:rPr>
          <w:color w:val="222222"/>
          <w:spacing w:val="-2"/>
        </w:rPr>
        <w:t> </w:t>
      </w:r>
      <w:r>
        <w:rPr>
          <w:color w:val="222222"/>
        </w:rPr>
        <w:t>of</w:t>
      </w:r>
      <w:r>
        <w:rPr>
          <w:color w:val="222222"/>
          <w:spacing w:val="-4"/>
        </w:rPr>
        <w:t> </w:t>
      </w:r>
      <w:r>
        <w:rPr>
          <w:color w:val="222222"/>
        </w:rPr>
        <w:t>the</w:t>
      </w:r>
      <w:r>
        <w:rPr>
          <w:color w:val="222222"/>
          <w:spacing w:val="-4"/>
        </w:rPr>
        <w:t> </w:t>
      </w:r>
      <w:r>
        <w:rPr>
          <w:color w:val="222222"/>
        </w:rPr>
        <w:t>DHADC</w:t>
      </w:r>
      <w:r>
        <w:rPr>
          <w:color w:val="222222"/>
          <w:spacing w:val="-3"/>
        </w:rPr>
        <w:t> </w:t>
      </w:r>
      <w:r>
        <w:rPr>
          <w:color w:val="222222"/>
        </w:rPr>
        <w:t>is</w:t>
      </w:r>
      <w:r>
        <w:rPr>
          <w:color w:val="222222"/>
          <w:spacing w:val="-2"/>
        </w:rPr>
        <w:t> </w:t>
      </w:r>
      <w:r>
        <w:rPr>
          <w:color w:val="222222"/>
        </w:rPr>
        <w:t>to</w:t>
      </w:r>
      <w:r>
        <w:rPr>
          <w:color w:val="222222"/>
          <w:spacing w:val="-3"/>
        </w:rPr>
        <w:t> </w:t>
      </w:r>
      <w:r>
        <w:rPr>
          <w:color w:val="222222"/>
        </w:rPr>
        <w:t>acquire</w:t>
      </w:r>
      <w:r>
        <w:rPr>
          <w:color w:val="222222"/>
          <w:spacing w:val="-3"/>
        </w:rPr>
        <w:t> </w:t>
      </w:r>
      <w:r>
        <w:rPr>
          <w:color w:val="222222"/>
        </w:rPr>
        <w:t>and</w:t>
      </w:r>
      <w:r>
        <w:rPr>
          <w:color w:val="222222"/>
          <w:spacing w:val="-4"/>
        </w:rPr>
        <w:t> </w:t>
      </w:r>
      <w:r>
        <w:rPr>
          <w:color w:val="222222"/>
        </w:rPr>
        <w:t>transfer,</w:t>
      </w:r>
      <w:r>
        <w:rPr>
          <w:color w:val="222222"/>
          <w:spacing w:val="-3"/>
        </w:rPr>
        <w:t> </w:t>
      </w:r>
      <w:r>
        <w:rPr>
          <w:color w:val="222222"/>
        </w:rPr>
        <w:t>at</w:t>
      </w:r>
      <w:r>
        <w:rPr>
          <w:color w:val="222222"/>
          <w:spacing w:val="-4"/>
        </w:rPr>
        <w:t> </w:t>
      </w:r>
      <w:r>
        <w:rPr>
          <w:color w:val="222222"/>
        </w:rPr>
        <w:t>less</w:t>
      </w:r>
      <w:r>
        <w:rPr>
          <w:color w:val="222222"/>
          <w:spacing w:val="-4"/>
        </w:rPr>
        <w:t> </w:t>
      </w:r>
      <w:r>
        <w:rPr>
          <w:color w:val="222222"/>
        </w:rPr>
        <w:t>than market value, tax foreclosed vacant or distressed properties pursuant to Section 34.051 of the Texas Property Tax Code (i.e. HB 110 lots).</w:t>
      </w:r>
    </w:p>
    <w:p>
      <w:pPr>
        <w:pStyle w:val="BodyText"/>
        <w:spacing w:before="1"/>
      </w:pPr>
    </w:p>
    <w:p>
      <w:pPr>
        <w:pStyle w:val="BodyText"/>
        <w:ind w:left="120" w:right="157"/>
        <w:jc w:val="both"/>
      </w:pPr>
      <w:r>
        <w:rPr>
          <w:color w:val="222222"/>
        </w:rPr>
        <w:t>The</w:t>
      </w:r>
      <w:r>
        <w:rPr>
          <w:color w:val="222222"/>
          <w:spacing w:val="-15"/>
        </w:rPr>
        <w:t> </w:t>
      </w:r>
      <w:r>
        <w:rPr>
          <w:color w:val="222222"/>
        </w:rPr>
        <w:t>objectives</w:t>
      </w:r>
      <w:r>
        <w:rPr>
          <w:color w:val="222222"/>
          <w:spacing w:val="-14"/>
        </w:rPr>
        <w:t> </w:t>
      </w:r>
      <w:r>
        <w:rPr>
          <w:color w:val="222222"/>
        </w:rPr>
        <w:t>of</w:t>
      </w:r>
      <w:r>
        <w:rPr>
          <w:color w:val="222222"/>
          <w:spacing w:val="-16"/>
        </w:rPr>
        <w:t> </w:t>
      </w:r>
      <w:r>
        <w:rPr>
          <w:color w:val="222222"/>
        </w:rPr>
        <w:t>the</w:t>
      </w:r>
      <w:r>
        <w:rPr>
          <w:color w:val="222222"/>
          <w:spacing w:val="-14"/>
        </w:rPr>
        <w:t> </w:t>
      </w:r>
      <w:r>
        <w:rPr>
          <w:color w:val="222222"/>
        </w:rPr>
        <w:t>program</w:t>
      </w:r>
      <w:r>
        <w:rPr>
          <w:color w:val="222222"/>
          <w:spacing w:val="-13"/>
        </w:rPr>
        <w:t> </w:t>
      </w:r>
      <w:r>
        <w:rPr>
          <w:color w:val="222222"/>
        </w:rPr>
        <w:t>are</w:t>
      </w:r>
      <w:r>
        <w:rPr>
          <w:color w:val="222222"/>
          <w:spacing w:val="-15"/>
        </w:rPr>
        <w:t> </w:t>
      </w:r>
      <w:r>
        <w:rPr>
          <w:color w:val="222222"/>
        </w:rPr>
        <w:t>to</w:t>
      </w:r>
      <w:r>
        <w:rPr>
          <w:color w:val="222222"/>
          <w:spacing w:val="-15"/>
        </w:rPr>
        <w:t> </w:t>
      </w:r>
      <w:r>
        <w:rPr>
          <w:color w:val="222222"/>
        </w:rPr>
        <w:t>acquire</w:t>
      </w:r>
      <w:r>
        <w:rPr>
          <w:color w:val="222222"/>
          <w:spacing w:val="-15"/>
        </w:rPr>
        <w:t> </w:t>
      </w:r>
      <w:r>
        <w:rPr>
          <w:color w:val="222222"/>
        </w:rPr>
        <w:t>unproductive,</w:t>
      </w:r>
      <w:r>
        <w:rPr>
          <w:color w:val="222222"/>
          <w:spacing w:val="-13"/>
        </w:rPr>
        <w:t> </w:t>
      </w:r>
      <w:r>
        <w:rPr>
          <w:color w:val="222222"/>
        </w:rPr>
        <w:t>vacant,</w:t>
      </w:r>
      <w:r>
        <w:rPr>
          <w:color w:val="222222"/>
          <w:spacing w:val="-13"/>
        </w:rPr>
        <w:t> </w:t>
      </w:r>
      <w:r>
        <w:rPr>
          <w:color w:val="222222"/>
        </w:rPr>
        <w:t>and</w:t>
      </w:r>
      <w:r>
        <w:rPr>
          <w:color w:val="222222"/>
          <w:spacing w:val="-15"/>
        </w:rPr>
        <w:t> </w:t>
      </w:r>
      <w:r>
        <w:rPr>
          <w:color w:val="222222"/>
        </w:rPr>
        <w:t>developable</w:t>
      </w:r>
      <w:r>
        <w:rPr>
          <w:color w:val="222222"/>
          <w:spacing w:val="-15"/>
        </w:rPr>
        <w:t> </w:t>
      </w:r>
      <w:r>
        <w:rPr>
          <w:color w:val="222222"/>
        </w:rPr>
        <w:t>property,</w:t>
      </w:r>
      <w:r>
        <w:rPr>
          <w:color w:val="222222"/>
          <w:spacing w:val="-13"/>
        </w:rPr>
        <w:t> </w:t>
      </w:r>
      <w:r>
        <w:rPr>
          <w:color w:val="222222"/>
        </w:rPr>
        <w:t>and property intended for commercial use to be "banked" for affordable housing or commercial </w:t>
      </w:r>
      <w:r>
        <w:rPr>
          <w:color w:val="222222"/>
          <w:spacing w:val="-2"/>
        </w:rPr>
        <w:t>development</w:t>
      </w:r>
    </w:p>
    <w:p>
      <w:pPr>
        <w:pStyle w:val="BodyText"/>
        <w:rPr>
          <w:sz w:val="24"/>
        </w:rPr>
      </w:pPr>
    </w:p>
    <w:p>
      <w:pPr>
        <w:pStyle w:val="BodyText"/>
        <w:spacing w:before="10"/>
        <w:rPr>
          <w:sz w:val="19"/>
        </w:rPr>
      </w:pPr>
    </w:p>
    <w:p>
      <w:pPr>
        <w:pStyle w:val="ListParagraph"/>
        <w:numPr>
          <w:ilvl w:val="1"/>
          <w:numId w:val="24"/>
        </w:numPr>
        <w:tabs>
          <w:tab w:pos="841" w:val="left" w:leader="none"/>
        </w:tabs>
        <w:spacing w:line="240" w:lineRule="auto" w:before="0" w:after="0"/>
        <w:ind w:left="840" w:right="156" w:hanging="361"/>
        <w:jc w:val="both"/>
        <w:rPr>
          <w:sz w:val="22"/>
        </w:rPr>
      </w:pPr>
      <w:r>
        <w:rPr>
          <w:color w:val="222222"/>
          <w:sz w:val="22"/>
        </w:rPr>
        <w:t>The</w:t>
      </w:r>
      <w:r>
        <w:rPr>
          <w:color w:val="222222"/>
          <w:spacing w:val="-5"/>
          <w:sz w:val="22"/>
        </w:rPr>
        <w:t> </w:t>
      </w:r>
      <w:r>
        <w:rPr>
          <w:color w:val="222222"/>
          <w:sz w:val="22"/>
        </w:rPr>
        <w:t>resale</w:t>
      </w:r>
      <w:r>
        <w:rPr>
          <w:color w:val="222222"/>
          <w:spacing w:val="-5"/>
          <w:sz w:val="22"/>
        </w:rPr>
        <w:t> </w:t>
      </w:r>
      <w:r>
        <w:rPr>
          <w:color w:val="222222"/>
          <w:sz w:val="22"/>
        </w:rPr>
        <w:t>of</w:t>
      </w:r>
      <w:r>
        <w:rPr>
          <w:color w:val="222222"/>
          <w:spacing w:val="-6"/>
          <w:sz w:val="22"/>
        </w:rPr>
        <w:t> </w:t>
      </w:r>
      <w:r>
        <w:rPr>
          <w:color w:val="222222"/>
          <w:sz w:val="22"/>
        </w:rPr>
        <w:t>such</w:t>
      </w:r>
      <w:r>
        <w:rPr>
          <w:color w:val="222222"/>
          <w:spacing w:val="-5"/>
          <w:sz w:val="22"/>
        </w:rPr>
        <w:t> </w:t>
      </w:r>
      <w:r>
        <w:rPr>
          <w:color w:val="222222"/>
          <w:sz w:val="22"/>
        </w:rPr>
        <w:t>property</w:t>
      </w:r>
      <w:r>
        <w:rPr>
          <w:color w:val="222222"/>
          <w:spacing w:val="-5"/>
          <w:sz w:val="22"/>
        </w:rPr>
        <w:t> </w:t>
      </w:r>
      <w:r>
        <w:rPr>
          <w:color w:val="222222"/>
          <w:sz w:val="22"/>
        </w:rPr>
        <w:t>enables</w:t>
      </w:r>
      <w:r>
        <w:rPr>
          <w:color w:val="222222"/>
          <w:spacing w:val="-7"/>
          <w:sz w:val="22"/>
        </w:rPr>
        <w:t> </w:t>
      </w:r>
      <w:r>
        <w:rPr>
          <w:color w:val="222222"/>
          <w:sz w:val="22"/>
        </w:rPr>
        <w:t>the</w:t>
      </w:r>
      <w:r>
        <w:rPr>
          <w:color w:val="222222"/>
          <w:spacing w:val="-5"/>
          <w:sz w:val="22"/>
        </w:rPr>
        <w:t> </w:t>
      </w:r>
      <w:r>
        <w:rPr>
          <w:color w:val="222222"/>
          <w:sz w:val="22"/>
        </w:rPr>
        <w:t>development</w:t>
      </w:r>
      <w:r>
        <w:rPr>
          <w:color w:val="222222"/>
          <w:spacing w:val="-4"/>
          <w:sz w:val="22"/>
        </w:rPr>
        <w:t> </w:t>
      </w:r>
      <w:r>
        <w:rPr>
          <w:color w:val="222222"/>
          <w:sz w:val="22"/>
        </w:rPr>
        <w:t>of</w:t>
      </w:r>
      <w:r>
        <w:rPr>
          <w:color w:val="222222"/>
          <w:spacing w:val="-4"/>
          <w:sz w:val="22"/>
        </w:rPr>
        <w:t> </w:t>
      </w:r>
      <w:r>
        <w:rPr>
          <w:color w:val="222222"/>
          <w:sz w:val="22"/>
        </w:rPr>
        <w:t>new</w:t>
      </w:r>
      <w:r>
        <w:rPr>
          <w:color w:val="222222"/>
          <w:spacing w:val="-8"/>
          <w:sz w:val="22"/>
        </w:rPr>
        <w:t> </w:t>
      </w:r>
      <w:r>
        <w:rPr>
          <w:color w:val="222222"/>
          <w:sz w:val="22"/>
        </w:rPr>
        <w:t>single-family</w:t>
      </w:r>
      <w:r>
        <w:rPr>
          <w:color w:val="222222"/>
          <w:spacing w:val="-5"/>
          <w:sz w:val="22"/>
        </w:rPr>
        <w:t> </w:t>
      </w:r>
      <w:r>
        <w:rPr>
          <w:color w:val="222222"/>
          <w:sz w:val="22"/>
        </w:rPr>
        <w:t>homeowner</w:t>
      </w:r>
      <w:r>
        <w:rPr>
          <w:color w:val="222222"/>
          <w:spacing w:val="-4"/>
          <w:sz w:val="22"/>
        </w:rPr>
        <w:t> </w:t>
      </w:r>
      <w:r>
        <w:rPr>
          <w:color w:val="222222"/>
          <w:sz w:val="22"/>
        </w:rPr>
        <w:t>or rental</w:t>
      </w:r>
      <w:r>
        <w:rPr>
          <w:color w:val="222222"/>
          <w:spacing w:val="-1"/>
          <w:sz w:val="22"/>
        </w:rPr>
        <w:t> </w:t>
      </w:r>
      <w:r>
        <w:rPr>
          <w:color w:val="222222"/>
          <w:sz w:val="22"/>
        </w:rPr>
        <w:t>units</w:t>
      </w:r>
      <w:r>
        <w:rPr>
          <w:color w:val="222222"/>
          <w:spacing w:val="-2"/>
          <w:sz w:val="22"/>
        </w:rPr>
        <w:t> </w:t>
      </w:r>
      <w:r>
        <w:rPr>
          <w:color w:val="222222"/>
          <w:sz w:val="22"/>
        </w:rPr>
        <w:t>to</w:t>
      </w:r>
      <w:r>
        <w:rPr>
          <w:color w:val="222222"/>
          <w:spacing w:val="-3"/>
          <w:sz w:val="22"/>
        </w:rPr>
        <w:t> </w:t>
      </w:r>
      <w:r>
        <w:rPr>
          <w:color w:val="222222"/>
          <w:sz w:val="22"/>
        </w:rPr>
        <w:t>serve low-income households or</w:t>
      </w:r>
      <w:r>
        <w:rPr>
          <w:color w:val="222222"/>
          <w:spacing w:val="-1"/>
          <w:sz w:val="22"/>
        </w:rPr>
        <w:t> </w:t>
      </w:r>
      <w:r>
        <w:rPr>
          <w:color w:val="222222"/>
          <w:sz w:val="22"/>
        </w:rPr>
        <w:t>the development of commercial</w:t>
      </w:r>
      <w:r>
        <w:rPr>
          <w:color w:val="222222"/>
          <w:spacing w:val="-1"/>
          <w:sz w:val="22"/>
        </w:rPr>
        <w:t> </w:t>
      </w:r>
      <w:r>
        <w:rPr>
          <w:color w:val="222222"/>
          <w:sz w:val="22"/>
        </w:rPr>
        <w:t>uses</w:t>
      </w:r>
      <w:r>
        <w:rPr>
          <w:color w:val="222222"/>
          <w:spacing w:val="-2"/>
          <w:sz w:val="22"/>
        </w:rPr>
        <w:t> </w:t>
      </w:r>
      <w:r>
        <w:rPr>
          <w:color w:val="222222"/>
          <w:sz w:val="22"/>
        </w:rPr>
        <w:t>that stabilize</w:t>
      </w:r>
      <w:r>
        <w:rPr>
          <w:color w:val="222222"/>
          <w:spacing w:val="62"/>
          <w:sz w:val="22"/>
        </w:rPr>
        <w:t> </w:t>
      </w:r>
      <w:r>
        <w:rPr>
          <w:color w:val="222222"/>
          <w:sz w:val="22"/>
        </w:rPr>
        <w:t>distressed</w:t>
      </w:r>
      <w:r>
        <w:rPr>
          <w:color w:val="222222"/>
          <w:spacing w:val="60"/>
          <w:sz w:val="22"/>
        </w:rPr>
        <w:t> </w:t>
      </w:r>
      <w:r>
        <w:rPr>
          <w:color w:val="222222"/>
          <w:sz w:val="22"/>
        </w:rPr>
        <w:t>communities.</w:t>
      </w:r>
      <w:r>
        <w:rPr>
          <w:color w:val="222222"/>
          <w:spacing w:val="63"/>
          <w:sz w:val="22"/>
        </w:rPr>
        <w:t> </w:t>
      </w:r>
      <w:r>
        <w:rPr>
          <w:color w:val="222222"/>
          <w:sz w:val="22"/>
        </w:rPr>
        <w:t>Follow</w:t>
      </w:r>
      <w:r>
        <w:rPr>
          <w:color w:val="222222"/>
          <w:spacing w:val="61"/>
          <w:sz w:val="22"/>
        </w:rPr>
        <w:t> </w:t>
      </w:r>
      <w:r>
        <w:rPr>
          <w:color w:val="222222"/>
          <w:sz w:val="22"/>
        </w:rPr>
        <w:t>the</w:t>
      </w:r>
      <w:r>
        <w:rPr>
          <w:color w:val="222222"/>
          <w:spacing w:val="60"/>
          <w:sz w:val="22"/>
        </w:rPr>
        <w:t> </w:t>
      </w:r>
      <w:r>
        <w:rPr>
          <w:color w:val="222222"/>
          <w:sz w:val="22"/>
        </w:rPr>
        <w:t>link</w:t>
      </w:r>
      <w:r>
        <w:rPr>
          <w:color w:val="222222"/>
          <w:spacing w:val="62"/>
          <w:sz w:val="22"/>
        </w:rPr>
        <w:t> </w:t>
      </w:r>
      <w:r>
        <w:rPr>
          <w:color w:val="222222"/>
          <w:sz w:val="22"/>
        </w:rPr>
        <w:t>to</w:t>
      </w:r>
      <w:r>
        <w:rPr>
          <w:color w:val="222222"/>
          <w:spacing w:val="62"/>
          <w:sz w:val="22"/>
        </w:rPr>
        <w:t> </w:t>
      </w:r>
      <w:r>
        <w:rPr>
          <w:color w:val="222222"/>
          <w:sz w:val="22"/>
        </w:rPr>
        <w:t>view</w:t>
      </w:r>
      <w:r>
        <w:rPr>
          <w:color w:val="222222"/>
          <w:spacing w:val="59"/>
          <w:sz w:val="22"/>
        </w:rPr>
        <w:t> </w:t>
      </w:r>
      <w:r>
        <w:rPr>
          <w:color w:val="222222"/>
          <w:sz w:val="22"/>
        </w:rPr>
        <w:t>the</w:t>
      </w:r>
      <w:r>
        <w:rPr>
          <w:color w:val="222222"/>
          <w:spacing w:val="62"/>
          <w:sz w:val="22"/>
        </w:rPr>
        <w:t> </w:t>
      </w:r>
      <w:hyperlink r:id="rId20">
        <w:r>
          <w:rPr>
            <w:color w:val="0000FF"/>
            <w:sz w:val="22"/>
            <w:u w:val="single" w:color="0000FF"/>
          </w:rPr>
          <w:t>Land</w:t>
        </w:r>
        <w:r>
          <w:rPr>
            <w:color w:val="0000FF"/>
            <w:spacing w:val="57"/>
            <w:sz w:val="22"/>
            <w:u w:val="single" w:color="0000FF"/>
          </w:rPr>
          <w:t> </w:t>
        </w:r>
        <w:r>
          <w:rPr>
            <w:color w:val="0000FF"/>
            <w:sz w:val="22"/>
            <w:u w:val="single" w:color="0000FF"/>
          </w:rPr>
          <w:t>Bank</w:t>
        </w:r>
        <w:r>
          <w:rPr>
            <w:color w:val="0000FF"/>
            <w:spacing w:val="62"/>
            <w:sz w:val="22"/>
            <w:u w:val="single" w:color="0000FF"/>
          </w:rPr>
          <w:t> </w:t>
        </w:r>
        <w:r>
          <w:rPr>
            <w:color w:val="0000FF"/>
            <w:sz w:val="22"/>
            <w:u w:val="single" w:color="0000FF"/>
          </w:rPr>
          <w:t>Inventory</w:t>
        </w:r>
      </w:hyperlink>
      <w:r>
        <w:rPr>
          <w:color w:val="222222"/>
          <w:sz w:val="22"/>
        </w:rPr>
        <w:t>.</w:t>
      </w:r>
    </w:p>
    <w:p>
      <w:pPr>
        <w:pStyle w:val="BodyText"/>
      </w:pPr>
    </w:p>
    <w:p>
      <w:pPr>
        <w:pStyle w:val="ListParagraph"/>
        <w:numPr>
          <w:ilvl w:val="1"/>
          <w:numId w:val="24"/>
        </w:numPr>
        <w:tabs>
          <w:tab w:pos="841" w:val="left" w:leader="none"/>
        </w:tabs>
        <w:spacing w:line="240" w:lineRule="auto" w:before="0" w:after="0"/>
        <w:ind w:left="840" w:right="154" w:hanging="360"/>
        <w:jc w:val="both"/>
        <w:rPr>
          <w:sz w:val="22"/>
        </w:rPr>
      </w:pPr>
      <w:hyperlink r:id="rId21">
        <w:r>
          <w:rPr>
            <w:color w:val="0000FF"/>
            <w:sz w:val="22"/>
            <w:u w:val="single" w:color="0000FF"/>
          </w:rPr>
          <w:t>Land Bank Annual Plan</w:t>
        </w:r>
      </w:hyperlink>
      <w:r>
        <w:rPr>
          <w:color w:val="0000FF"/>
          <w:sz w:val="22"/>
        </w:rPr>
        <w:t> </w:t>
      </w:r>
      <w:r>
        <w:rPr>
          <w:color w:val="222222"/>
          <w:sz w:val="22"/>
        </w:rPr>
        <w:t>- The Land Bank Annual plan identifies the parcels of property that are eligible for sale to the Land Bank along with the Land Bank's acquisition and affordable</w:t>
      </w:r>
      <w:r>
        <w:rPr>
          <w:color w:val="222222"/>
          <w:spacing w:val="-4"/>
          <w:sz w:val="22"/>
        </w:rPr>
        <w:t> </w:t>
      </w:r>
      <w:r>
        <w:rPr>
          <w:color w:val="222222"/>
          <w:sz w:val="22"/>
        </w:rPr>
        <w:t>housing</w:t>
      </w:r>
      <w:r>
        <w:rPr>
          <w:color w:val="222222"/>
          <w:spacing w:val="-4"/>
          <w:sz w:val="22"/>
        </w:rPr>
        <w:t> </w:t>
      </w:r>
      <w:r>
        <w:rPr>
          <w:color w:val="222222"/>
          <w:sz w:val="22"/>
        </w:rPr>
        <w:t>development</w:t>
      </w:r>
      <w:r>
        <w:rPr>
          <w:color w:val="222222"/>
          <w:spacing w:val="-5"/>
          <w:sz w:val="22"/>
        </w:rPr>
        <w:t> </w:t>
      </w:r>
      <w:r>
        <w:rPr>
          <w:color w:val="222222"/>
          <w:sz w:val="22"/>
        </w:rPr>
        <w:t>strategies.</w:t>
      </w:r>
      <w:r>
        <w:rPr>
          <w:color w:val="222222"/>
          <w:spacing w:val="-5"/>
          <w:sz w:val="22"/>
        </w:rPr>
        <w:t> </w:t>
      </w:r>
      <w:r>
        <w:rPr>
          <w:color w:val="222222"/>
          <w:sz w:val="22"/>
        </w:rPr>
        <w:t>Once</w:t>
      </w:r>
      <w:r>
        <w:rPr>
          <w:color w:val="222222"/>
          <w:spacing w:val="-7"/>
          <w:sz w:val="22"/>
        </w:rPr>
        <w:t> </w:t>
      </w:r>
      <w:r>
        <w:rPr>
          <w:color w:val="222222"/>
          <w:sz w:val="22"/>
        </w:rPr>
        <w:t>the</w:t>
      </w:r>
      <w:r>
        <w:rPr>
          <w:color w:val="222222"/>
          <w:spacing w:val="-4"/>
          <w:sz w:val="22"/>
        </w:rPr>
        <w:t> </w:t>
      </w:r>
      <w:r>
        <w:rPr>
          <w:color w:val="222222"/>
          <w:sz w:val="22"/>
        </w:rPr>
        <w:t>annual</w:t>
      </w:r>
      <w:r>
        <w:rPr>
          <w:color w:val="222222"/>
          <w:spacing w:val="-5"/>
          <w:sz w:val="22"/>
        </w:rPr>
        <w:t> </w:t>
      </w:r>
      <w:r>
        <w:rPr>
          <w:color w:val="222222"/>
          <w:sz w:val="22"/>
        </w:rPr>
        <w:t>plan</w:t>
      </w:r>
      <w:r>
        <w:rPr>
          <w:color w:val="222222"/>
          <w:spacing w:val="-4"/>
          <w:sz w:val="22"/>
        </w:rPr>
        <w:t> </w:t>
      </w:r>
      <w:r>
        <w:rPr>
          <w:color w:val="222222"/>
          <w:sz w:val="22"/>
        </w:rPr>
        <w:t>is</w:t>
      </w:r>
      <w:r>
        <w:rPr>
          <w:color w:val="222222"/>
          <w:spacing w:val="-4"/>
          <w:sz w:val="22"/>
        </w:rPr>
        <w:t> </w:t>
      </w:r>
      <w:r>
        <w:rPr>
          <w:color w:val="222222"/>
          <w:sz w:val="22"/>
        </w:rPr>
        <w:t>approved</w:t>
      </w:r>
      <w:r>
        <w:rPr>
          <w:color w:val="222222"/>
          <w:spacing w:val="-4"/>
          <w:sz w:val="22"/>
        </w:rPr>
        <w:t> </w:t>
      </w:r>
      <w:r>
        <w:rPr>
          <w:color w:val="222222"/>
          <w:sz w:val="22"/>
        </w:rPr>
        <w:t>by</w:t>
      </w:r>
      <w:r>
        <w:rPr>
          <w:color w:val="222222"/>
          <w:spacing w:val="-4"/>
          <w:sz w:val="22"/>
        </w:rPr>
        <w:t> </w:t>
      </w:r>
      <w:r>
        <w:rPr>
          <w:color w:val="222222"/>
          <w:sz w:val="22"/>
        </w:rPr>
        <w:t>the</w:t>
      </w:r>
      <w:r>
        <w:rPr>
          <w:color w:val="222222"/>
          <w:spacing w:val="-4"/>
          <w:sz w:val="22"/>
        </w:rPr>
        <w:t> </w:t>
      </w:r>
      <w:r>
        <w:rPr>
          <w:color w:val="222222"/>
          <w:sz w:val="22"/>
        </w:rPr>
        <w:t>City Council, the Land Bank staff will refer approximately 25 properties per month for tax foreclosure. Once a tax foreclosure judgment is obtained, the properties are sold to the Land Bank and become part of the Land Bank's inventory. This process takes approximately eighteen (18) months.</w:t>
      </w:r>
    </w:p>
    <w:p>
      <w:pPr>
        <w:pStyle w:val="ListParagraph"/>
        <w:numPr>
          <w:ilvl w:val="1"/>
          <w:numId w:val="24"/>
        </w:numPr>
        <w:tabs>
          <w:tab w:pos="841" w:val="left" w:leader="none"/>
        </w:tabs>
        <w:spacing w:line="240" w:lineRule="auto" w:before="0" w:after="0"/>
        <w:ind w:left="839" w:right="154" w:hanging="360"/>
        <w:jc w:val="both"/>
        <w:rPr>
          <w:sz w:val="22"/>
        </w:rPr>
      </w:pPr>
      <w:hyperlink r:id="rId22">
        <w:r>
          <w:rPr>
            <w:color w:val="0000FF"/>
            <w:sz w:val="22"/>
            <w:u w:val="single" w:color="0000FF"/>
          </w:rPr>
          <w:t>Annual</w:t>
        </w:r>
        <w:r>
          <w:rPr>
            <w:color w:val="0000FF"/>
            <w:spacing w:val="-7"/>
            <w:sz w:val="22"/>
            <w:u w:val="single" w:color="0000FF"/>
          </w:rPr>
          <w:t> </w:t>
        </w:r>
        <w:r>
          <w:rPr>
            <w:color w:val="0000FF"/>
            <w:sz w:val="22"/>
            <w:u w:val="single" w:color="0000FF"/>
          </w:rPr>
          <w:t>Plan</w:t>
        </w:r>
        <w:r>
          <w:rPr>
            <w:color w:val="0000FF"/>
            <w:spacing w:val="-6"/>
            <w:sz w:val="22"/>
            <w:u w:val="single" w:color="0000FF"/>
          </w:rPr>
          <w:t> </w:t>
        </w:r>
        <w:r>
          <w:rPr>
            <w:color w:val="0000FF"/>
            <w:sz w:val="22"/>
            <w:u w:val="single" w:color="0000FF"/>
          </w:rPr>
          <w:t>Map</w:t>
        </w:r>
      </w:hyperlink>
      <w:r>
        <w:rPr>
          <w:color w:val="0000FF"/>
          <w:spacing w:val="-5"/>
          <w:sz w:val="22"/>
        </w:rPr>
        <w:t> </w:t>
      </w:r>
      <w:r>
        <w:rPr>
          <w:color w:val="222222"/>
          <w:sz w:val="22"/>
        </w:rPr>
        <w:t>-</w:t>
      </w:r>
      <w:r>
        <w:rPr>
          <w:color w:val="222222"/>
          <w:spacing w:val="-8"/>
          <w:sz w:val="22"/>
        </w:rPr>
        <w:t> </w:t>
      </w:r>
      <w:r>
        <w:rPr>
          <w:color w:val="222222"/>
          <w:sz w:val="22"/>
        </w:rPr>
        <w:t>Map</w:t>
      </w:r>
      <w:r>
        <w:rPr>
          <w:color w:val="222222"/>
          <w:spacing w:val="-11"/>
          <w:sz w:val="22"/>
        </w:rPr>
        <w:t> </w:t>
      </w:r>
      <w:r>
        <w:rPr>
          <w:color w:val="222222"/>
          <w:sz w:val="22"/>
        </w:rPr>
        <w:t>of</w:t>
      </w:r>
      <w:r>
        <w:rPr>
          <w:color w:val="222222"/>
          <w:spacing w:val="-5"/>
          <w:sz w:val="22"/>
        </w:rPr>
        <w:t> </w:t>
      </w:r>
      <w:r>
        <w:rPr>
          <w:color w:val="222222"/>
          <w:sz w:val="22"/>
        </w:rPr>
        <w:t>lots</w:t>
      </w:r>
      <w:r>
        <w:rPr>
          <w:color w:val="222222"/>
          <w:spacing w:val="-8"/>
          <w:sz w:val="22"/>
        </w:rPr>
        <w:t> </w:t>
      </w:r>
      <w:r>
        <w:rPr>
          <w:color w:val="222222"/>
          <w:sz w:val="22"/>
        </w:rPr>
        <w:t>eligible</w:t>
      </w:r>
      <w:r>
        <w:rPr>
          <w:color w:val="222222"/>
          <w:spacing w:val="-6"/>
          <w:sz w:val="22"/>
        </w:rPr>
        <w:t> </w:t>
      </w:r>
      <w:r>
        <w:rPr>
          <w:color w:val="222222"/>
          <w:sz w:val="22"/>
        </w:rPr>
        <w:t>for</w:t>
      </w:r>
      <w:r>
        <w:rPr>
          <w:color w:val="222222"/>
          <w:spacing w:val="-5"/>
          <w:sz w:val="22"/>
        </w:rPr>
        <w:t> </w:t>
      </w:r>
      <w:r>
        <w:rPr>
          <w:color w:val="222222"/>
          <w:sz w:val="22"/>
        </w:rPr>
        <w:t>sale</w:t>
      </w:r>
      <w:r>
        <w:rPr>
          <w:color w:val="222222"/>
          <w:spacing w:val="-9"/>
          <w:sz w:val="22"/>
        </w:rPr>
        <w:t> </w:t>
      </w:r>
      <w:r>
        <w:rPr>
          <w:color w:val="222222"/>
          <w:sz w:val="22"/>
        </w:rPr>
        <w:t>to</w:t>
      </w:r>
      <w:r>
        <w:rPr>
          <w:color w:val="222222"/>
          <w:spacing w:val="-9"/>
          <w:sz w:val="22"/>
        </w:rPr>
        <w:t> </w:t>
      </w:r>
      <w:r>
        <w:rPr>
          <w:color w:val="222222"/>
          <w:sz w:val="22"/>
        </w:rPr>
        <w:t>the</w:t>
      </w:r>
      <w:r>
        <w:rPr>
          <w:color w:val="222222"/>
          <w:spacing w:val="-6"/>
          <w:sz w:val="22"/>
        </w:rPr>
        <w:t> </w:t>
      </w:r>
      <w:r>
        <w:rPr>
          <w:color w:val="222222"/>
          <w:sz w:val="22"/>
        </w:rPr>
        <w:t>Land</w:t>
      </w:r>
      <w:r>
        <w:rPr>
          <w:color w:val="222222"/>
          <w:spacing w:val="-6"/>
          <w:sz w:val="22"/>
        </w:rPr>
        <w:t> </w:t>
      </w:r>
      <w:r>
        <w:rPr>
          <w:color w:val="222222"/>
          <w:sz w:val="22"/>
        </w:rPr>
        <w:t>Bank.</w:t>
      </w:r>
      <w:r>
        <w:rPr>
          <w:color w:val="222222"/>
          <w:spacing w:val="-7"/>
          <w:sz w:val="22"/>
        </w:rPr>
        <w:t> </w:t>
      </w:r>
      <w:r>
        <w:rPr>
          <w:color w:val="FF0000"/>
          <w:sz w:val="22"/>
        </w:rPr>
        <w:t>The</w:t>
      </w:r>
      <w:r>
        <w:rPr>
          <w:color w:val="FF0000"/>
          <w:spacing w:val="-6"/>
          <w:sz w:val="22"/>
        </w:rPr>
        <w:t> </w:t>
      </w:r>
      <w:r>
        <w:rPr>
          <w:color w:val="FF0000"/>
          <w:sz w:val="22"/>
        </w:rPr>
        <w:t>Land</w:t>
      </w:r>
      <w:r>
        <w:rPr>
          <w:color w:val="FF0000"/>
          <w:spacing w:val="-11"/>
          <w:sz w:val="22"/>
        </w:rPr>
        <w:t> </w:t>
      </w:r>
      <w:r>
        <w:rPr>
          <w:color w:val="FF0000"/>
          <w:sz w:val="22"/>
        </w:rPr>
        <w:t>Bank</w:t>
      </w:r>
      <w:r>
        <w:rPr>
          <w:color w:val="FF0000"/>
          <w:spacing w:val="-6"/>
          <w:sz w:val="22"/>
        </w:rPr>
        <w:t> </w:t>
      </w:r>
      <w:r>
        <w:rPr>
          <w:color w:val="FF0000"/>
          <w:sz w:val="22"/>
        </w:rPr>
        <w:t>does</w:t>
      </w:r>
      <w:r>
        <w:rPr>
          <w:color w:val="FF0000"/>
          <w:spacing w:val="-6"/>
          <w:sz w:val="22"/>
        </w:rPr>
        <w:t> </w:t>
      </w:r>
      <w:r>
        <w:rPr>
          <w:color w:val="FF0000"/>
          <w:sz w:val="22"/>
        </w:rPr>
        <w:t>not own these properties </w:t>
      </w:r>
      <w:r>
        <w:rPr>
          <w:color w:val="222222"/>
          <w:sz w:val="22"/>
        </w:rPr>
        <w:t>and they are not currently available for purchase by a qualified participating</w:t>
      </w:r>
      <w:r>
        <w:rPr>
          <w:color w:val="222222"/>
          <w:spacing w:val="-4"/>
          <w:sz w:val="22"/>
        </w:rPr>
        <w:t> </w:t>
      </w:r>
      <w:r>
        <w:rPr>
          <w:color w:val="222222"/>
          <w:sz w:val="22"/>
        </w:rPr>
        <w:t>developer.</w:t>
      </w:r>
      <w:r>
        <w:rPr>
          <w:color w:val="222222"/>
          <w:spacing w:val="40"/>
          <w:sz w:val="22"/>
        </w:rPr>
        <w:t> </w:t>
      </w:r>
      <w:r>
        <w:rPr>
          <w:color w:val="222222"/>
          <w:sz w:val="22"/>
        </w:rPr>
        <w:t>If</w:t>
      </w:r>
      <w:r>
        <w:rPr>
          <w:color w:val="222222"/>
          <w:spacing w:val="-2"/>
          <w:sz w:val="22"/>
        </w:rPr>
        <w:t> </w:t>
      </w:r>
      <w:r>
        <w:rPr>
          <w:color w:val="222222"/>
          <w:sz w:val="22"/>
        </w:rPr>
        <w:t>the</w:t>
      </w:r>
      <w:r>
        <w:rPr>
          <w:color w:val="222222"/>
          <w:spacing w:val="-4"/>
          <w:sz w:val="22"/>
        </w:rPr>
        <w:t> </w:t>
      </w:r>
      <w:r>
        <w:rPr>
          <w:color w:val="222222"/>
          <w:sz w:val="22"/>
        </w:rPr>
        <w:t>lots</w:t>
      </w:r>
      <w:r>
        <w:rPr>
          <w:color w:val="222222"/>
          <w:spacing w:val="-6"/>
          <w:sz w:val="22"/>
        </w:rPr>
        <w:t> </w:t>
      </w:r>
      <w:r>
        <w:rPr>
          <w:color w:val="222222"/>
          <w:sz w:val="22"/>
        </w:rPr>
        <w:t>are</w:t>
      </w:r>
      <w:r>
        <w:rPr>
          <w:color w:val="222222"/>
          <w:spacing w:val="-4"/>
          <w:sz w:val="22"/>
        </w:rPr>
        <w:t> </w:t>
      </w:r>
      <w:r>
        <w:rPr>
          <w:color w:val="222222"/>
          <w:sz w:val="22"/>
        </w:rPr>
        <w:t>purchased</w:t>
      </w:r>
      <w:r>
        <w:rPr>
          <w:color w:val="222222"/>
          <w:spacing w:val="-6"/>
          <w:sz w:val="22"/>
        </w:rPr>
        <w:t> </w:t>
      </w:r>
      <w:r>
        <w:rPr>
          <w:color w:val="222222"/>
          <w:sz w:val="22"/>
        </w:rPr>
        <w:t>by</w:t>
      </w:r>
      <w:r>
        <w:rPr>
          <w:color w:val="222222"/>
          <w:spacing w:val="-4"/>
          <w:sz w:val="22"/>
        </w:rPr>
        <w:t> </w:t>
      </w:r>
      <w:r>
        <w:rPr>
          <w:color w:val="222222"/>
          <w:sz w:val="22"/>
        </w:rPr>
        <w:t>the</w:t>
      </w:r>
      <w:r>
        <w:rPr>
          <w:color w:val="222222"/>
          <w:spacing w:val="-4"/>
          <w:sz w:val="22"/>
        </w:rPr>
        <w:t> </w:t>
      </w:r>
      <w:r>
        <w:rPr>
          <w:color w:val="222222"/>
          <w:sz w:val="22"/>
        </w:rPr>
        <w:t>Land</w:t>
      </w:r>
      <w:r>
        <w:rPr>
          <w:color w:val="222222"/>
          <w:spacing w:val="-4"/>
          <w:sz w:val="22"/>
        </w:rPr>
        <w:t> </w:t>
      </w:r>
      <w:r>
        <w:rPr>
          <w:color w:val="222222"/>
          <w:sz w:val="22"/>
        </w:rPr>
        <w:t>Bank,</w:t>
      </w:r>
      <w:r>
        <w:rPr>
          <w:color w:val="222222"/>
          <w:spacing w:val="-5"/>
          <w:sz w:val="22"/>
        </w:rPr>
        <w:t> </w:t>
      </w:r>
      <w:r>
        <w:rPr>
          <w:color w:val="222222"/>
          <w:sz w:val="22"/>
        </w:rPr>
        <w:t>they</w:t>
      </w:r>
      <w:r>
        <w:rPr>
          <w:color w:val="222222"/>
          <w:spacing w:val="-6"/>
          <w:sz w:val="22"/>
        </w:rPr>
        <w:t> </w:t>
      </w:r>
      <w:r>
        <w:rPr>
          <w:color w:val="222222"/>
          <w:sz w:val="22"/>
        </w:rPr>
        <w:t>will</w:t>
      </w:r>
      <w:r>
        <w:rPr>
          <w:color w:val="222222"/>
          <w:spacing w:val="-2"/>
          <w:sz w:val="22"/>
        </w:rPr>
        <w:t> </w:t>
      </w:r>
      <w:r>
        <w:rPr>
          <w:color w:val="222222"/>
          <w:sz w:val="22"/>
        </w:rPr>
        <w:t>be</w:t>
      </w:r>
      <w:r>
        <w:rPr>
          <w:color w:val="222222"/>
          <w:spacing w:val="-2"/>
          <w:sz w:val="22"/>
        </w:rPr>
        <w:t> </w:t>
      </w:r>
      <w:r>
        <w:rPr>
          <w:color w:val="222222"/>
          <w:sz w:val="22"/>
        </w:rPr>
        <w:t>added</w:t>
      </w:r>
      <w:r>
        <w:rPr>
          <w:color w:val="222222"/>
          <w:spacing w:val="-4"/>
          <w:sz w:val="22"/>
        </w:rPr>
        <w:t> </w:t>
      </w:r>
      <w:r>
        <w:rPr>
          <w:color w:val="222222"/>
          <w:sz w:val="22"/>
        </w:rPr>
        <w:t>to the Land Bank inventory.</w:t>
      </w:r>
    </w:p>
    <w:p>
      <w:pPr>
        <w:spacing w:after="0" w:line="240" w:lineRule="auto"/>
        <w:jc w:val="both"/>
        <w:rPr>
          <w:sz w:val="22"/>
        </w:rPr>
        <w:sectPr>
          <w:pgSz w:w="12240" w:h="15840"/>
          <w:pgMar w:header="0" w:footer="1176" w:top="1820" w:bottom="1420" w:left="1320" w:right="1280"/>
        </w:sectPr>
      </w:pPr>
    </w:p>
    <w:p>
      <w:pPr>
        <w:pStyle w:val="Heading3"/>
      </w:pPr>
      <w:bookmarkStart w:name="Dallas Housing Finance Corporation (DHFC" w:id="68"/>
      <w:bookmarkEnd w:id="68"/>
      <w:r>
        <w:rPr/>
      </w:r>
      <w:bookmarkStart w:name="_bookmark28" w:id="69"/>
      <w:bookmarkEnd w:id="69"/>
      <w:r>
        <w:rPr/>
      </w:r>
      <w:r>
        <w:rPr>
          <w:color w:val="001F5F"/>
        </w:rPr>
        <w:t>Dallas</w:t>
      </w:r>
      <w:r>
        <w:rPr>
          <w:color w:val="001F5F"/>
          <w:spacing w:val="-7"/>
        </w:rPr>
        <w:t> </w:t>
      </w:r>
      <w:r>
        <w:rPr>
          <w:color w:val="001F5F"/>
        </w:rPr>
        <w:t>Housing</w:t>
      </w:r>
      <w:r>
        <w:rPr>
          <w:color w:val="001F5F"/>
          <w:spacing w:val="-9"/>
        </w:rPr>
        <w:t> </w:t>
      </w:r>
      <w:r>
        <w:rPr>
          <w:color w:val="001F5F"/>
        </w:rPr>
        <w:t>Finance</w:t>
      </w:r>
      <w:r>
        <w:rPr>
          <w:color w:val="001F5F"/>
          <w:spacing w:val="-9"/>
        </w:rPr>
        <w:t> </w:t>
      </w:r>
      <w:r>
        <w:rPr>
          <w:color w:val="001F5F"/>
        </w:rPr>
        <w:t>Corporation</w:t>
      </w:r>
      <w:r>
        <w:rPr>
          <w:color w:val="001F5F"/>
          <w:spacing w:val="-9"/>
        </w:rPr>
        <w:t> </w:t>
      </w:r>
      <w:r>
        <w:rPr>
          <w:color w:val="001F5F"/>
        </w:rPr>
        <w:t>(DHFC)</w:t>
      </w:r>
      <w:r>
        <w:rPr>
          <w:color w:val="001F5F"/>
          <w:spacing w:val="71"/>
        </w:rPr>
        <w:t> </w:t>
      </w:r>
      <w:r>
        <w:rPr>
          <w:color w:val="001F5F"/>
        </w:rPr>
        <w:t>–</w:t>
      </w:r>
      <w:r>
        <w:rPr>
          <w:color w:val="001F5F"/>
          <w:spacing w:val="-9"/>
        </w:rPr>
        <w:t> </w:t>
      </w:r>
      <w:r>
        <w:rPr>
          <w:color w:val="FF0000"/>
        </w:rPr>
        <w:t>Pillars</w:t>
      </w:r>
      <w:r>
        <w:rPr>
          <w:color w:val="FF0000"/>
          <w:spacing w:val="-7"/>
        </w:rPr>
        <w:t> </w:t>
      </w:r>
      <w:r>
        <w:rPr>
          <w:color w:val="FF0000"/>
        </w:rPr>
        <w:t>1,</w:t>
      </w:r>
      <w:r>
        <w:rPr>
          <w:color w:val="FF0000"/>
          <w:spacing w:val="-9"/>
        </w:rPr>
        <w:t> </w:t>
      </w:r>
      <w:r>
        <w:rPr>
          <w:color w:val="FF0000"/>
        </w:rPr>
        <w:t>2,</w:t>
      </w:r>
      <w:r>
        <w:rPr>
          <w:color w:val="FF0000"/>
          <w:spacing w:val="-9"/>
        </w:rPr>
        <w:t> </w:t>
      </w:r>
      <w:r>
        <w:rPr>
          <w:color w:val="FF0000"/>
        </w:rPr>
        <w:t>3,</w:t>
      </w:r>
      <w:r>
        <w:rPr>
          <w:color w:val="FF0000"/>
          <w:spacing w:val="-9"/>
        </w:rPr>
        <w:t> </w:t>
      </w:r>
      <w:r>
        <w:rPr>
          <w:color w:val="FF0000"/>
          <w:spacing w:val="-5"/>
        </w:rPr>
        <w:t>4,</w:t>
      </w:r>
    </w:p>
    <w:p>
      <w:pPr>
        <w:spacing w:before="28"/>
        <w:ind w:left="120" w:right="0" w:firstLine="0"/>
        <w:jc w:val="left"/>
        <w:rPr>
          <w:sz w:val="32"/>
        </w:rPr>
      </w:pPr>
      <w:r>
        <w:rPr>
          <w:color w:val="FF0000"/>
          <w:sz w:val="32"/>
        </w:rPr>
        <w:t>5,</w:t>
      </w:r>
      <w:r>
        <w:rPr>
          <w:color w:val="FF0000"/>
          <w:spacing w:val="-5"/>
          <w:sz w:val="32"/>
        </w:rPr>
        <w:t> </w:t>
      </w:r>
      <w:r>
        <w:rPr>
          <w:color w:val="FF0000"/>
          <w:sz w:val="32"/>
        </w:rPr>
        <w:t>6,</w:t>
      </w:r>
      <w:r>
        <w:rPr>
          <w:color w:val="FF0000"/>
          <w:spacing w:val="-5"/>
          <w:sz w:val="32"/>
        </w:rPr>
        <w:t> </w:t>
      </w:r>
      <w:r>
        <w:rPr>
          <w:color w:val="FF0000"/>
          <w:spacing w:val="-10"/>
          <w:sz w:val="32"/>
        </w:rPr>
        <w:t>7</w:t>
      </w:r>
    </w:p>
    <w:p>
      <w:pPr>
        <w:pStyle w:val="BodyText"/>
        <w:spacing w:before="11"/>
        <w:rPr>
          <w:sz w:val="28"/>
        </w:rPr>
      </w:pPr>
    </w:p>
    <w:p>
      <w:pPr>
        <w:pStyle w:val="BodyText"/>
        <w:spacing w:line="288" w:lineRule="auto"/>
        <w:ind w:left="120" w:right="154"/>
        <w:jc w:val="both"/>
      </w:pPr>
      <w:r>
        <w:rPr/>
        <w:pict>
          <v:shape style="position:absolute;margin-left:90.065002pt;margin-top:59.614048pt;width:395.3pt;height:419pt;mso-position-horizontal-relative:page;mso-position-vertical-relative:paragraph;z-index:-17692160" id="docshape105" coordorigin="1801,1192" coordsize="7906,8380" path="m4498,8456l4492,8383,4477,8305,4455,8222,4432,8153,4403,8080,4367,8005,4325,7928,4276,7847,4237,7788,4200,7737,4200,8423,4197,8479,4186,8536,4167,8593,4138,8653,4097,8716,4044,8782,3979,8851,3674,9157,2216,7699,2517,7398,2598,7322,2672,7262,2740,7219,2801,7192,2868,7178,2941,7173,3020,7180,3105,7198,3195,7227,3255,7253,3317,7285,3380,7324,3446,7369,3514,7420,3584,7479,3656,7543,3729,7615,3789,7676,3845,7736,3896,7795,3943,7853,3986,7910,4025,7965,4059,8019,4101,8094,4136,8166,4163,8235,4183,8302,4196,8366,4200,8423,4200,7737,4194,7728,4148,7668,4098,7608,4045,7547,3989,7485,3929,7423,3865,7361,3801,7303,3737,7248,3673,7196,3643,7173,3609,7148,3546,7104,3482,7063,3419,7025,3346,6987,3274,6955,3203,6927,3132,6905,3062,6888,2992,6876,2923,6869,2850,6868,2779,6874,2709,6889,2642,6912,2577,6942,2528,6971,2476,7008,2420,7053,2359,7108,2294,7170,1801,7663,3710,9571,4124,9157,4226,9055,4287,8990,4341,8924,4386,8859,4424,8792,4454,8725,4476,8659,4491,8592,4498,8525,4498,8456xm6418,6863l6056,6735,5650,6592,5561,6563,5475,6539,5393,6520,5365,6515,5314,6506,5239,6496,5193,6494,5143,6497,5089,6504,5030,6515,5073,6445,5109,6376,5136,6307,5154,6238,5164,6169,5165,6101,5157,6033,5139,5955,5111,5879,5075,5804,5030,5732,4976,5661,4956,5638,4913,5592,4872,5554,4872,6111,4868,6167,4854,6222,4830,6278,4794,6337,4747,6398,4687,6462,4280,6869,3649,6237,4102,5784,4166,5727,4229,5684,4293,5655,4358,5640,4422,5638,4501,5654,4577,5683,4649,5728,4718,5788,4761,5835,4797,5886,4827,5940,4851,5996,4867,6054,4872,6111,4872,5554,4849,5533,4782,5480,4713,5435,4641,5396,4566,5364,4474,5336,4386,5323,4303,5325,4225,5341,4163,5366,4098,5403,4030,5451,3958,5510,3883,5581,3248,6216,5157,8124,5346,7935,4499,7087,4718,6869,4753,6834,4783,6807,4810,6786,4833,6771,4863,6758,4896,6747,4932,6739,4971,6735,5014,6735,5066,6740,5125,6751,5194,6767,5256,6784,5328,6805,5407,6830,5496,6860,6180,7101,6418,6863xm7780,5501l7415,5305,6555,4851,6555,5158,6070,5644,6030,5572,5989,5500,5748,5070,5708,4998,5668,4927,5629,4861,5590,4796,5550,4733,5509,4669,5467,4607,5424,4546,5380,4485,5436,4521,5498,4559,5564,4599,5635,4641,5792,4731,6555,5158,6555,4851,5862,4485,5286,4178,5082,4382,5277,4733,5316,4803,5701,5501,6207,6420,6441,6840,6642,6639,6565,6506,6298,6037,6221,5904,6481,5644,6820,5305,7173,5501,7565,5716,7780,5501xm8131,5150l7264,4283,7936,3611,7711,3386,7039,4058,6448,3467,7224,2691,6999,2466,6033,3431,7941,5339,8131,5150xm9707,3574l8024,1891,8497,1417,8272,1192,7138,2327,7363,2552,7834,2080,9517,3764,9707,3574xe" filled="true" fillcolor="#c0c0c0" stroked="false">
            <v:path arrowok="t"/>
            <v:fill opacity="32896f" type="solid"/>
            <w10:wrap type="none"/>
          </v:shape>
        </w:pict>
      </w:r>
      <w:r>
        <w:rPr/>
        <w:t>The City of Dallas Housing Finance Corporation (DHFC) was organized in 1984 in accordance with Chapter 394 of the</w:t>
      </w:r>
      <w:r>
        <w:rPr>
          <w:spacing w:val="-2"/>
        </w:rPr>
        <w:t> </w:t>
      </w:r>
      <w:r>
        <w:rPr/>
        <w:t>Texas Local</w:t>
      </w:r>
      <w:r>
        <w:rPr>
          <w:spacing w:val="-2"/>
        </w:rPr>
        <w:t> </w:t>
      </w:r>
      <w:r>
        <w:rPr/>
        <w:t>Government Code</w:t>
      </w:r>
      <w:r>
        <w:rPr>
          <w:spacing w:val="-2"/>
        </w:rPr>
        <w:t> </w:t>
      </w:r>
      <w:r>
        <w:rPr/>
        <w:t>(Code). Under the Code, the purpose of the DHFC is to assist persons of low and moderate income to acquire and own decent, safe, sanitary,</w:t>
      </w:r>
      <w:r>
        <w:rPr>
          <w:spacing w:val="-6"/>
        </w:rPr>
        <w:t> </w:t>
      </w:r>
      <w:r>
        <w:rPr/>
        <w:t>and</w:t>
      </w:r>
      <w:r>
        <w:rPr>
          <w:spacing w:val="-10"/>
        </w:rPr>
        <w:t> </w:t>
      </w:r>
      <w:r>
        <w:rPr/>
        <w:t>affordable</w:t>
      </w:r>
      <w:r>
        <w:rPr>
          <w:spacing w:val="-10"/>
        </w:rPr>
        <w:t> </w:t>
      </w:r>
      <w:r>
        <w:rPr/>
        <w:t>housing.</w:t>
      </w:r>
      <w:r>
        <w:rPr>
          <w:spacing w:val="-6"/>
        </w:rPr>
        <w:t> </w:t>
      </w:r>
      <w:r>
        <w:rPr/>
        <w:t>To</w:t>
      </w:r>
      <w:r>
        <w:rPr>
          <w:spacing w:val="-10"/>
        </w:rPr>
        <w:t> </w:t>
      </w:r>
      <w:r>
        <w:rPr/>
        <w:t>fulfill</w:t>
      </w:r>
      <w:r>
        <w:rPr>
          <w:spacing w:val="-8"/>
        </w:rPr>
        <w:t> </w:t>
      </w:r>
      <w:r>
        <w:rPr/>
        <w:t>this</w:t>
      </w:r>
      <w:r>
        <w:rPr>
          <w:spacing w:val="-7"/>
        </w:rPr>
        <w:t> </w:t>
      </w:r>
      <w:r>
        <w:rPr/>
        <w:t>purpose,</w:t>
      </w:r>
      <w:r>
        <w:rPr>
          <w:spacing w:val="-8"/>
        </w:rPr>
        <w:t> </w:t>
      </w:r>
      <w:r>
        <w:rPr/>
        <w:t>the</w:t>
      </w:r>
      <w:r>
        <w:rPr>
          <w:spacing w:val="-10"/>
        </w:rPr>
        <w:t> </w:t>
      </w:r>
      <w:r>
        <w:rPr/>
        <w:t>DHFC</w:t>
      </w:r>
      <w:r>
        <w:rPr>
          <w:spacing w:val="-8"/>
        </w:rPr>
        <w:t> </w:t>
      </w:r>
      <w:r>
        <w:rPr/>
        <w:t>can</w:t>
      </w:r>
      <w:r>
        <w:rPr>
          <w:spacing w:val="-10"/>
        </w:rPr>
        <w:t> </w:t>
      </w:r>
      <w:r>
        <w:rPr/>
        <w:t>be</w:t>
      </w:r>
      <w:r>
        <w:rPr>
          <w:spacing w:val="-10"/>
        </w:rPr>
        <w:t> </w:t>
      </w:r>
      <w:r>
        <w:rPr/>
        <w:t>an</w:t>
      </w:r>
      <w:r>
        <w:rPr>
          <w:spacing w:val="-7"/>
        </w:rPr>
        <w:t> </w:t>
      </w:r>
      <w:r>
        <w:rPr/>
        <w:t>issuer</w:t>
      </w:r>
      <w:r>
        <w:rPr>
          <w:spacing w:val="-9"/>
        </w:rPr>
        <w:t> </w:t>
      </w:r>
      <w:r>
        <w:rPr/>
        <w:t>of</w:t>
      </w:r>
      <w:r>
        <w:rPr>
          <w:spacing w:val="-8"/>
        </w:rPr>
        <w:t> </w:t>
      </w:r>
      <w:r>
        <w:rPr/>
        <w:t>tax-exempt bonds. The DHFC may issue bonds to finance, in whole or in part, the development costs of a residential development or redevelopment; the acquisition of existing residential properties, the costs of purchasing or funding the making of home mortgages; and any other costs associated with the provision of decent, safe, and sanitary housing and non-housing facilities that are an integral part of or are functionally related to an affordable housing development.</w:t>
      </w:r>
    </w:p>
    <w:p>
      <w:pPr>
        <w:pStyle w:val="BodyText"/>
        <w:spacing w:before="4"/>
        <w:rPr>
          <w:sz w:val="26"/>
        </w:rPr>
      </w:pPr>
    </w:p>
    <w:p>
      <w:pPr>
        <w:pStyle w:val="BodyText"/>
        <w:spacing w:line="288" w:lineRule="auto" w:before="1"/>
        <w:ind w:left="120" w:right="153"/>
        <w:jc w:val="both"/>
      </w:pPr>
      <w:r>
        <w:rPr>
          <w:i/>
        </w:rPr>
        <w:t>Affordable</w:t>
      </w:r>
      <w:r>
        <w:rPr>
          <w:i/>
          <w:spacing w:val="-12"/>
        </w:rPr>
        <w:t> </w:t>
      </w:r>
      <w:r>
        <w:rPr>
          <w:i/>
        </w:rPr>
        <w:t>Housing</w:t>
      </w:r>
      <w:r>
        <w:rPr>
          <w:i/>
          <w:spacing w:val="-10"/>
        </w:rPr>
        <w:t> </w:t>
      </w:r>
      <w:r>
        <w:rPr>
          <w:i/>
        </w:rPr>
        <w:t>Partnerships</w:t>
      </w:r>
      <w:r>
        <w:rPr/>
        <w:t>:</w:t>
      </w:r>
      <w:r>
        <w:rPr>
          <w:spacing w:val="-11"/>
        </w:rPr>
        <w:t> </w:t>
      </w:r>
      <w:r>
        <w:rPr/>
        <w:t>The</w:t>
      </w:r>
      <w:r>
        <w:rPr>
          <w:spacing w:val="-10"/>
        </w:rPr>
        <w:t> </w:t>
      </w:r>
      <w:r>
        <w:rPr/>
        <w:t>DHFC</w:t>
      </w:r>
      <w:r>
        <w:rPr>
          <w:spacing w:val="-10"/>
        </w:rPr>
        <w:t> </w:t>
      </w:r>
      <w:r>
        <w:rPr/>
        <w:t>can</w:t>
      </w:r>
      <w:r>
        <w:rPr>
          <w:spacing w:val="-12"/>
        </w:rPr>
        <w:t> </w:t>
      </w:r>
      <w:r>
        <w:rPr/>
        <w:t>also</w:t>
      </w:r>
      <w:r>
        <w:rPr>
          <w:spacing w:val="-10"/>
        </w:rPr>
        <w:t> </w:t>
      </w:r>
      <w:r>
        <w:rPr/>
        <w:t>partner</w:t>
      </w:r>
      <w:r>
        <w:rPr>
          <w:spacing w:val="-11"/>
        </w:rPr>
        <w:t> </w:t>
      </w:r>
      <w:r>
        <w:rPr/>
        <w:t>with</w:t>
      </w:r>
      <w:r>
        <w:rPr>
          <w:spacing w:val="-10"/>
        </w:rPr>
        <w:t> </w:t>
      </w:r>
      <w:r>
        <w:rPr/>
        <w:t>affordable</w:t>
      </w:r>
      <w:r>
        <w:rPr>
          <w:spacing w:val="-10"/>
        </w:rPr>
        <w:t> </w:t>
      </w:r>
      <w:r>
        <w:rPr/>
        <w:t>housing</w:t>
      </w:r>
      <w:r>
        <w:rPr>
          <w:spacing w:val="-10"/>
        </w:rPr>
        <w:t> </w:t>
      </w:r>
      <w:r>
        <w:rPr/>
        <w:t>developers for</w:t>
      </w:r>
      <w:r>
        <w:rPr>
          <w:spacing w:val="-9"/>
        </w:rPr>
        <w:t> </w:t>
      </w:r>
      <w:r>
        <w:rPr/>
        <w:t>the</w:t>
      </w:r>
      <w:r>
        <w:rPr>
          <w:spacing w:val="-10"/>
        </w:rPr>
        <w:t> </w:t>
      </w:r>
      <w:r>
        <w:rPr/>
        <w:t>production</w:t>
      </w:r>
      <w:r>
        <w:rPr>
          <w:spacing w:val="-7"/>
        </w:rPr>
        <w:t> </w:t>
      </w:r>
      <w:r>
        <w:rPr/>
        <w:t>of</w:t>
      </w:r>
      <w:r>
        <w:rPr>
          <w:spacing w:val="-8"/>
        </w:rPr>
        <w:t> </w:t>
      </w:r>
      <w:r>
        <w:rPr/>
        <w:t>multifamily</w:t>
      </w:r>
      <w:r>
        <w:rPr>
          <w:spacing w:val="-6"/>
        </w:rPr>
        <w:t> </w:t>
      </w:r>
      <w:r>
        <w:rPr/>
        <w:t>and</w:t>
      </w:r>
      <w:r>
        <w:rPr>
          <w:spacing w:val="-12"/>
        </w:rPr>
        <w:t> </w:t>
      </w:r>
      <w:r>
        <w:rPr/>
        <w:t>for-sale</w:t>
      </w:r>
      <w:r>
        <w:rPr>
          <w:spacing w:val="-7"/>
        </w:rPr>
        <w:t> </w:t>
      </w:r>
      <w:r>
        <w:rPr/>
        <w:t>housing.</w:t>
      </w:r>
      <w:r>
        <w:rPr>
          <w:spacing w:val="-6"/>
        </w:rPr>
        <w:t> </w:t>
      </w:r>
      <w:r>
        <w:rPr/>
        <w:t>The</w:t>
      </w:r>
      <w:r>
        <w:rPr>
          <w:spacing w:val="-7"/>
        </w:rPr>
        <w:t> </w:t>
      </w:r>
      <w:r>
        <w:rPr/>
        <w:t>DHFC</w:t>
      </w:r>
      <w:r>
        <w:rPr>
          <w:spacing w:val="-10"/>
        </w:rPr>
        <w:t> </w:t>
      </w:r>
      <w:r>
        <w:rPr/>
        <w:t>can</w:t>
      </w:r>
      <w:r>
        <w:rPr>
          <w:spacing w:val="-10"/>
        </w:rPr>
        <w:t> </w:t>
      </w:r>
      <w:r>
        <w:rPr/>
        <w:t>acquire</w:t>
      </w:r>
      <w:r>
        <w:rPr>
          <w:spacing w:val="-7"/>
        </w:rPr>
        <w:t> </w:t>
      </w:r>
      <w:r>
        <w:rPr/>
        <w:t>an</w:t>
      </w:r>
      <w:r>
        <w:rPr>
          <w:spacing w:val="-10"/>
        </w:rPr>
        <w:t> </w:t>
      </w:r>
      <w:r>
        <w:rPr/>
        <w:t>ownership</w:t>
      </w:r>
      <w:r>
        <w:rPr>
          <w:spacing w:val="-10"/>
        </w:rPr>
        <w:t> </w:t>
      </w:r>
      <w:r>
        <w:rPr/>
        <w:t>stake in</w:t>
      </w:r>
      <w:r>
        <w:rPr>
          <w:spacing w:val="-5"/>
        </w:rPr>
        <w:t> </w:t>
      </w:r>
      <w:r>
        <w:rPr/>
        <w:t>the</w:t>
      </w:r>
      <w:r>
        <w:rPr>
          <w:spacing w:val="-6"/>
        </w:rPr>
        <w:t> </w:t>
      </w:r>
      <w:r>
        <w:rPr/>
        <w:t>development</w:t>
      </w:r>
      <w:r>
        <w:rPr>
          <w:spacing w:val="-6"/>
        </w:rPr>
        <w:t> </w:t>
      </w:r>
      <w:r>
        <w:rPr/>
        <w:t>by</w:t>
      </w:r>
      <w:r>
        <w:rPr>
          <w:spacing w:val="-5"/>
        </w:rPr>
        <w:t> </w:t>
      </w:r>
      <w:r>
        <w:rPr/>
        <w:t>becoming</w:t>
      </w:r>
      <w:r>
        <w:rPr>
          <w:spacing w:val="-7"/>
        </w:rPr>
        <w:t> </w:t>
      </w:r>
      <w:r>
        <w:rPr/>
        <w:t>the</w:t>
      </w:r>
      <w:r>
        <w:rPr>
          <w:spacing w:val="-6"/>
        </w:rPr>
        <w:t> </w:t>
      </w:r>
      <w:r>
        <w:rPr/>
        <w:t>General</w:t>
      </w:r>
      <w:r>
        <w:rPr>
          <w:spacing w:val="-6"/>
        </w:rPr>
        <w:t> </w:t>
      </w:r>
      <w:r>
        <w:rPr/>
        <w:t>Partner</w:t>
      </w:r>
      <w:r>
        <w:rPr>
          <w:spacing w:val="-6"/>
        </w:rPr>
        <w:t> </w:t>
      </w:r>
      <w:r>
        <w:rPr/>
        <w:t>(GP)</w:t>
      </w:r>
      <w:r>
        <w:rPr>
          <w:spacing w:val="-6"/>
        </w:rPr>
        <w:t> </w:t>
      </w:r>
      <w:r>
        <w:rPr/>
        <w:t>of</w:t>
      </w:r>
      <w:r>
        <w:rPr>
          <w:spacing w:val="-6"/>
        </w:rPr>
        <w:t> </w:t>
      </w:r>
      <w:r>
        <w:rPr/>
        <w:t>an</w:t>
      </w:r>
      <w:r>
        <w:rPr>
          <w:spacing w:val="-6"/>
        </w:rPr>
        <w:t> </w:t>
      </w:r>
      <w:r>
        <w:rPr/>
        <w:t>ownership</w:t>
      </w:r>
      <w:r>
        <w:rPr>
          <w:spacing w:val="-6"/>
        </w:rPr>
        <w:t> </w:t>
      </w:r>
      <w:r>
        <w:rPr/>
        <w:t>entity,</w:t>
      </w:r>
      <w:r>
        <w:rPr>
          <w:spacing w:val="-6"/>
        </w:rPr>
        <w:t> </w:t>
      </w:r>
      <w:r>
        <w:rPr/>
        <w:t>right</w:t>
      </w:r>
      <w:r>
        <w:rPr>
          <w:spacing w:val="-4"/>
        </w:rPr>
        <w:t> </w:t>
      </w:r>
      <w:r>
        <w:rPr/>
        <w:t>of</w:t>
      </w:r>
      <w:r>
        <w:rPr>
          <w:spacing w:val="-6"/>
        </w:rPr>
        <w:t> </w:t>
      </w:r>
      <w:r>
        <w:rPr/>
        <w:t>refusal to</w:t>
      </w:r>
      <w:r>
        <w:rPr>
          <w:spacing w:val="-6"/>
        </w:rPr>
        <w:t> </w:t>
      </w:r>
      <w:r>
        <w:rPr/>
        <w:t>purchase</w:t>
      </w:r>
      <w:r>
        <w:rPr>
          <w:spacing w:val="-9"/>
        </w:rPr>
        <w:t> </w:t>
      </w:r>
      <w:r>
        <w:rPr/>
        <w:t>the</w:t>
      </w:r>
      <w:r>
        <w:rPr>
          <w:spacing w:val="-6"/>
        </w:rPr>
        <w:t> </w:t>
      </w:r>
      <w:r>
        <w:rPr/>
        <w:t>improvements,</w:t>
      </w:r>
      <w:r>
        <w:rPr>
          <w:spacing w:val="-7"/>
        </w:rPr>
        <w:t> </w:t>
      </w:r>
      <w:r>
        <w:rPr/>
        <w:t>and</w:t>
      </w:r>
      <w:r>
        <w:rPr>
          <w:spacing w:val="-6"/>
        </w:rPr>
        <w:t> </w:t>
      </w:r>
      <w:r>
        <w:rPr/>
        <w:t>owning</w:t>
      </w:r>
      <w:r>
        <w:rPr>
          <w:spacing w:val="-9"/>
        </w:rPr>
        <w:t> </w:t>
      </w:r>
      <w:r>
        <w:rPr/>
        <w:t>and</w:t>
      </w:r>
      <w:r>
        <w:rPr>
          <w:spacing w:val="-9"/>
        </w:rPr>
        <w:t> </w:t>
      </w:r>
      <w:r>
        <w:rPr/>
        <w:t>controlling</w:t>
      </w:r>
      <w:r>
        <w:rPr>
          <w:spacing w:val="-6"/>
        </w:rPr>
        <w:t> </w:t>
      </w:r>
      <w:r>
        <w:rPr/>
        <w:t>the</w:t>
      </w:r>
      <w:r>
        <w:rPr>
          <w:spacing w:val="-9"/>
        </w:rPr>
        <w:t> </w:t>
      </w:r>
      <w:r>
        <w:rPr/>
        <w:t>land.</w:t>
      </w:r>
      <w:r>
        <w:rPr>
          <w:spacing w:val="-7"/>
        </w:rPr>
        <w:t> </w:t>
      </w:r>
      <w:r>
        <w:rPr/>
        <w:t>DHFC</w:t>
      </w:r>
      <w:r>
        <w:rPr>
          <w:spacing w:val="-7"/>
        </w:rPr>
        <w:t> </w:t>
      </w:r>
      <w:r>
        <w:rPr/>
        <w:t>is</w:t>
      </w:r>
      <w:r>
        <w:rPr>
          <w:spacing w:val="-8"/>
        </w:rPr>
        <w:t> </w:t>
      </w:r>
      <w:r>
        <w:rPr/>
        <w:t>the</w:t>
      </w:r>
      <w:r>
        <w:rPr>
          <w:spacing w:val="-9"/>
        </w:rPr>
        <w:t> </w:t>
      </w:r>
      <w:r>
        <w:rPr/>
        <w:t>sole</w:t>
      </w:r>
      <w:r>
        <w:rPr>
          <w:spacing w:val="-9"/>
        </w:rPr>
        <w:t> </w:t>
      </w:r>
      <w:r>
        <w:rPr/>
        <w:t>member</w:t>
      </w:r>
      <w:r>
        <w:rPr>
          <w:spacing w:val="-8"/>
        </w:rPr>
        <w:t> </w:t>
      </w:r>
      <w:r>
        <w:rPr/>
        <w:t>of the GP. Fifty-one percent of the units must be set aside for affordable housing. If all of the aforementioned criteria are met; then the development can benefit from a tax exemption. Additionally, the DHFC can be the General Contractor to allow for sales tax exemption on construction materials.</w:t>
      </w:r>
    </w:p>
    <w:p>
      <w:pPr>
        <w:spacing w:after="0" w:line="288" w:lineRule="auto"/>
        <w:jc w:val="both"/>
        <w:sectPr>
          <w:pgSz w:w="12240" w:h="15840"/>
          <w:pgMar w:header="0" w:footer="1176" w:top="1380" w:bottom="1420" w:left="1320" w:right="1280"/>
        </w:sectPr>
      </w:pPr>
    </w:p>
    <w:p>
      <w:pPr>
        <w:pStyle w:val="Heading3"/>
      </w:pPr>
      <w:bookmarkStart w:name="Dallas Public Facility Corporation (DPFC" w:id="70"/>
      <w:bookmarkEnd w:id="70"/>
      <w:r>
        <w:rPr/>
      </w:r>
      <w:bookmarkStart w:name="_bookmark29" w:id="71"/>
      <w:bookmarkEnd w:id="71"/>
      <w:r>
        <w:rPr/>
      </w:r>
      <w:r>
        <w:rPr>
          <w:color w:val="001F5F"/>
        </w:rPr>
        <w:t>Dallas</w:t>
      </w:r>
      <w:r>
        <w:rPr>
          <w:color w:val="001F5F"/>
          <w:spacing w:val="-7"/>
        </w:rPr>
        <w:t> </w:t>
      </w:r>
      <w:r>
        <w:rPr>
          <w:color w:val="001F5F"/>
        </w:rPr>
        <w:t>Public</w:t>
      </w:r>
      <w:r>
        <w:rPr>
          <w:color w:val="001F5F"/>
          <w:spacing w:val="-7"/>
        </w:rPr>
        <w:t> </w:t>
      </w:r>
      <w:r>
        <w:rPr>
          <w:color w:val="001F5F"/>
        </w:rPr>
        <w:t>Facility</w:t>
      </w:r>
      <w:r>
        <w:rPr>
          <w:color w:val="001F5F"/>
          <w:spacing w:val="-7"/>
        </w:rPr>
        <w:t> </w:t>
      </w:r>
      <w:r>
        <w:rPr>
          <w:color w:val="001F5F"/>
        </w:rPr>
        <w:t>Corporation</w:t>
      </w:r>
      <w:r>
        <w:rPr>
          <w:color w:val="001F5F"/>
          <w:spacing w:val="-6"/>
        </w:rPr>
        <w:t> </w:t>
      </w:r>
      <w:r>
        <w:rPr>
          <w:color w:val="001F5F"/>
        </w:rPr>
        <w:t>(DPFC)</w:t>
      </w:r>
      <w:r>
        <w:rPr>
          <w:color w:val="001F5F"/>
          <w:spacing w:val="-9"/>
        </w:rPr>
        <w:t> </w:t>
      </w:r>
      <w:r>
        <w:rPr>
          <w:color w:val="001F5F"/>
        </w:rPr>
        <w:t>–</w:t>
      </w:r>
      <w:r>
        <w:rPr>
          <w:color w:val="001F5F"/>
          <w:spacing w:val="-9"/>
        </w:rPr>
        <w:t> </w:t>
      </w:r>
      <w:r>
        <w:rPr>
          <w:color w:val="FF0000"/>
        </w:rPr>
        <w:t>Pillars</w:t>
      </w:r>
      <w:r>
        <w:rPr>
          <w:color w:val="FF0000"/>
          <w:spacing w:val="-7"/>
        </w:rPr>
        <w:t> </w:t>
      </w:r>
      <w:r>
        <w:rPr>
          <w:color w:val="FF0000"/>
        </w:rPr>
        <w:t>1,</w:t>
      </w:r>
      <w:r>
        <w:rPr>
          <w:color w:val="FF0000"/>
          <w:spacing w:val="-8"/>
        </w:rPr>
        <w:t> </w:t>
      </w:r>
      <w:r>
        <w:rPr>
          <w:color w:val="FF0000"/>
        </w:rPr>
        <w:t>2,</w:t>
      </w:r>
      <w:r>
        <w:rPr>
          <w:color w:val="FF0000"/>
          <w:spacing w:val="-9"/>
        </w:rPr>
        <w:t> </w:t>
      </w:r>
      <w:r>
        <w:rPr>
          <w:color w:val="FF0000"/>
        </w:rPr>
        <w:t>3,</w:t>
      </w:r>
      <w:r>
        <w:rPr>
          <w:color w:val="FF0000"/>
          <w:spacing w:val="-9"/>
        </w:rPr>
        <w:t> </w:t>
      </w:r>
      <w:r>
        <w:rPr>
          <w:color w:val="FF0000"/>
        </w:rPr>
        <w:t>4,</w:t>
      </w:r>
      <w:r>
        <w:rPr>
          <w:color w:val="FF0000"/>
          <w:spacing w:val="-9"/>
        </w:rPr>
        <w:t> </w:t>
      </w:r>
      <w:r>
        <w:rPr>
          <w:color w:val="FF0000"/>
        </w:rPr>
        <w:t>5,</w:t>
      </w:r>
      <w:r>
        <w:rPr>
          <w:color w:val="FF0000"/>
          <w:spacing w:val="-8"/>
        </w:rPr>
        <w:t> </w:t>
      </w:r>
      <w:r>
        <w:rPr>
          <w:color w:val="FF0000"/>
          <w:spacing w:val="-5"/>
        </w:rPr>
        <w:t>6,</w:t>
      </w:r>
    </w:p>
    <w:p>
      <w:pPr>
        <w:spacing w:before="28"/>
        <w:ind w:left="119" w:right="0" w:firstLine="0"/>
        <w:jc w:val="left"/>
        <w:rPr>
          <w:sz w:val="32"/>
        </w:rPr>
      </w:pPr>
      <w:r>
        <w:rPr>
          <w:color w:val="FF0000"/>
          <w:w w:val="99"/>
          <w:sz w:val="32"/>
        </w:rPr>
        <w:t>7</w:t>
      </w:r>
    </w:p>
    <w:p>
      <w:pPr>
        <w:pStyle w:val="BodyText"/>
        <w:spacing w:before="11"/>
        <w:rPr>
          <w:sz w:val="28"/>
        </w:rPr>
      </w:pPr>
    </w:p>
    <w:p>
      <w:pPr>
        <w:pStyle w:val="BodyText"/>
        <w:spacing w:line="288" w:lineRule="auto"/>
        <w:ind w:left="120" w:right="156"/>
        <w:jc w:val="both"/>
      </w:pPr>
      <w:r>
        <w:rPr/>
        <w:pict>
          <v:shape style="position:absolute;margin-left:90.065002pt;margin-top:59.614048pt;width:395.3pt;height:419pt;mso-position-horizontal-relative:page;mso-position-vertical-relative:paragraph;z-index:-17691648" id="docshape106" coordorigin="1801,1192" coordsize="7906,8380" path="m4498,8456l4492,8383,4477,8305,4455,8222,4432,8153,4403,8080,4367,8005,4325,7928,4276,7847,4237,7788,4200,7737,4200,8423,4197,8479,4186,8536,4167,8593,4138,8653,4097,8716,4044,8782,3979,8851,3674,9157,2216,7699,2517,7398,2598,7322,2672,7262,2740,7219,2801,7192,2868,7178,2941,7173,3020,7180,3105,7198,3195,7227,3255,7253,3317,7285,3380,7324,3446,7369,3514,7420,3584,7479,3656,7543,3729,7615,3789,7676,3845,7736,3896,7795,3943,7853,3986,7910,4025,7965,4059,8019,4101,8094,4136,8166,4163,8235,4183,8302,4196,8366,4200,8423,4200,7737,4194,7728,4148,7668,4098,7608,4045,7547,3989,7485,3929,7423,3865,7361,3801,7303,3737,7248,3673,7196,3643,7173,3609,7148,3546,7104,3482,7063,3419,7025,3346,6987,3274,6955,3203,6927,3132,6905,3062,6888,2992,6876,2923,6869,2850,6868,2779,6874,2709,6889,2642,6912,2577,6942,2528,6971,2476,7008,2420,7053,2359,7108,2294,7170,1801,7663,3710,9571,4124,9157,4226,9055,4287,8990,4341,8924,4386,8859,4424,8792,4454,8725,4476,8659,4491,8592,4498,8525,4498,8456xm6418,6863l6056,6735,5650,6592,5561,6563,5475,6539,5393,6520,5365,6515,5314,6506,5239,6496,5193,6494,5143,6497,5089,6504,5030,6515,5073,6445,5109,6376,5136,6307,5154,6238,5164,6169,5165,6101,5157,6033,5139,5955,5111,5879,5075,5804,5030,5732,4976,5661,4956,5638,4913,5592,4872,5554,4872,6111,4868,6167,4854,6222,4830,6278,4794,6337,4747,6398,4687,6462,4280,6869,3649,6237,4102,5784,4166,5727,4229,5684,4293,5655,4358,5640,4422,5638,4501,5654,4577,5683,4649,5728,4718,5788,4761,5835,4797,5886,4827,5940,4851,5996,4867,6054,4872,6111,4872,5554,4849,5533,4782,5480,4713,5435,4641,5396,4566,5364,4474,5336,4386,5323,4303,5325,4225,5341,4163,5366,4098,5403,4030,5451,3958,5510,3883,5581,3248,6216,5157,8124,5346,7935,4499,7087,4718,6869,4753,6834,4783,6807,4810,6786,4833,6771,4863,6758,4896,6747,4932,6739,4971,6735,5014,6735,5066,6740,5125,6751,5194,6767,5256,6784,5328,6805,5407,6830,5496,6860,6180,7101,6418,6863xm7780,5501l7415,5305,6555,4851,6555,5158,6070,5644,6030,5572,5989,5500,5748,5070,5708,4998,5668,4927,5629,4861,5590,4796,5550,4733,5509,4669,5467,4607,5424,4546,5380,4485,5436,4521,5498,4559,5564,4599,5635,4641,5792,4731,6555,5158,6555,4851,5862,4485,5286,4178,5082,4382,5277,4733,5316,4803,5701,5501,6207,6420,6441,6840,6642,6639,6565,6506,6298,6037,6221,5904,6481,5644,6820,5305,7173,5501,7565,5716,7780,5501xm8131,5150l7264,4283,7936,3611,7711,3386,7039,4058,6448,3467,7224,2691,6999,2466,6033,3431,7941,5339,8131,5150xm9707,3574l8024,1891,8497,1417,8272,1192,7138,2327,7363,2552,7834,2080,9517,3764,9707,3574xe" filled="true" fillcolor="#c0c0c0" stroked="false">
            <v:path arrowok="t"/>
            <v:fill opacity="32896f" type="solid"/>
            <w10:wrap type="none"/>
          </v:shape>
        </w:pict>
      </w:r>
      <w:r>
        <w:rPr/>
        <w:t>Created by the City of Dallas in 2020, the Dallas Public Facility Corporation (DPFC) is a Texas public facility corporation and public nonprofit corporation governed by the Public Facility Corporation</w:t>
      </w:r>
      <w:r>
        <w:rPr>
          <w:spacing w:val="-12"/>
        </w:rPr>
        <w:t> </w:t>
      </w:r>
      <w:r>
        <w:rPr/>
        <w:t>Act,</w:t>
      </w:r>
      <w:r>
        <w:rPr>
          <w:spacing w:val="-8"/>
        </w:rPr>
        <w:t> </w:t>
      </w:r>
      <w:r>
        <w:rPr/>
        <w:t>Chapter</w:t>
      </w:r>
      <w:r>
        <w:rPr>
          <w:spacing w:val="-11"/>
        </w:rPr>
        <w:t> </w:t>
      </w:r>
      <w:r>
        <w:rPr/>
        <w:t>303</w:t>
      </w:r>
      <w:r>
        <w:rPr>
          <w:spacing w:val="-10"/>
        </w:rPr>
        <w:t> </w:t>
      </w:r>
      <w:r>
        <w:rPr/>
        <w:t>of</w:t>
      </w:r>
      <w:r>
        <w:rPr>
          <w:spacing w:val="-11"/>
        </w:rPr>
        <w:t> </w:t>
      </w:r>
      <w:r>
        <w:rPr/>
        <w:t>the</w:t>
      </w:r>
      <w:r>
        <w:rPr>
          <w:spacing w:val="-10"/>
        </w:rPr>
        <w:t> </w:t>
      </w:r>
      <w:r>
        <w:rPr/>
        <w:t>Texas</w:t>
      </w:r>
      <w:r>
        <w:rPr>
          <w:spacing w:val="-9"/>
        </w:rPr>
        <w:t> </w:t>
      </w:r>
      <w:r>
        <w:rPr/>
        <w:t>Local</w:t>
      </w:r>
      <w:r>
        <w:rPr>
          <w:spacing w:val="-13"/>
        </w:rPr>
        <w:t> </w:t>
      </w:r>
      <w:r>
        <w:rPr/>
        <w:t>Government</w:t>
      </w:r>
      <w:r>
        <w:rPr>
          <w:spacing w:val="-8"/>
        </w:rPr>
        <w:t> </w:t>
      </w:r>
      <w:r>
        <w:rPr/>
        <w:t>Code,</w:t>
      </w:r>
      <w:r>
        <w:rPr>
          <w:spacing w:val="-8"/>
        </w:rPr>
        <w:t> </w:t>
      </w:r>
      <w:r>
        <w:rPr/>
        <w:t>as</w:t>
      </w:r>
      <w:r>
        <w:rPr>
          <w:spacing w:val="-12"/>
        </w:rPr>
        <w:t> </w:t>
      </w:r>
      <w:r>
        <w:rPr/>
        <w:t>amended</w:t>
      </w:r>
      <w:r>
        <w:rPr>
          <w:spacing w:val="-12"/>
        </w:rPr>
        <w:t> </w:t>
      </w:r>
      <w:r>
        <w:rPr/>
        <w:t>(the</w:t>
      </w:r>
      <w:r>
        <w:rPr>
          <w:spacing w:val="-12"/>
        </w:rPr>
        <w:t> </w:t>
      </w:r>
      <w:r>
        <w:rPr/>
        <w:t>"Act").</w:t>
      </w:r>
      <w:r>
        <w:rPr>
          <w:spacing w:val="-11"/>
        </w:rPr>
        <w:t> </w:t>
      </w:r>
      <w:r>
        <w:rPr/>
        <w:t>The DPFC is organized exclusively for the purpose of assisting the City in financing, refinancing, or providing "public facilities," as defined by the Act. In general, the DPFC seeks to develop and preserve mixed-income workforce housing communities to serve residents earning at or below 80% of the area median income (AMI) as well as provide non-income restricted units.</w:t>
      </w:r>
    </w:p>
    <w:p>
      <w:pPr>
        <w:pStyle w:val="BodyText"/>
        <w:spacing w:before="4"/>
        <w:rPr>
          <w:sz w:val="26"/>
        </w:rPr>
      </w:pPr>
    </w:p>
    <w:p>
      <w:pPr>
        <w:pStyle w:val="BodyText"/>
        <w:spacing w:line="288" w:lineRule="auto" w:before="1"/>
        <w:ind w:left="120" w:right="156"/>
        <w:jc w:val="both"/>
      </w:pPr>
      <w:r>
        <w:rPr/>
        <w:t>The</w:t>
      </w:r>
      <w:r>
        <w:rPr>
          <w:spacing w:val="-7"/>
        </w:rPr>
        <w:t> </w:t>
      </w:r>
      <w:r>
        <w:rPr/>
        <w:t>DPFC</w:t>
      </w:r>
      <w:r>
        <w:rPr>
          <w:spacing w:val="-8"/>
        </w:rPr>
        <w:t> </w:t>
      </w:r>
      <w:r>
        <w:rPr/>
        <w:t>is</w:t>
      </w:r>
      <w:r>
        <w:rPr>
          <w:spacing w:val="-7"/>
        </w:rPr>
        <w:t> </w:t>
      </w:r>
      <w:r>
        <w:rPr/>
        <w:t>authorized</w:t>
      </w:r>
      <w:r>
        <w:rPr>
          <w:spacing w:val="-9"/>
        </w:rPr>
        <w:t> </w:t>
      </w:r>
      <w:r>
        <w:rPr/>
        <w:t>to</w:t>
      </w:r>
      <w:r>
        <w:rPr>
          <w:spacing w:val="-7"/>
        </w:rPr>
        <w:t> </w:t>
      </w:r>
      <w:r>
        <w:rPr/>
        <w:t>finance</w:t>
      </w:r>
      <w:r>
        <w:rPr>
          <w:spacing w:val="-9"/>
        </w:rPr>
        <w:t> </w:t>
      </w:r>
      <w:r>
        <w:rPr/>
        <w:t>the</w:t>
      </w:r>
      <w:r>
        <w:rPr>
          <w:spacing w:val="-9"/>
        </w:rPr>
        <w:t> </w:t>
      </w:r>
      <w:r>
        <w:rPr/>
        <w:t>acquisition</w:t>
      </w:r>
      <w:r>
        <w:rPr>
          <w:spacing w:val="-9"/>
        </w:rPr>
        <w:t> </w:t>
      </w:r>
      <w:r>
        <w:rPr/>
        <w:t>of</w:t>
      </w:r>
      <w:r>
        <w:rPr>
          <w:spacing w:val="-6"/>
        </w:rPr>
        <w:t> </w:t>
      </w:r>
      <w:r>
        <w:rPr/>
        <w:t>obligations</w:t>
      </w:r>
      <w:r>
        <w:rPr>
          <w:spacing w:val="-7"/>
        </w:rPr>
        <w:t> </w:t>
      </w:r>
      <w:r>
        <w:rPr/>
        <w:t>issued</w:t>
      </w:r>
      <w:r>
        <w:rPr>
          <w:spacing w:val="-9"/>
        </w:rPr>
        <w:t> </w:t>
      </w:r>
      <w:r>
        <w:rPr/>
        <w:t>or</w:t>
      </w:r>
      <w:r>
        <w:rPr>
          <w:spacing w:val="-9"/>
        </w:rPr>
        <w:t> </w:t>
      </w:r>
      <w:r>
        <w:rPr/>
        <w:t>incurred</w:t>
      </w:r>
      <w:r>
        <w:rPr>
          <w:spacing w:val="-9"/>
        </w:rPr>
        <w:t> </w:t>
      </w:r>
      <w:r>
        <w:rPr/>
        <w:t>in</w:t>
      </w:r>
      <w:r>
        <w:rPr>
          <w:spacing w:val="-7"/>
        </w:rPr>
        <w:t> </w:t>
      </w:r>
      <w:r>
        <w:rPr/>
        <w:t>accordance with existing law, to provide for the acquisition, construction, rehabilitation, renovation, repair, equipping, furnishing, and placement in service of public facilities as allowed by the City and pursuant to the Act.</w:t>
      </w:r>
    </w:p>
    <w:p>
      <w:pPr>
        <w:spacing w:after="0" w:line="288" w:lineRule="auto"/>
        <w:jc w:val="both"/>
        <w:sectPr>
          <w:pgSz w:w="12240" w:h="15840"/>
          <w:pgMar w:header="0" w:footer="1176" w:top="1380" w:bottom="1420" w:left="1320" w:right="1280"/>
        </w:sectPr>
      </w:pPr>
    </w:p>
    <w:p>
      <w:pPr>
        <w:pStyle w:val="Heading1"/>
        <w:rPr>
          <w:u w:val="none"/>
        </w:rPr>
      </w:pPr>
      <w:bookmarkStart w:name="COMPLIANCE AND FUNDING RESOURCES" w:id="72"/>
      <w:bookmarkEnd w:id="72"/>
      <w:r>
        <w:rPr>
          <w:b w:val="0"/>
          <w:u w:val="none"/>
        </w:rPr>
      </w:r>
      <w:bookmarkStart w:name="_bookmark30" w:id="73"/>
      <w:bookmarkEnd w:id="73"/>
      <w:r>
        <w:rPr>
          <w:b w:val="0"/>
          <w:u w:val="none"/>
        </w:rPr>
      </w:r>
      <w:r>
        <w:rPr>
          <w:u w:val="single"/>
        </w:rPr>
        <w:t>COMPLIANCE</w:t>
      </w:r>
      <w:r>
        <w:rPr>
          <w:spacing w:val="-10"/>
          <w:u w:val="single"/>
        </w:rPr>
        <w:t> </w:t>
      </w:r>
      <w:r>
        <w:rPr>
          <w:u w:val="single"/>
        </w:rPr>
        <w:t>AND</w:t>
      </w:r>
      <w:r>
        <w:rPr>
          <w:spacing w:val="-7"/>
          <w:u w:val="single"/>
        </w:rPr>
        <w:t> </w:t>
      </w:r>
      <w:r>
        <w:rPr>
          <w:u w:val="single"/>
        </w:rPr>
        <w:t>FUNDING</w:t>
      </w:r>
      <w:r>
        <w:rPr>
          <w:spacing w:val="-8"/>
          <w:u w:val="single"/>
        </w:rPr>
        <w:t> </w:t>
      </w:r>
      <w:r>
        <w:rPr>
          <w:spacing w:val="-2"/>
          <w:u w:val="single"/>
        </w:rPr>
        <w:t>RESOURCES</w:t>
      </w:r>
    </w:p>
    <w:p>
      <w:pPr>
        <w:pStyle w:val="BodyText"/>
        <w:rPr>
          <w:b/>
          <w:sz w:val="20"/>
        </w:rPr>
      </w:pPr>
    </w:p>
    <w:p>
      <w:pPr>
        <w:pStyle w:val="BodyText"/>
        <w:spacing w:before="1"/>
        <w:rPr>
          <w:b/>
        </w:rPr>
      </w:pPr>
    </w:p>
    <w:p>
      <w:pPr>
        <w:pStyle w:val="BodyText"/>
        <w:spacing w:line="288" w:lineRule="auto"/>
        <w:ind w:left="120"/>
      </w:pPr>
      <w:r>
        <w:rPr/>
        <w:t>The</w:t>
      </w:r>
      <w:r>
        <w:rPr>
          <w:spacing w:val="-3"/>
        </w:rPr>
        <w:t> </w:t>
      </w:r>
      <w:r>
        <w:rPr/>
        <w:t>Department</w:t>
      </w:r>
      <w:r>
        <w:rPr>
          <w:spacing w:val="-2"/>
        </w:rPr>
        <w:t> </w:t>
      </w:r>
      <w:r>
        <w:rPr/>
        <w:t>will</w:t>
      </w:r>
      <w:r>
        <w:rPr>
          <w:spacing w:val="-4"/>
        </w:rPr>
        <w:t> </w:t>
      </w:r>
      <w:r>
        <w:rPr/>
        <w:t>have</w:t>
      </w:r>
      <w:r>
        <w:rPr>
          <w:spacing w:val="-4"/>
        </w:rPr>
        <w:t> </w:t>
      </w:r>
      <w:r>
        <w:rPr/>
        <w:t>internal</w:t>
      </w:r>
      <w:r>
        <w:rPr>
          <w:spacing w:val="-4"/>
        </w:rPr>
        <w:t> </w:t>
      </w:r>
      <w:r>
        <w:rPr/>
        <w:t>and</w:t>
      </w:r>
      <w:r>
        <w:rPr>
          <w:spacing w:val="-6"/>
        </w:rPr>
        <w:t> </w:t>
      </w:r>
      <w:r>
        <w:rPr/>
        <w:t>external</w:t>
      </w:r>
      <w:r>
        <w:rPr>
          <w:spacing w:val="-4"/>
        </w:rPr>
        <w:t> </w:t>
      </w:r>
      <w:r>
        <w:rPr/>
        <w:t>agreements</w:t>
      </w:r>
      <w:r>
        <w:rPr>
          <w:spacing w:val="-4"/>
        </w:rPr>
        <w:t> </w:t>
      </w:r>
      <w:r>
        <w:rPr/>
        <w:t>-working</w:t>
      </w:r>
      <w:r>
        <w:rPr>
          <w:spacing w:val="-6"/>
        </w:rPr>
        <w:t> </w:t>
      </w:r>
      <w:r>
        <w:rPr/>
        <w:t>relationships</w:t>
      </w:r>
      <w:r>
        <w:rPr>
          <w:spacing w:val="-3"/>
        </w:rPr>
        <w:t> </w:t>
      </w:r>
      <w:r>
        <w:rPr/>
        <w:t>and</w:t>
      </w:r>
      <w:r>
        <w:rPr>
          <w:spacing w:val="-4"/>
        </w:rPr>
        <w:t> </w:t>
      </w:r>
      <w:r>
        <w:rPr/>
        <w:t>formal agreements. This section catalogs these items.</w:t>
      </w:r>
    </w:p>
    <w:p>
      <w:pPr>
        <w:pStyle w:val="BodyText"/>
        <w:rPr>
          <w:sz w:val="24"/>
        </w:rPr>
      </w:pPr>
    </w:p>
    <w:p>
      <w:pPr>
        <w:pStyle w:val="BodyText"/>
        <w:spacing w:before="4"/>
        <w:rPr>
          <w:sz w:val="32"/>
        </w:rPr>
      </w:pPr>
    </w:p>
    <w:p>
      <w:pPr>
        <w:pStyle w:val="Heading3"/>
        <w:spacing w:before="0"/>
      </w:pPr>
      <w:r>
        <w:rPr/>
        <w:pict>
          <v:shape style="position:absolute;margin-left:90.065002pt;margin-top:4.548801pt;width:395.3pt;height:419pt;mso-position-horizontal-relative:page;mso-position-vertical-relative:paragraph;z-index:-17691136" id="docshape107" coordorigin="1801,91" coordsize="7906,8380" path="m4498,7355l4492,7281,4477,7203,4455,7120,4432,7051,4403,6979,4367,6904,4325,6826,4276,6745,4237,6686,4200,6636,4200,7321,4197,7378,4186,7434,4167,7492,4138,7552,4097,7614,4044,7680,3979,7750,3674,8055,2216,6598,2517,6297,2598,6221,2672,6161,2740,6117,2801,6091,2868,6076,2941,6072,3020,6079,3105,6097,3195,6126,3255,6152,3317,6184,3380,6222,3446,6268,3514,6319,3584,6377,3656,6442,3729,6513,3789,6575,3845,6635,3896,6694,3943,6752,3986,6808,4025,6864,4059,6918,4101,6992,4136,7064,4163,7134,4183,7201,4196,7265,4200,7321,4200,6636,4194,6627,4148,6567,4098,6506,4045,6445,3989,6384,3929,6322,3865,6260,3801,6201,3737,6146,3673,6095,3643,6072,3609,6047,3546,6002,3482,5961,3419,5923,3346,5886,3274,5853,3203,5826,3132,5804,3062,5787,2992,5775,2923,5768,2850,5766,2779,5773,2709,5788,2642,5811,2577,5841,2528,5869,2476,5906,2420,5952,2359,6006,2294,6069,1801,6562,3710,8470,4124,8055,4226,7954,4287,7888,4341,7823,4386,7757,4424,7691,4454,7624,4476,7558,4491,7491,4498,7423,4498,7355xm6418,5761l6056,5634,5650,5491,5561,5462,5475,5438,5393,5419,5365,5414,5314,5404,5239,5394,5193,5393,5143,5396,5089,5403,5030,5414,5073,5344,5109,5275,5136,5205,5154,5136,5164,5068,5165,5000,5157,4932,5139,4854,5111,4778,5075,4703,5030,4630,4976,4560,4956,4537,4913,4491,4872,4453,4872,5010,4868,5066,4854,5121,4830,5177,4794,5236,4747,5297,4687,5360,4280,5767,3649,5136,4102,4683,4166,4626,4229,4583,4293,4554,4358,4538,4422,4537,4501,4552,4577,4582,4649,4627,4718,4686,4761,4734,4797,4785,4827,4838,4851,4895,4867,4953,4872,5010,4872,4453,4849,4431,4782,4379,4713,4334,4641,4295,4566,4263,4474,4235,4386,4222,4303,4224,4225,4240,4163,4265,4098,4301,4030,4349,3958,4409,3883,4480,3248,5115,5157,7023,5346,6834,4499,5986,4718,5767,4753,5733,4783,5706,4810,5685,4833,5670,4863,5656,4896,5646,4932,5638,4971,5634,5014,5634,5066,5639,5125,5650,5194,5666,5256,5683,5328,5704,5407,5729,5496,5758,6180,6000,6418,5761xm7780,4399l7415,4204,6555,3750,6555,4057,6070,4542,6030,4471,5989,4399,5748,3969,5708,3897,5668,3825,5629,3760,5590,3695,5550,3631,5509,3568,5467,3506,5424,3444,5380,3384,5436,3420,5498,3457,5564,3497,5635,3539,5792,3630,6555,4057,6555,3750,5862,3384,5286,3077,5082,3281,5277,3631,5316,3702,5701,4399,6207,5318,6441,5739,6642,5538,6565,5404,6298,4936,6221,4803,6481,4542,6820,4204,7173,4399,7565,4615,7780,4399xm8131,4049l7264,3182,7936,2510,7711,2285,7039,2957,6448,2366,7224,1589,6999,1364,6033,2330,7941,4238,8131,4049xm9707,2473l8024,790,8497,316,8272,91,7138,1226,7363,1451,7834,979,9517,2662,9707,2473xe" filled="true" fillcolor="#c0c0c0" stroked="false">
            <v:path arrowok="t"/>
            <v:fill opacity="32896f" type="solid"/>
            <w10:wrap type="none"/>
          </v:shape>
        </w:pict>
      </w:r>
      <w:bookmarkStart w:name="Affordable Housing Trust Fund  Pillars 1" w:id="74"/>
      <w:bookmarkEnd w:id="74"/>
      <w:r>
        <w:rPr/>
      </w:r>
      <w:bookmarkStart w:name="_bookmark31" w:id="75"/>
      <w:bookmarkEnd w:id="75"/>
      <w:r>
        <w:rPr/>
      </w:r>
      <w:r>
        <w:rPr>
          <w:color w:val="001F5F"/>
        </w:rPr>
        <w:t>Affordable</w:t>
      </w:r>
      <w:r>
        <w:rPr>
          <w:color w:val="001F5F"/>
          <w:spacing w:val="-8"/>
        </w:rPr>
        <w:t> </w:t>
      </w:r>
      <w:r>
        <w:rPr>
          <w:color w:val="001F5F"/>
        </w:rPr>
        <w:t>Housing</w:t>
      </w:r>
      <w:r>
        <w:rPr>
          <w:color w:val="001F5F"/>
          <w:spacing w:val="-7"/>
        </w:rPr>
        <w:t> </w:t>
      </w:r>
      <w:r>
        <w:rPr>
          <w:color w:val="001F5F"/>
        </w:rPr>
        <w:t>Trust</w:t>
      </w:r>
      <w:r>
        <w:rPr>
          <w:color w:val="001F5F"/>
          <w:spacing w:val="-4"/>
        </w:rPr>
        <w:t> </w:t>
      </w:r>
      <w:r>
        <w:rPr>
          <w:color w:val="001F5F"/>
        </w:rPr>
        <w:t>Fund</w:t>
      </w:r>
      <w:r>
        <w:rPr>
          <w:color w:val="001F5F"/>
          <w:spacing w:val="74"/>
        </w:rPr>
        <w:t> </w:t>
      </w:r>
      <w:r>
        <w:rPr>
          <w:color w:val="FF0000"/>
        </w:rPr>
        <w:t>Pillars</w:t>
      </w:r>
      <w:r>
        <w:rPr>
          <w:color w:val="FF0000"/>
          <w:spacing w:val="-5"/>
        </w:rPr>
        <w:t> </w:t>
      </w:r>
      <w:r>
        <w:rPr>
          <w:color w:val="FF0000"/>
        </w:rPr>
        <w:t>1,</w:t>
      </w:r>
      <w:r>
        <w:rPr>
          <w:color w:val="FF0000"/>
          <w:spacing w:val="-8"/>
        </w:rPr>
        <w:t> </w:t>
      </w:r>
      <w:r>
        <w:rPr>
          <w:color w:val="FF0000"/>
        </w:rPr>
        <w:t>2,</w:t>
      </w:r>
      <w:r>
        <w:rPr>
          <w:color w:val="FF0000"/>
          <w:spacing w:val="-7"/>
        </w:rPr>
        <w:t> </w:t>
      </w:r>
      <w:r>
        <w:rPr>
          <w:color w:val="FF0000"/>
        </w:rPr>
        <w:t>3,</w:t>
      </w:r>
      <w:r>
        <w:rPr>
          <w:color w:val="FF0000"/>
          <w:spacing w:val="-7"/>
        </w:rPr>
        <w:t> </w:t>
      </w:r>
      <w:r>
        <w:rPr>
          <w:color w:val="FF0000"/>
        </w:rPr>
        <w:t>4,</w:t>
      </w:r>
      <w:r>
        <w:rPr>
          <w:color w:val="FF0000"/>
          <w:spacing w:val="-7"/>
        </w:rPr>
        <w:t> </w:t>
      </w:r>
      <w:r>
        <w:rPr>
          <w:color w:val="FF0000"/>
        </w:rPr>
        <w:t>5,</w:t>
      </w:r>
      <w:r>
        <w:rPr>
          <w:color w:val="FF0000"/>
          <w:spacing w:val="-5"/>
        </w:rPr>
        <w:t> </w:t>
      </w:r>
      <w:r>
        <w:rPr>
          <w:color w:val="FF0000"/>
        </w:rPr>
        <w:t>6,</w:t>
      </w:r>
      <w:r>
        <w:rPr>
          <w:color w:val="FF0000"/>
          <w:spacing w:val="-7"/>
        </w:rPr>
        <w:t> </w:t>
      </w:r>
      <w:r>
        <w:rPr>
          <w:color w:val="FF0000"/>
          <w:spacing w:val="-10"/>
        </w:rPr>
        <w:t>7</w:t>
      </w:r>
    </w:p>
    <w:p>
      <w:pPr>
        <w:spacing w:after="0"/>
        <w:sectPr>
          <w:pgSz w:w="12240" w:h="15840"/>
          <w:pgMar w:header="0" w:footer="1176" w:top="1380" w:bottom="1420" w:left="1320" w:right="1280"/>
        </w:sectPr>
      </w:pPr>
    </w:p>
    <w:p>
      <w:pPr>
        <w:pStyle w:val="Heading3"/>
      </w:pPr>
      <w:r>
        <w:rPr/>
        <w:pict>
          <v:shape style="position:absolute;margin-left:90.065002pt;margin-top:117.468781pt;width:395.3pt;height:419pt;mso-position-horizontal-relative:page;mso-position-vertical-relative:paragraph;z-index:-17690624" id="docshape108" coordorigin="1801,2349" coordsize="7906,8380" path="m4498,9613l4492,9540,4477,9462,4455,9379,4432,9310,4403,9238,4367,9163,4325,9085,4276,9004,4237,8945,4200,8894,4200,9580,4197,9636,4186,9693,4167,9750,4138,9810,4097,9873,4044,9939,3979,10008,3674,10314,2216,8856,2517,8555,2598,8479,2672,8419,2740,8376,2801,8349,2868,8335,2941,8331,3020,8337,3105,8355,3195,8384,3255,8410,3317,8442,3380,8481,3446,8526,3514,8578,3584,8636,3656,8700,3729,8772,3789,8833,3845,8893,3896,8952,3943,9010,3986,9067,4025,9122,4059,9176,4101,9251,4136,9323,4163,9392,4183,9459,4196,9524,4200,9580,4200,8894,4194,8885,4148,8825,4098,8765,4045,8704,3989,8642,3929,8580,3865,8518,3801,8460,3737,8405,3673,8353,3643,8331,3609,8305,3546,8261,3482,8220,3419,8182,3346,8144,3274,8112,3203,8085,3132,8062,3062,8045,2992,8033,2923,8026,2850,8025,2779,8031,2709,8046,2642,8069,2577,8100,2528,8128,2476,8165,2420,8210,2359,8265,2294,8327,1801,8820,3710,10729,4124,10314,4226,10212,4287,10147,4341,10082,4386,10016,4424,9949,4454,9882,4476,9816,4491,9749,4498,9682,4498,9613xm6418,8020l6056,7892,5650,7749,5561,7720,5475,7696,5393,7677,5365,7672,5314,7663,5239,7653,5193,7651,5143,7654,5089,7661,5030,7672,5073,7602,5109,7533,5136,7464,5154,7395,5164,7326,5165,7258,5157,7190,5139,7112,5111,7036,5075,6962,5030,6889,4976,6818,4956,6795,4913,6749,4872,6711,4872,7269,4868,7324,4854,7379,4830,7435,4794,7494,4747,7555,4687,7619,4280,8026,3649,7395,4102,6942,4166,6885,4229,6841,4293,6812,4358,6797,4422,6795,4501,6811,4577,6840,4649,6885,4718,6945,4761,6992,4797,7043,4827,7097,4851,7153,4867,7212,4872,7269,4872,6711,4849,6690,4782,6637,4713,6592,4641,6553,4566,6521,4474,6493,4386,6480,4303,6482,4225,6498,4163,6523,4098,6560,4030,6608,3958,6667,3883,6738,3248,7373,5157,9281,5346,9092,4499,8245,4718,8026,4753,7991,4783,7964,4810,7943,4833,7928,4863,7915,4896,7904,4932,7896,4971,7892,5014,7892,5066,7897,5125,7908,5194,7924,5256,7942,5328,7962,5407,7987,5496,8017,6180,8258,6418,8020xm7780,6658l7415,6463,6555,6008,6555,6315,6070,6801,6030,6729,5989,6658,5748,6227,5708,6155,5668,6084,5629,6018,5590,5954,5550,5890,5509,5827,5467,5764,5424,5703,5380,5642,5436,5678,5498,5716,5564,5756,5635,5798,5792,5888,6555,6315,6555,6008,5862,5642,5286,5335,5082,5539,5277,5890,5316,5960,5701,6658,6207,7577,6441,7997,6642,7796,6565,7663,6298,7195,6221,7061,6481,6801,6820,6463,7173,6658,7565,6873,7780,6658xm8131,6307l7264,5440,7936,4768,7711,4543,7039,5215,6448,4624,7224,3848,6999,3623,6033,4588,7941,6497,8131,6307xm9707,4731l8024,3048,8497,2575,8272,2349,7138,3484,7363,3709,7834,3238,9517,4921,9707,4731xe" filled="true" fillcolor="#c0c0c0" stroked="false">
            <v:path arrowok="t"/>
            <v:fill opacity="32896f" type="solid"/>
            <w10:wrap type="none"/>
          </v:shape>
        </w:pict>
      </w:r>
      <w:bookmarkStart w:name="Anti-Displacement Toolkit Pillars 1, 2, " w:id="76"/>
      <w:bookmarkEnd w:id="76"/>
      <w:r>
        <w:rPr/>
      </w:r>
      <w:bookmarkStart w:name="_bookmark32" w:id="77"/>
      <w:bookmarkEnd w:id="77"/>
      <w:r>
        <w:rPr/>
      </w:r>
      <w:r>
        <w:rPr>
          <w:color w:val="001F5F"/>
        </w:rPr>
        <w:t>Anti-Displacement</w:t>
      </w:r>
      <w:r>
        <w:rPr>
          <w:color w:val="001F5F"/>
          <w:spacing w:val="-10"/>
        </w:rPr>
        <w:t> </w:t>
      </w:r>
      <w:r>
        <w:rPr>
          <w:color w:val="001F5F"/>
        </w:rPr>
        <w:t>Toolkit</w:t>
      </w:r>
      <w:r>
        <w:rPr>
          <w:color w:val="001F5F"/>
          <w:spacing w:val="-9"/>
        </w:rPr>
        <w:t> </w:t>
      </w:r>
      <w:r>
        <w:rPr>
          <w:color w:val="FF0000"/>
        </w:rPr>
        <w:t>Pillars</w:t>
      </w:r>
      <w:r>
        <w:rPr>
          <w:color w:val="FF0000"/>
          <w:spacing w:val="-10"/>
        </w:rPr>
        <w:t> </w:t>
      </w:r>
      <w:r>
        <w:rPr>
          <w:color w:val="FF0000"/>
        </w:rPr>
        <w:t>1,</w:t>
      </w:r>
      <w:r>
        <w:rPr>
          <w:color w:val="FF0000"/>
          <w:spacing w:val="-9"/>
        </w:rPr>
        <w:t> </w:t>
      </w:r>
      <w:r>
        <w:rPr>
          <w:color w:val="FF0000"/>
        </w:rPr>
        <w:t>2,</w:t>
      </w:r>
      <w:r>
        <w:rPr>
          <w:color w:val="FF0000"/>
          <w:spacing w:val="-6"/>
        </w:rPr>
        <w:t> </w:t>
      </w:r>
      <w:r>
        <w:rPr>
          <w:color w:val="FF0000"/>
        </w:rPr>
        <w:t>3,</w:t>
      </w:r>
      <w:r>
        <w:rPr>
          <w:color w:val="FF0000"/>
          <w:spacing w:val="-10"/>
        </w:rPr>
        <w:t> </w:t>
      </w:r>
      <w:r>
        <w:rPr>
          <w:color w:val="FF0000"/>
        </w:rPr>
        <w:t>5,</w:t>
      </w:r>
      <w:r>
        <w:rPr>
          <w:color w:val="FF0000"/>
          <w:spacing w:val="-9"/>
        </w:rPr>
        <w:t> </w:t>
      </w:r>
      <w:r>
        <w:rPr>
          <w:color w:val="FF0000"/>
        </w:rPr>
        <w:t>6,</w:t>
      </w:r>
      <w:r>
        <w:rPr>
          <w:color w:val="FF0000"/>
          <w:spacing w:val="-9"/>
        </w:rPr>
        <w:t> </w:t>
      </w:r>
      <w:r>
        <w:rPr>
          <w:color w:val="FF0000"/>
          <w:spacing w:val="-10"/>
        </w:rPr>
        <w:t>7</w:t>
      </w:r>
    </w:p>
    <w:p>
      <w:pPr>
        <w:spacing w:after="0"/>
        <w:sectPr>
          <w:pgSz w:w="12240" w:h="15840"/>
          <w:pgMar w:header="0" w:footer="1176" w:top="1380" w:bottom="1420" w:left="1320" w:right="1280"/>
        </w:sectPr>
      </w:pPr>
    </w:p>
    <w:p>
      <w:pPr>
        <w:pStyle w:val="Heading3"/>
        <w:spacing w:before="63"/>
        <w:jc w:val="both"/>
      </w:pPr>
      <w:bookmarkStart w:name="City of Dallas Affirmative Fair Housing " w:id="78"/>
      <w:bookmarkEnd w:id="78"/>
      <w:r>
        <w:rPr/>
      </w:r>
      <w:bookmarkStart w:name="_bookmark33" w:id="79"/>
      <w:bookmarkEnd w:id="79"/>
      <w:r>
        <w:rPr/>
      </w:r>
      <w:r>
        <w:rPr>
          <w:color w:val="001F5F"/>
          <w:spacing w:val="-2"/>
        </w:rPr>
        <w:t>City</w:t>
      </w:r>
      <w:r>
        <w:rPr>
          <w:color w:val="001F5F"/>
          <w:spacing w:val="3"/>
        </w:rPr>
        <w:t> </w:t>
      </w:r>
      <w:r>
        <w:rPr>
          <w:color w:val="001F5F"/>
          <w:spacing w:val="-2"/>
        </w:rPr>
        <w:t>of</w:t>
      </w:r>
      <w:r>
        <w:rPr>
          <w:color w:val="001F5F"/>
          <w:spacing w:val="2"/>
        </w:rPr>
        <w:t> </w:t>
      </w:r>
      <w:r>
        <w:rPr>
          <w:color w:val="001F5F"/>
          <w:spacing w:val="-2"/>
        </w:rPr>
        <w:t>Dallas</w:t>
      </w:r>
      <w:r>
        <w:rPr>
          <w:color w:val="001F5F"/>
          <w:spacing w:val="4"/>
        </w:rPr>
        <w:t> </w:t>
      </w:r>
      <w:r>
        <w:rPr>
          <w:color w:val="001F5F"/>
          <w:spacing w:val="-2"/>
        </w:rPr>
        <w:t>Affirmative</w:t>
      </w:r>
      <w:r>
        <w:rPr>
          <w:color w:val="001F5F"/>
          <w:spacing w:val="-31"/>
        </w:rPr>
        <w:t> </w:t>
      </w:r>
      <w:r>
        <w:rPr>
          <w:color w:val="001F5F"/>
          <w:spacing w:val="-2"/>
        </w:rPr>
        <w:t>Fair</w:t>
      </w:r>
      <w:r>
        <w:rPr>
          <w:color w:val="001F5F"/>
          <w:spacing w:val="-31"/>
        </w:rPr>
        <w:t> </w:t>
      </w:r>
      <w:r>
        <w:rPr>
          <w:color w:val="001F5F"/>
          <w:spacing w:val="-2"/>
        </w:rPr>
        <w:t>Housing</w:t>
      </w:r>
      <w:r>
        <w:rPr>
          <w:color w:val="001F5F"/>
          <w:spacing w:val="-33"/>
        </w:rPr>
        <w:t> </w:t>
      </w:r>
      <w:r>
        <w:rPr>
          <w:color w:val="001F5F"/>
          <w:spacing w:val="-2"/>
        </w:rPr>
        <w:t>Marketing</w:t>
      </w:r>
      <w:r>
        <w:rPr>
          <w:color w:val="001F5F"/>
          <w:spacing w:val="-32"/>
        </w:rPr>
        <w:t> </w:t>
      </w:r>
      <w:r>
        <w:rPr>
          <w:color w:val="001F5F"/>
          <w:spacing w:val="-2"/>
        </w:rPr>
        <w:t>Policy</w:t>
      </w:r>
    </w:p>
    <w:p>
      <w:pPr>
        <w:pStyle w:val="BodyText"/>
        <w:spacing w:before="2"/>
        <w:rPr>
          <w:sz w:val="29"/>
        </w:rPr>
      </w:pPr>
    </w:p>
    <w:p>
      <w:pPr>
        <w:pStyle w:val="BodyText"/>
        <w:ind w:left="119" w:right="153"/>
        <w:jc w:val="both"/>
      </w:pPr>
      <w:r>
        <w:rPr/>
        <w:pict>
          <v:shape style="position:absolute;margin-left:90.065002pt;margin-top:62.133579pt;width:395.3pt;height:419pt;mso-position-horizontal-relative:page;mso-position-vertical-relative:paragraph;z-index:-17690112" id="docshape109" coordorigin="1801,1243" coordsize="7906,8380" path="m4498,8506l4492,8433,4477,8355,4455,8272,4432,8203,4403,8131,4367,8056,4325,7978,4276,7897,4237,7838,4200,7787,4200,8473,4197,8529,4186,8586,4167,8644,4138,8703,4097,8766,4044,8832,3979,8901,3674,9207,2216,7749,2517,7449,2598,7372,2672,7312,2740,7269,2801,7242,2868,7228,2941,7224,3020,7231,3105,7248,3195,7278,3255,7303,3317,7336,3380,7374,3446,7419,3514,7471,3584,7529,3656,7594,3729,7665,3789,7726,3845,7787,3896,7846,3943,7904,3986,7960,4025,8015,4059,8069,4101,8144,4136,8216,4163,8286,4183,8353,4196,8417,4200,8473,4200,7787,4194,7779,4148,7718,4098,7658,4045,7597,3989,7536,3929,7474,3865,7412,3801,7353,3737,7298,3673,7247,3643,7224,3609,7199,3546,7154,3482,7113,3419,7075,3346,7037,3274,7005,3203,6978,3132,6956,3062,6939,2992,6927,2923,6920,2850,6918,2779,6925,2709,6940,2642,6963,2577,6993,2528,7021,2476,7058,2420,7104,2359,7158,2294,7220,1801,7714,3710,9622,4124,9207,4226,9105,4287,9040,4341,8975,4386,8909,4424,8842,4454,8776,4476,8709,4491,8643,4498,8575,4498,8506xm6418,6913l6056,6786,5650,6643,5561,6614,5475,6590,5393,6571,5365,6565,5314,6556,5239,6546,5193,6544,5143,6547,5089,6555,5030,6565,5073,6496,5109,6426,5136,6357,5154,6288,5164,6220,5165,6151,5157,6084,5139,6006,5111,5929,5075,5855,5030,5782,4976,5711,4956,5689,4913,5643,4872,5605,4872,6162,4868,6218,4854,6272,4830,6329,4794,6387,4747,6448,4687,6512,4280,6919,3649,6288,4102,5835,4166,5778,4229,5735,4293,5705,4358,5690,4422,5689,4501,5704,4577,5734,4649,5778,4718,5838,4761,5886,4797,5936,4827,5990,4851,6047,4867,6105,4872,6162,4872,5605,4849,5583,4782,5531,4713,5485,4641,5447,4566,5415,4474,5386,4386,5374,4303,5376,4225,5392,4163,5416,4098,5453,4030,5501,3958,5561,3883,5632,3248,6266,5157,8175,5346,7985,4499,7138,4718,6919,4753,6885,4783,6857,4810,6836,4833,6822,4863,6808,4896,6797,4932,6790,4971,6786,5014,6786,5066,6791,5125,6801,5194,6818,5256,6835,5328,6856,5407,6881,5496,6910,6180,7151,6418,6913xm7780,5551l7415,5356,6555,4902,6555,5209,6070,5694,6030,5623,5989,5551,5748,5120,5708,5049,5668,4977,5629,4912,5590,4847,5550,4783,5509,4720,5467,4658,5424,4596,5380,4535,5436,4571,5498,4609,5564,4649,5635,4691,5792,4781,6555,5209,6555,4902,5862,4535,5286,4229,5082,4433,5277,4783,5316,4853,5701,5551,6207,6470,6441,6891,6642,6690,6565,6556,6298,6088,6221,5954,6481,5694,6820,5356,7173,5551,7565,5767,7780,5551xm8131,5200l7264,4334,7936,3662,7711,3436,7039,4108,6448,3517,7224,2741,6999,2516,6033,3482,7941,5390,8131,5200xm9707,3625l8024,1941,8497,1468,8272,1243,7138,2377,7363,2602,7834,2131,9517,3814,9707,3625xe" filled="true" fillcolor="#c0c0c0" stroked="false">
            <v:path arrowok="t"/>
            <v:fill opacity="32896f" type="solid"/>
            <w10:wrap type="none"/>
          </v:shape>
        </w:pict>
      </w:r>
      <w:r>
        <w:rPr/>
        <w:t>The Affirmative Fair Housing Marketing (AFHM) Plan is a marketing strategy designed to attract renters and buyers that would be least likely to apply to assisted multi- family or single-family developments. The City of Dallas requires that all recipients and sub-recipients of Home Investment Partnership Program (HOME), Community Development Block Grant (CDBG) or Neighborhood Stabilization Program (NSP) funds, for all projects resulting in five (5) or more assisted</w:t>
      </w:r>
      <w:r>
        <w:rPr>
          <w:spacing w:val="-16"/>
        </w:rPr>
        <w:t> </w:t>
      </w:r>
      <w:r>
        <w:rPr/>
        <w:t>housing</w:t>
      </w:r>
      <w:r>
        <w:rPr>
          <w:spacing w:val="-15"/>
        </w:rPr>
        <w:t> </w:t>
      </w:r>
      <w:r>
        <w:rPr/>
        <w:t>units,</w:t>
      </w:r>
      <w:r>
        <w:rPr>
          <w:spacing w:val="-15"/>
        </w:rPr>
        <w:t> </w:t>
      </w:r>
      <w:r>
        <w:rPr/>
        <w:t>implement</w:t>
      </w:r>
      <w:r>
        <w:rPr>
          <w:spacing w:val="-16"/>
        </w:rPr>
        <w:t> </w:t>
      </w:r>
      <w:r>
        <w:rPr/>
        <w:t>affirmative</w:t>
      </w:r>
      <w:r>
        <w:rPr>
          <w:spacing w:val="-15"/>
        </w:rPr>
        <w:t> </w:t>
      </w:r>
      <w:r>
        <w:rPr/>
        <w:t>marking</w:t>
      </w:r>
      <w:r>
        <w:rPr>
          <w:spacing w:val="-15"/>
        </w:rPr>
        <w:t> </w:t>
      </w:r>
      <w:r>
        <w:rPr/>
        <w:t>approaches</w:t>
      </w:r>
      <w:r>
        <w:rPr>
          <w:spacing w:val="-15"/>
        </w:rPr>
        <w:t> </w:t>
      </w:r>
      <w:r>
        <w:rPr/>
        <w:t>as</w:t>
      </w:r>
      <w:r>
        <w:rPr>
          <w:spacing w:val="-16"/>
        </w:rPr>
        <w:t> </w:t>
      </w:r>
      <w:r>
        <w:rPr/>
        <w:t>part</w:t>
      </w:r>
      <w:r>
        <w:rPr>
          <w:spacing w:val="-15"/>
        </w:rPr>
        <w:t> </w:t>
      </w:r>
      <w:r>
        <w:rPr/>
        <w:t>of</w:t>
      </w:r>
      <w:r>
        <w:rPr>
          <w:spacing w:val="-15"/>
        </w:rPr>
        <w:t> </w:t>
      </w:r>
      <w:r>
        <w:rPr/>
        <w:t>the</w:t>
      </w:r>
      <w:r>
        <w:rPr>
          <w:spacing w:val="-16"/>
        </w:rPr>
        <w:t> </w:t>
      </w:r>
      <w:r>
        <w:rPr/>
        <w:t>overall</w:t>
      </w:r>
      <w:r>
        <w:rPr>
          <w:spacing w:val="-15"/>
        </w:rPr>
        <w:t> </w:t>
      </w:r>
      <w:r>
        <w:rPr/>
        <w:t>marketing strategy.</w:t>
      </w:r>
      <w:r>
        <w:rPr>
          <w:spacing w:val="-14"/>
        </w:rPr>
        <w:t> </w:t>
      </w:r>
      <w:r>
        <w:rPr/>
        <w:t>To</w:t>
      </w:r>
      <w:r>
        <w:rPr>
          <w:spacing w:val="-13"/>
        </w:rPr>
        <w:t> </w:t>
      </w:r>
      <w:r>
        <w:rPr/>
        <w:t>market</w:t>
      </w:r>
      <w:r>
        <w:rPr>
          <w:spacing w:val="-11"/>
        </w:rPr>
        <w:t> </w:t>
      </w:r>
      <w:r>
        <w:rPr/>
        <w:t>affirmatively</w:t>
      </w:r>
      <w:r>
        <w:rPr>
          <w:spacing w:val="-15"/>
        </w:rPr>
        <w:t> </w:t>
      </w:r>
      <w:r>
        <w:rPr/>
        <w:t>means</w:t>
      </w:r>
      <w:r>
        <w:rPr>
          <w:spacing w:val="-15"/>
        </w:rPr>
        <w:t> </w:t>
      </w:r>
      <w:r>
        <w:rPr/>
        <w:t>that</w:t>
      </w:r>
      <w:r>
        <w:rPr>
          <w:spacing w:val="-11"/>
        </w:rPr>
        <w:t> </w:t>
      </w:r>
      <w:r>
        <w:rPr/>
        <w:t>a</w:t>
      </w:r>
      <w:r>
        <w:rPr>
          <w:spacing w:val="-15"/>
        </w:rPr>
        <w:t> </w:t>
      </w:r>
      <w:r>
        <w:rPr/>
        <w:t>good</w:t>
      </w:r>
      <w:r>
        <w:rPr>
          <w:spacing w:val="-13"/>
        </w:rPr>
        <w:t> </w:t>
      </w:r>
      <w:r>
        <w:rPr/>
        <w:t>faith</w:t>
      </w:r>
      <w:r>
        <w:rPr>
          <w:spacing w:val="-13"/>
        </w:rPr>
        <w:t> </w:t>
      </w:r>
      <w:r>
        <w:rPr/>
        <w:t>effort</w:t>
      </w:r>
      <w:r>
        <w:rPr>
          <w:spacing w:val="-11"/>
        </w:rPr>
        <w:t> </w:t>
      </w:r>
      <w:r>
        <w:rPr/>
        <w:t>is</w:t>
      </w:r>
      <w:r>
        <w:rPr>
          <w:spacing w:val="-15"/>
        </w:rPr>
        <w:t> </w:t>
      </w:r>
      <w:r>
        <w:rPr/>
        <w:t>made</w:t>
      </w:r>
      <w:r>
        <w:rPr>
          <w:spacing w:val="-15"/>
        </w:rPr>
        <w:t> </w:t>
      </w:r>
      <w:r>
        <w:rPr/>
        <w:t>to</w:t>
      </w:r>
      <w:r>
        <w:rPr>
          <w:spacing w:val="-15"/>
        </w:rPr>
        <w:t> </w:t>
      </w:r>
      <w:r>
        <w:rPr/>
        <w:t>attract</w:t>
      </w:r>
      <w:r>
        <w:rPr>
          <w:spacing w:val="-14"/>
        </w:rPr>
        <w:t> </w:t>
      </w:r>
      <w:r>
        <w:rPr/>
        <w:t>to</w:t>
      </w:r>
      <w:r>
        <w:rPr>
          <w:spacing w:val="-13"/>
        </w:rPr>
        <w:t> </w:t>
      </w:r>
      <w:r>
        <w:rPr/>
        <w:t>a</w:t>
      </w:r>
      <w:r>
        <w:rPr>
          <w:spacing w:val="-13"/>
        </w:rPr>
        <w:t> </w:t>
      </w:r>
      <w:r>
        <w:rPr/>
        <w:t>project</w:t>
      </w:r>
      <w:r>
        <w:rPr>
          <w:spacing w:val="-14"/>
        </w:rPr>
        <w:t> </w:t>
      </w:r>
      <w:r>
        <w:rPr/>
        <w:t>those minority or majority groups who are least likely to apply or are underrepresented in a neighborhood</w:t>
      </w:r>
      <w:r>
        <w:rPr>
          <w:spacing w:val="-3"/>
        </w:rPr>
        <w:t> </w:t>
      </w:r>
      <w:r>
        <w:rPr/>
        <w:t>or</w:t>
      </w:r>
      <w:r>
        <w:rPr>
          <w:spacing w:val="-4"/>
        </w:rPr>
        <w:t> </w:t>
      </w:r>
      <w:r>
        <w:rPr/>
        <w:t>community.</w:t>
      </w:r>
      <w:r>
        <w:rPr>
          <w:spacing w:val="-3"/>
        </w:rPr>
        <w:t> </w:t>
      </w:r>
      <w:r>
        <w:rPr/>
        <w:t>Good</w:t>
      </w:r>
      <w:r>
        <w:rPr>
          <w:spacing w:val="-7"/>
        </w:rPr>
        <w:t> </w:t>
      </w:r>
      <w:r>
        <w:rPr/>
        <w:t>faith</w:t>
      </w:r>
      <w:r>
        <w:rPr>
          <w:spacing w:val="-5"/>
        </w:rPr>
        <w:t> </w:t>
      </w:r>
      <w:r>
        <w:rPr/>
        <w:t>efforts</w:t>
      </w:r>
      <w:r>
        <w:rPr>
          <w:spacing w:val="-5"/>
        </w:rPr>
        <w:t> </w:t>
      </w:r>
      <w:r>
        <w:rPr/>
        <w:t>are</w:t>
      </w:r>
      <w:r>
        <w:rPr>
          <w:spacing w:val="-3"/>
        </w:rPr>
        <w:t> </w:t>
      </w:r>
      <w:r>
        <w:rPr/>
        <w:t>recorded</w:t>
      </w:r>
      <w:r>
        <w:rPr>
          <w:spacing w:val="-5"/>
        </w:rPr>
        <w:t> </w:t>
      </w:r>
      <w:r>
        <w:rPr/>
        <w:t>activities</w:t>
      </w:r>
      <w:r>
        <w:rPr>
          <w:spacing w:val="-2"/>
        </w:rPr>
        <w:t> </w:t>
      </w:r>
      <w:r>
        <w:rPr/>
        <w:t>and</w:t>
      </w:r>
      <w:r>
        <w:rPr>
          <w:spacing w:val="-7"/>
        </w:rPr>
        <w:t> </w:t>
      </w:r>
      <w:r>
        <w:rPr/>
        <w:t>documented</w:t>
      </w:r>
      <w:r>
        <w:rPr>
          <w:spacing w:val="-5"/>
        </w:rPr>
        <w:t> </w:t>
      </w:r>
      <w:r>
        <w:rPr/>
        <w:t>outreach to</w:t>
      </w:r>
      <w:r>
        <w:rPr>
          <w:spacing w:val="-4"/>
        </w:rPr>
        <w:t> </w:t>
      </w:r>
      <w:r>
        <w:rPr/>
        <w:t>those</w:t>
      </w:r>
      <w:r>
        <w:rPr>
          <w:spacing w:val="-6"/>
        </w:rPr>
        <w:t> </w:t>
      </w:r>
      <w:r>
        <w:rPr/>
        <w:t>individuals</w:t>
      </w:r>
      <w:r>
        <w:rPr>
          <w:spacing w:val="-4"/>
        </w:rPr>
        <w:t> </w:t>
      </w:r>
      <w:r>
        <w:rPr/>
        <w:t>identified</w:t>
      </w:r>
      <w:r>
        <w:rPr>
          <w:spacing w:val="-4"/>
        </w:rPr>
        <w:t> </w:t>
      </w:r>
      <w:r>
        <w:rPr/>
        <w:t>as</w:t>
      </w:r>
      <w:r>
        <w:rPr>
          <w:spacing w:val="-4"/>
        </w:rPr>
        <w:t> </w:t>
      </w:r>
      <w:r>
        <w:rPr/>
        <w:t>least</w:t>
      </w:r>
      <w:r>
        <w:rPr>
          <w:spacing w:val="-3"/>
        </w:rPr>
        <w:t> </w:t>
      </w:r>
      <w:r>
        <w:rPr/>
        <w:t>likely</w:t>
      </w:r>
      <w:r>
        <w:rPr>
          <w:spacing w:val="-4"/>
        </w:rPr>
        <w:t> </w:t>
      </w:r>
      <w:r>
        <w:rPr/>
        <w:t>to</w:t>
      </w:r>
      <w:r>
        <w:rPr>
          <w:spacing w:val="-4"/>
        </w:rPr>
        <w:t> </w:t>
      </w:r>
      <w:r>
        <w:rPr/>
        <w:t>apply.</w:t>
      </w:r>
      <w:r>
        <w:rPr>
          <w:spacing w:val="-3"/>
        </w:rPr>
        <w:t> </w:t>
      </w:r>
      <w:r>
        <w:rPr/>
        <w:t>Affirmative</w:t>
      </w:r>
      <w:r>
        <w:rPr>
          <w:spacing w:val="-7"/>
        </w:rPr>
        <w:t> </w:t>
      </w:r>
      <w:r>
        <w:rPr/>
        <w:t>marketing</w:t>
      </w:r>
      <w:r>
        <w:rPr>
          <w:spacing w:val="-4"/>
        </w:rPr>
        <w:t> </w:t>
      </w:r>
      <w:r>
        <w:rPr/>
        <w:t>requirements</w:t>
      </w:r>
      <w:r>
        <w:rPr>
          <w:spacing w:val="-4"/>
        </w:rPr>
        <w:t> </w:t>
      </w:r>
      <w:r>
        <w:rPr/>
        <w:t>apply</w:t>
      </w:r>
      <w:r>
        <w:rPr>
          <w:spacing w:val="-4"/>
        </w:rPr>
        <w:t> </w:t>
      </w:r>
      <w:r>
        <w:rPr/>
        <w:t>to all housing programs, including, but not limited to Tenant- Based Rental Assistance and Down Payment Assistance Programs.</w:t>
      </w:r>
    </w:p>
    <w:p>
      <w:pPr>
        <w:pStyle w:val="BodyText"/>
        <w:spacing w:before="10"/>
        <w:rPr>
          <w:sz w:val="21"/>
        </w:rPr>
      </w:pPr>
    </w:p>
    <w:p>
      <w:pPr>
        <w:pStyle w:val="BodyText"/>
        <w:ind w:left="119" w:right="156"/>
        <w:jc w:val="both"/>
      </w:pPr>
      <w:r>
        <w:rPr/>
        <w:t>The City of Dallas is committed to affirmatively marketing to such groups prior to expending any funds</w:t>
      </w:r>
      <w:r>
        <w:rPr>
          <w:spacing w:val="-4"/>
        </w:rPr>
        <w:t> </w:t>
      </w:r>
      <w:r>
        <w:rPr/>
        <w:t>on</w:t>
      </w:r>
      <w:r>
        <w:rPr>
          <w:spacing w:val="-6"/>
        </w:rPr>
        <w:t> </w:t>
      </w:r>
      <w:r>
        <w:rPr/>
        <w:t>a</w:t>
      </w:r>
      <w:r>
        <w:rPr>
          <w:spacing w:val="-4"/>
        </w:rPr>
        <w:t> </w:t>
      </w:r>
      <w:r>
        <w:rPr/>
        <w:t>project</w:t>
      </w:r>
      <w:r>
        <w:rPr>
          <w:spacing w:val="-5"/>
        </w:rPr>
        <w:t> </w:t>
      </w:r>
      <w:r>
        <w:rPr/>
        <w:t>,requires</w:t>
      </w:r>
      <w:r>
        <w:rPr>
          <w:spacing w:val="-4"/>
        </w:rPr>
        <w:t> </w:t>
      </w:r>
      <w:r>
        <w:rPr/>
        <w:t>that</w:t>
      </w:r>
      <w:r>
        <w:rPr>
          <w:spacing w:val="-5"/>
        </w:rPr>
        <w:t> </w:t>
      </w:r>
      <w:r>
        <w:rPr/>
        <w:t>recipients</w:t>
      </w:r>
      <w:r>
        <w:rPr>
          <w:spacing w:val="-4"/>
        </w:rPr>
        <w:t> </w:t>
      </w:r>
      <w:r>
        <w:rPr/>
        <w:t>of</w:t>
      </w:r>
      <w:r>
        <w:rPr>
          <w:spacing w:val="-3"/>
        </w:rPr>
        <w:t> </w:t>
      </w:r>
      <w:r>
        <w:rPr/>
        <w:t>HOME/CDBG</w:t>
      </w:r>
      <w:r>
        <w:rPr>
          <w:spacing w:val="-5"/>
        </w:rPr>
        <w:t> </w:t>
      </w:r>
      <w:r>
        <w:rPr/>
        <w:t>funds</w:t>
      </w:r>
      <w:r>
        <w:rPr>
          <w:spacing w:val="-6"/>
        </w:rPr>
        <w:t> </w:t>
      </w:r>
      <w:r>
        <w:rPr/>
        <w:t>to</w:t>
      </w:r>
      <w:r>
        <w:rPr>
          <w:spacing w:val="-6"/>
        </w:rPr>
        <w:t> </w:t>
      </w:r>
      <w:r>
        <w:rPr/>
        <w:t>submit</w:t>
      </w:r>
      <w:r>
        <w:rPr>
          <w:spacing w:val="-3"/>
        </w:rPr>
        <w:t> </w:t>
      </w:r>
      <w:r>
        <w:rPr/>
        <w:t>an</w:t>
      </w:r>
      <w:r>
        <w:rPr>
          <w:spacing w:val="-6"/>
        </w:rPr>
        <w:t> </w:t>
      </w:r>
      <w:r>
        <w:rPr/>
        <w:t>AFHM</w:t>
      </w:r>
      <w:r>
        <w:rPr>
          <w:spacing w:val="-3"/>
        </w:rPr>
        <w:t> </w:t>
      </w:r>
      <w:r>
        <w:rPr/>
        <w:t>Plan</w:t>
      </w:r>
      <w:r>
        <w:rPr>
          <w:spacing w:val="-4"/>
        </w:rPr>
        <w:t> </w:t>
      </w:r>
      <w:r>
        <w:rPr/>
        <w:t>using HUD Form 935.2B for single- family developments and HUD Form 935.2A for multi-family </w:t>
      </w:r>
      <w:r>
        <w:rPr>
          <w:spacing w:val="-2"/>
        </w:rPr>
        <w:t>developments.</w:t>
      </w:r>
    </w:p>
    <w:p>
      <w:pPr>
        <w:pStyle w:val="BodyText"/>
        <w:spacing w:before="11"/>
        <w:rPr>
          <w:sz w:val="21"/>
        </w:rPr>
      </w:pPr>
    </w:p>
    <w:p>
      <w:pPr>
        <w:pStyle w:val="BodyText"/>
        <w:ind w:left="120" w:right="156"/>
        <w:jc w:val="both"/>
      </w:pPr>
      <w:r>
        <w:rPr/>
        <w:t>In developing an Affirmative Marketing Plan, the recipient/managing agent shall abide by the </w:t>
      </w:r>
      <w:r>
        <w:rPr>
          <w:spacing w:val="-2"/>
        </w:rPr>
        <w:t>following:</w:t>
      </w:r>
    </w:p>
    <w:p>
      <w:pPr>
        <w:pStyle w:val="BodyText"/>
        <w:spacing w:before="2"/>
      </w:pPr>
    </w:p>
    <w:p>
      <w:pPr>
        <w:pStyle w:val="Heading5"/>
        <w:jc w:val="left"/>
      </w:pPr>
      <w:r>
        <w:rPr>
          <w:spacing w:val="-2"/>
        </w:rPr>
        <w:t>Regulations</w:t>
      </w:r>
    </w:p>
    <w:p>
      <w:pPr>
        <w:pStyle w:val="BodyText"/>
        <w:spacing w:before="4"/>
        <w:rPr>
          <w:b/>
          <w:sz w:val="26"/>
        </w:rPr>
      </w:pPr>
    </w:p>
    <w:p>
      <w:pPr>
        <w:pStyle w:val="BodyText"/>
        <w:spacing w:before="1"/>
        <w:ind w:left="120" w:right="156"/>
        <w:jc w:val="both"/>
      </w:pPr>
      <w:r>
        <w:rPr>
          <w:b/>
        </w:rPr>
        <w:t>HOME</w:t>
      </w:r>
      <w:r>
        <w:rPr/>
        <w:t>: The recipient/managing agent shall adopt the affirmative marketing procedures and requirements as specified in the HOME Final Rule 92.351 for all projects resulting in five (5) or more HOME-assisted housing units.</w:t>
      </w:r>
    </w:p>
    <w:p>
      <w:pPr>
        <w:pStyle w:val="BodyText"/>
        <w:spacing w:before="9"/>
        <w:rPr>
          <w:sz w:val="21"/>
        </w:rPr>
      </w:pPr>
    </w:p>
    <w:p>
      <w:pPr>
        <w:pStyle w:val="BodyText"/>
        <w:ind w:left="120" w:right="50"/>
      </w:pPr>
      <w:r>
        <w:rPr>
          <w:b/>
        </w:rPr>
        <w:t>CDBG:</w:t>
      </w:r>
      <w:r>
        <w:rPr>
          <w:b/>
          <w:spacing w:val="-9"/>
        </w:rPr>
        <w:t> </w:t>
      </w:r>
      <w:r>
        <w:rPr/>
        <w:t>The</w:t>
      </w:r>
      <w:r>
        <w:rPr>
          <w:spacing w:val="-13"/>
        </w:rPr>
        <w:t> </w:t>
      </w:r>
      <w:r>
        <w:rPr/>
        <w:t>Housing</w:t>
      </w:r>
      <w:r>
        <w:rPr>
          <w:spacing w:val="-11"/>
        </w:rPr>
        <w:t> </w:t>
      </w:r>
      <w:r>
        <w:rPr/>
        <w:t>and</w:t>
      </w:r>
      <w:r>
        <w:rPr>
          <w:spacing w:val="-13"/>
        </w:rPr>
        <w:t> </w:t>
      </w:r>
      <w:r>
        <w:rPr/>
        <w:t>Community</w:t>
      </w:r>
      <w:r>
        <w:rPr>
          <w:spacing w:val="-10"/>
        </w:rPr>
        <w:t> </w:t>
      </w:r>
      <w:r>
        <w:rPr/>
        <w:t>Development</w:t>
      </w:r>
      <w:r>
        <w:rPr>
          <w:spacing w:val="-9"/>
        </w:rPr>
        <w:t> </w:t>
      </w:r>
      <w:r>
        <w:rPr/>
        <w:t>Act</w:t>
      </w:r>
      <w:r>
        <w:rPr>
          <w:spacing w:val="-9"/>
        </w:rPr>
        <w:t> </w:t>
      </w:r>
      <w:r>
        <w:rPr/>
        <w:t>of</w:t>
      </w:r>
      <w:r>
        <w:rPr>
          <w:spacing w:val="-9"/>
        </w:rPr>
        <w:t> </w:t>
      </w:r>
      <w:r>
        <w:rPr/>
        <w:t>1974,</w:t>
      </w:r>
      <w:r>
        <w:rPr>
          <w:spacing w:val="-9"/>
        </w:rPr>
        <w:t> </w:t>
      </w:r>
      <w:r>
        <w:rPr/>
        <w:t>as</w:t>
      </w:r>
      <w:r>
        <w:rPr>
          <w:spacing w:val="-13"/>
        </w:rPr>
        <w:t> </w:t>
      </w:r>
      <w:r>
        <w:rPr/>
        <w:t>amended,</w:t>
      </w:r>
      <w:r>
        <w:rPr>
          <w:spacing w:val="-12"/>
        </w:rPr>
        <w:t> </w:t>
      </w:r>
      <w:r>
        <w:rPr/>
        <w:t>requires</w:t>
      </w:r>
      <w:r>
        <w:rPr>
          <w:spacing w:val="-13"/>
        </w:rPr>
        <w:t> </w:t>
      </w:r>
      <w:r>
        <w:rPr/>
        <w:t>from</w:t>
      </w:r>
      <w:r>
        <w:rPr>
          <w:spacing w:val="-10"/>
        </w:rPr>
        <w:t> </w:t>
      </w:r>
      <w:r>
        <w:rPr/>
        <w:t>each federal grantee, through the Consolidated Plan to certify the following:</w:t>
      </w:r>
    </w:p>
    <w:p>
      <w:pPr>
        <w:pStyle w:val="ListParagraph"/>
        <w:numPr>
          <w:ilvl w:val="0"/>
          <w:numId w:val="25"/>
        </w:numPr>
        <w:tabs>
          <w:tab w:pos="840" w:val="left" w:leader="none"/>
          <w:tab w:pos="841" w:val="left" w:leader="none"/>
        </w:tabs>
        <w:spacing w:line="268" w:lineRule="exact" w:before="3" w:after="0"/>
        <w:ind w:left="840" w:right="0" w:hanging="361"/>
        <w:jc w:val="left"/>
        <w:rPr>
          <w:rFonts w:ascii="Symbol" w:hAnsi="Symbol"/>
          <w:sz w:val="22"/>
        </w:rPr>
      </w:pPr>
      <w:r>
        <w:rPr>
          <w:sz w:val="22"/>
        </w:rPr>
        <w:t>Examine</w:t>
      </w:r>
      <w:r>
        <w:rPr>
          <w:spacing w:val="-9"/>
          <w:sz w:val="22"/>
        </w:rPr>
        <w:t> </w:t>
      </w:r>
      <w:r>
        <w:rPr>
          <w:sz w:val="22"/>
        </w:rPr>
        <w:t>and</w:t>
      </w:r>
      <w:r>
        <w:rPr>
          <w:spacing w:val="-6"/>
          <w:sz w:val="22"/>
        </w:rPr>
        <w:t> </w:t>
      </w:r>
      <w:r>
        <w:rPr>
          <w:sz w:val="22"/>
        </w:rPr>
        <w:t>attempt</w:t>
      </w:r>
      <w:r>
        <w:rPr>
          <w:spacing w:val="-7"/>
          <w:sz w:val="22"/>
        </w:rPr>
        <w:t> </w:t>
      </w:r>
      <w:r>
        <w:rPr>
          <w:sz w:val="22"/>
        </w:rPr>
        <w:t>to</w:t>
      </w:r>
      <w:r>
        <w:rPr>
          <w:spacing w:val="-8"/>
          <w:sz w:val="22"/>
        </w:rPr>
        <w:t> </w:t>
      </w:r>
      <w:r>
        <w:rPr>
          <w:sz w:val="22"/>
        </w:rPr>
        <w:t>alleviate</w:t>
      </w:r>
      <w:r>
        <w:rPr>
          <w:spacing w:val="-6"/>
          <w:sz w:val="22"/>
        </w:rPr>
        <w:t> </w:t>
      </w:r>
      <w:r>
        <w:rPr>
          <w:sz w:val="22"/>
        </w:rPr>
        <w:t>housing</w:t>
      </w:r>
      <w:r>
        <w:rPr>
          <w:spacing w:val="-6"/>
          <w:sz w:val="22"/>
        </w:rPr>
        <w:t> </w:t>
      </w:r>
      <w:r>
        <w:rPr>
          <w:sz w:val="22"/>
        </w:rPr>
        <w:t>discrimination</w:t>
      </w:r>
      <w:r>
        <w:rPr>
          <w:spacing w:val="-6"/>
          <w:sz w:val="22"/>
        </w:rPr>
        <w:t> </w:t>
      </w:r>
      <w:r>
        <w:rPr>
          <w:sz w:val="22"/>
        </w:rPr>
        <w:t>within</w:t>
      </w:r>
      <w:r>
        <w:rPr>
          <w:spacing w:val="-3"/>
          <w:sz w:val="22"/>
        </w:rPr>
        <w:t> </w:t>
      </w:r>
      <w:r>
        <w:rPr>
          <w:sz w:val="22"/>
        </w:rPr>
        <w:t>their</w:t>
      </w:r>
      <w:r>
        <w:rPr>
          <w:spacing w:val="-7"/>
          <w:sz w:val="22"/>
        </w:rPr>
        <w:t> </w:t>
      </w:r>
      <w:r>
        <w:rPr>
          <w:spacing w:val="-2"/>
          <w:sz w:val="22"/>
        </w:rPr>
        <w:t>jurisdiction;</w:t>
      </w:r>
    </w:p>
    <w:p>
      <w:pPr>
        <w:pStyle w:val="ListParagraph"/>
        <w:numPr>
          <w:ilvl w:val="0"/>
          <w:numId w:val="25"/>
        </w:numPr>
        <w:tabs>
          <w:tab w:pos="840" w:val="left" w:leader="none"/>
          <w:tab w:pos="841" w:val="left" w:leader="none"/>
        </w:tabs>
        <w:spacing w:line="268" w:lineRule="exact" w:before="0" w:after="0"/>
        <w:ind w:left="840" w:right="0" w:hanging="361"/>
        <w:jc w:val="left"/>
        <w:rPr>
          <w:rFonts w:ascii="Symbol" w:hAnsi="Symbol"/>
          <w:sz w:val="22"/>
        </w:rPr>
      </w:pPr>
      <w:r>
        <w:rPr>
          <w:sz w:val="22"/>
        </w:rPr>
        <w:t>Promote</w:t>
      </w:r>
      <w:r>
        <w:rPr>
          <w:spacing w:val="-6"/>
          <w:sz w:val="22"/>
        </w:rPr>
        <w:t> </w:t>
      </w:r>
      <w:r>
        <w:rPr>
          <w:sz w:val="22"/>
        </w:rPr>
        <w:t>fair</w:t>
      </w:r>
      <w:r>
        <w:rPr>
          <w:spacing w:val="-2"/>
          <w:sz w:val="22"/>
        </w:rPr>
        <w:t> </w:t>
      </w:r>
      <w:r>
        <w:rPr>
          <w:sz w:val="22"/>
        </w:rPr>
        <w:t>housing</w:t>
      </w:r>
      <w:r>
        <w:rPr>
          <w:spacing w:val="-5"/>
          <w:sz w:val="22"/>
        </w:rPr>
        <w:t> </w:t>
      </w:r>
      <w:r>
        <w:rPr>
          <w:sz w:val="22"/>
        </w:rPr>
        <w:t>choice</w:t>
      </w:r>
      <w:r>
        <w:rPr>
          <w:spacing w:val="-4"/>
          <w:sz w:val="22"/>
        </w:rPr>
        <w:t> </w:t>
      </w:r>
      <w:r>
        <w:rPr>
          <w:sz w:val="22"/>
        </w:rPr>
        <w:t>for</w:t>
      </w:r>
      <w:r>
        <w:rPr>
          <w:spacing w:val="-5"/>
          <w:sz w:val="22"/>
        </w:rPr>
        <w:t> </w:t>
      </w:r>
      <w:r>
        <w:rPr>
          <w:sz w:val="22"/>
        </w:rPr>
        <w:t>all</w:t>
      </w:r>
      <w:r>
        <w:rPr>
          <w:spacing w:val="-3"/>
          <w:sz w:val="22"/>
        </w:rPr>
        <w:t> </w:t>
      </w:r>
      <w:r>
        <w:rPr>
          <w:spacing w:val="-2"/>
          <w:sz w:val="22"/>
        </w:rPr>
        <w:t>persons;</w:t>
      </w:r>
    </w:p>
    <w:p>
      <w:pPr>
        <w:pStyle w:val="ListParagraph"/>
        <w:numPr>
          <w:ilvl w:val="0"/>
          <w:numId w:val="25"/>
        </w:numPr>
        <w:tabs>
          <w:tab w:pos="840" w:val="left" w:leader="none"/>
          <w:tab w:pos="841" w:val="left" w:leader="none"/>
        </w:tabs>
        <w:spacing w:line="237" w:lineRule="auto" w:before="1" w:after="0"/>
        <w:ind w:left="840" w:right="158" w:hanging="361"/>
        <w:jc w:val="left"/>
        <w:rPr>
          <w:rFonts w:ascii="Symbol" w:hAnsi="Symbol"/>
          <w:sz w:val="22"/>
        </w:rPr>
      </w:pPr>
      <w:r>
        <w:rPr>
          <w:sz w:val="22"/>
        </w:rPr>
        <w:t>Provide</w:t>
      </w:r>
      <w:r>
        <w:rPr>
          <w:spacing w:val="40"/>
          <w:sz w:val="22"/>
        </w:rPr>
        <w:t> </w:t>
      </w:r>
      <w:r>
        <w:rPr>
          <w:sz w:val="22"/>
        </w:rPr>
        <w:t>opportunities</w:t>
      </w:r>
      <w:r>
        <w:rPr>
          <w:spacing w:val="40"/>
          <w:sz w:val="22"/>
        </w:rPr>
        <w:t> </w:t>
      </w:r>
      <w:r>
        <w:rPr>
          <w:sz w:val="22"/>
        </w:rPr>
        <w:t>for</w:t>
      </w:r>
      <w:r>
        <w:rPr>
          <w:spacing w:val="40"/>
          <w:sz w:val="22"/>
        </w:rPr>
        <w:t> </w:t>
      </w:r>
      <w:r>
        <w:rPr>
          <w:sz w:val="22"/>
        </w:rPr>
        <w:t>all</w:t>
      </w:r>
      <w:r>
        <w:rPr>
          <w:spacing w:val="40"/>
          <w:sz w:val="22"/>
        </w:rPr>
        <w:t> </w:t>
      </w:r>
      <w:r>
        <w:rPr>
          <w:sz w:val="22"/>
        </w:rPr>
        <w:t>persons</w:t>
      </w:r>
      <w:r>
        <w:rPr>
          <w:spacing w:val="40"/>
          <w:sz w:val="22"/>
        </w:rPr>
        <w:t> </w:t>
      </w:r>
      <w:r>
        <w:rPr>
          <w:sz w:val="22"/>
        </w:rPr>
        <w:t>to</w:t>
      </w:r>
      <w:r>
        <w:rPr>
          <w:spacing w:val="40"/>
          <w:sz w:val="22"/>
        </w:rPr>
        <w:t> </w:t>
      </w:r>
      <w:r>
        <w:rPr>
          <w:sz w:val="22"/>
        </w:rPr>
        <w:t>reside</w:t>
      </w:r>
      <w:r>
        <w:rPr>
          <w:spacing w:val="40"/>
          <w:sz w:val="22"/>
        </w:rPr>
        <w:t> </w:t>
      </w:r>
      <w:r>
        <w:rPr>
          <w:sz w:val="22"/>
        </w:rPr>
        <w:t>in</w:t>
      </w:r>
      <w:r>
        <w:rPr>
          <w:spacing w:val="40"/>
          <w:sz w:val="22"/>
        </w:rPr>
        <w:t> </w:t>
      </w:r>
      <w:r>
        <w:rPr>
          <w:sz w:val="22"/>
        </w:rPr>
        <w:t>any</w:t>
      </w:r>
      <w:r>
        <w:rPr>
          <w:spacing w:val="40"/>
          <w:sz w:val="22"/>
        </w:rPr>
        <w:t> </w:t>
      </w:r>
      <w:r>
        <w:rPr>
          <w:sz w:val="22"/>
        </w:rPr>
        <w:t>given</w:t>
      </w:r>
      <w:r>
        <w:rPr>
          <w:spacing w:val="40"/>
          <w:sz w:val="22"/>
        </w:rPr>
        <w:t> </w:t>
      </w:r>
      <w:r>
        <w:rPr>
          <w:sz w:val="22"/>
        </w:rPr>
        <w:t>housing</w:t>
      </w:r>
      <w:r>
        <w:rPr>
          <w:spacing w:val="40"/>
          <w:sz w:val="22"/>
        </w:rPr>
        <w:t> </w:t>
      </w:r>
      <w:r>
        <w:rPr>
          <w:sz w:val="22"/>
        </w:rPr>
        <w:t>development,</w:t>
      </w:r>
      <w:r>
        <w:rPr>
          <w:spacing w:val="80"/>
          <w:sz w:val="22"/>
        </w:rPr>
        <w:t> </w:t>
      </w:r>
      <w:r>
        <w:rPr>
          <w:sz w:val="22"/>
        </w:rPr>
        <w:t>regardless of race, color, religion, sex, disability, familial status, or national origin;</w:t>
      </w:r>
    </w:p>
    <w:p>
      <w:pPr>
        <w:pStyle w:val="ListParagraph"/>
        <w:numPr>
          <w:ilvl w:val="0"/>
          <w:numId w:val="25"/>
        </w:numPr>
        <w:tabs>
          <w:tab w:pos="840" w:val="left" w:leader="none"/>
          <w:tab w:pos="841" w:val="left" w:leader="none"/>
        </w:tabs>
        <w:spacing w:line="268" w:lineRule="exact" w:before="2" w:after="0"/>
        <w:ind w:left="840" w:right="0" w:hanging="361"/>
        <w:jc w:val="left"/>
        <w:rPr>
          <w:rFonts w:ascii="Symbol" w:hAnsi="Symbol"/>
          <w:sz w:val="22"/>
        </w:rPr>
      </w:pPr>
      <w:r>
        <w:rPr>
          <w:sz w:val="22"/>
        </w:rPr>
        <w:t>Promote</w:t>
      </w:r>
      <w:r>
        <w:rPr>
          <w:spacing w:val="-7"/>
          <w:sz w:val="22"/>
        </w:rPr>
        <w:t> </w:t>
      </w:r>
      <w:r>
        <w:rPr>
          <w:sz w:val="22"/>
        </w:rPr>
        <w:t>housing</w:t>
      </w:r>
      <w:r>
        <w:rPr>
          <w:spacing w:val="-7"/>
          <w:sz w:val="22"/>
        </w:rPr>
        <w:t> </w:t>
      </w:r>
      <w:r>
        <w:rPr>
          <w:sz w:val="22"/>
        </w:rPr>
        <w:t>that</w:t>
      </w:r>
      <w:r>
        <w:rPr>
          <w:spacing w:val="-3"/>
          <w:sz w:val="22"/>
        </w:rPr>
        <w:t> </w:t>
      </w:r>
      <w:r>
        <w:rPr>
          <w:sz w:val="22"/>
        </w:rPr>
        <w:t>is</w:t>
      </w:r>
      <w:r>
        <w:rPr>
          <w:spacing w:val="-6"/>
          <w:sz w:val="22"/>
        </w:rPr>
        <w:t> </w:t>
      </w:r>
      <w:r>
        <w:rPr>
          <w:sz w:val="22"/>
        </w:rPr>
        <w:t>accessible</w:t>
      </w:r>
      <w:r>
        <w:rPr>
          <w:spacing w:val="-5"/>
          <w:sz w:val="22"/>
        </w:rPr>
        <w:t> </w:t>
      </w:r>
      <w:r>
        <w:rPr>
          <w:sz w:val="22"/>
        </w:rPr>
        <w:t>to</w:t>
      </w:r>
      <w:r>
        <w:rPr>
          <w:spacing w:val="-6"/>
          <w:sz w:val="22"/>
        </w:rPr>
        <w:t> </w:t>
      </w:r>
      <w:r>
        <w:rPr>
          <w:sz w:val="22"/>
        </w:rPr>
        <w:t>and</w:t>
      </w:r>
      <w:r>
        <w:rPr>
          <w:spacing w:val="-5"/>
          <w:sz w:val="22"/>
        </w:rPr>
        <w:t> </w:t>
      </w:r>
      <w:r>
        <w:rPr>
          <w:sz w:val="22"/>
        </w:rPr>
        <w:t>usable</w:t>
      </w:r>
      <w:r>
        <w:rPr>
          <w:spacing w:val="-7"/>
          <w:sz w:val="22"/>
        </w:rPr>
        <w:t> </w:t>
      </w:r>
      <w:r>
        <w:rPr>
          <w:sz w:val="22"/>
        </w:rPr>
        <w:t>by</w:t>
      </w:r>
      <w:r>
        <w:rPr>
          <w:spacing w:val="-3"/>
          <w:sz w:val="22"/>
        </w:rPr>
        <w:t> </w:t>
      </w:r>
      <w:r>
        <w:rPr>
          <w:sz w:val="22"/>
        </w:rPr>
        <w:t>persons</w:t>
      </w:r>
      <w:r>
        <w:rPr>
          <w:spacing w:val="-7"/>
          <w:sz w:val="22"/>
        </w:rPr>
        <w:t> </w:t>
      </w:r>
      <w:r>
        <w:rPr>
          <w:sz w:val="22"/>
        </w:rPr>
        <w:t>with</w:t>
      </w:r>
      <w:r>
        <w:rPr>
          <w:spacing w:val="-4"/>
          <w:sz w:val="22"/>
        </w:rPr>
        <w:t> </w:t>
      </w:r>
      <w:r>
        <w:rPr>
          <w:sz w:val="22"/>
        </w:rPr>
        <w:t>disabilities;</w:t>
      </w:r>
      <w:r>
        <w:rPr>
          <w:spacing w:val="-1"/>
          <w:sz w:val="22"/>
        </w:rPr>
        <w:t> </w:t>
      </w:r>
      <w:r>
        <w:rPr>
          <w:spacing w:val="-5"/>
          <w:sz w:val="22"/>
        </w:rPr>
        <w:t>and</w:t>
      </w:r>
    </w:p>
    <w:p>
      <w:pPr>
        <w:pStyle w:val="ListParagraph"/>
        <w:numPr>
          <w:ilvl w:val="0"/>
          <w:numId w:val="25"/>
        </w:numPr>
        <w:tabs>
          <w:tab w:pos="840" w:val="left" w:leader="none"/>
          <w:tab w:pos="841" w:val="left" w:leader="none"/>
        </w:tabs>
        <w:spacing w:line="268" w:lineRule="exact" w:before="0" w:after="0"/>
        <w:ind w:left="840" w:right="0" w:hanging="361"/>
        <w:jc w:val="left"/>
        <w:rPr>
          <w:rFonts w:ascii="Symbol" w:hAnsi="Symbol"/>
          <w:sz w:val="22"/>
        </w:rPr>
      </w:pPr>
      <w:r>
        <w:rPr>
          <w:sz w:val="22"/>
        </w:rPr>
        <w:t>Comply</w:t>
      </w:r>
      <w:r>
        <w:rPr>
          <w:spacing w:val="-6"/>
          <w:sz w:val="22"/>
        </w:rPr>
        <w:t> </w:t>
      </w:r>
      <w:r>
        <w:rPr>
          <w:sz w:val="22"/>
        </w:rPr>
        <w:t>with</w:t>
      </w:r>
      <w:r>
        <w:rPr>
          <w:spacing w:val="-7"/>
          <w:sz w:val="22"/>
        </w:rPr>
        <w:t> </w:t>
      </w:r>
      <w:r>
        <w:rPr>
          <w:sz w:val="22"/>
        </w:rPr>
        <w:t>non-discrimination</w:t>
      </w:r>
      <w:r>
        <w:rPr>
          <w:spacing w:val="-7"/>
          <w:sz w:val="22"/>
        </w:rPr>
        <w:t> </w:t>
      </w:r>
      <w:r>
        <w:rPr>
          <w:sz w:val="22"/>
        </w:rPr>
        <w:t>requirements</w:t>
      </w:r>
      <w:r>
        <w:rPr>
          <w:spacing w:val="-6"/>
          <w:sz w:val="22"/>
        </w:rPr>
        <w:t> </w:t>
      </w:r>
      <w:r>
        <w:rPr>
          <w:sz w:val="22"/>
        </w:rPr>
        <w:t>of</w:t>
      </w:r>
      <w:r>
        <w:rPr>
          <w:spacing w:val="-8"/>
          <w:sz w:val="22"/>
        </w:rPr>
        <w:t> </w:t>
      </w:r>
      <w:r>
        <w:rPr>
          <w:sz w:val="22"/>
        </w:rPr>
        <w:t>the</w:t>
      </w:r>
      <w:r>
        <w:rPr>
          <w:spacing w:val="-7"/>
          <w:sz w:val="22"/>
        </w:rPr>
        <w:t> </w:t>
      </w:r>
      <w:r>
        <w:rPr>
          <w:sz w:val="22"/>
        </w:rPr>
        <w:t>Fair</w:t>
      </w:r>
      <w:r>
        <w:rPr>
          <w:spacing w:val="-5"/>
          <w:sz w:val="22"/>
        </w:rPr>
        <w:t> </w:t>
      </w:r>
      <w:r>
        <w:rPr>
          <w:sz w:val="22"/>
        </w:rPr>
        <w:t>Housing</w:t>
      </w:r>
      <w:r>
        <w:rPr>
          <w:spacing w:val="-5"/>
          <w:sz w:val="22"/>
        </w:rPr>
        <w:t> </w:t>
      </w:r>
      <w:r>
        <w:rPr>
          <w:spacing w:val="-4"/>
          <w:sz w:val="22"/>
        </w:rPr>
        <w:t>Act.</w:t>
      </w:r>
    </w:p>
    <w:p>
      <w:pPr>
        <w:pStyle w:val="BodyText"/>
        <w:spacing w:before="10"/>
        <w:rPr>
          <w:sz w:val="21"/>
        </w:rPr>
      </w:pPr>
    </w:p>
    <w:p>
      <w:pPr>
        <w:pStyle w:val="Heading5"/>
        <w:jc w:val="left"/>
      </w:pPr>
      <w:r>
        <w:rPr/>
        <w:t>Policy</w:t>
      </w:r>
      <w:r>
        <w:rPr>
          <w:spacing w:val="-5"/>
        </w:rPr>
        <w:t> </w:t>
      </w:r>
      <w:r>
        <w:rPr/>
        <w:t>on</w:t>
      </w:r>
      <w:r>
        <w:rPr>
          <w:spacing w:val="-6"/>
        </w:rPr>
        <w:t> </w:t>
      </w:r>
      <w:r>
        <w:rPr/>
        <w:t>Nondiscrimination</w:t>
      </w:r>
      <w:r>
        <w:rPr>
          <w:spacing w:val="-6"/>
        </w:rPr>
        <w:t> </w:t>
      </w:r>
      <w:r>
        <w:rPr/>
        <w:t>and</w:t>
      </w:r>
      <w:r>
        <w:rPr>
          <w:spacing w:val="-6"/>
        </w:rPr>
        <w:t> </w:t>
      </w:r>
      <w:r>
        <w:rPr>
          <w:spacing w:val="-2"/>
        </w:rPr>
        <w:t>Accessibility</w:t>
      </w:r>
    </w:p>
    <w:p>
      <w:pPr>
        <w:pStyle w:val="BodyText"/>
        <w:spacing w:before="4"/>
        <w:rPr>
          <w:b/>
          <w:sz w:val="26"/>
        </w:rPr>
      </w:pPr>
    </w:p>
    <w:p>
      <w:pPr>
        <w:pStyle w:val="BodyText"/>
        <w:spacing w:before="1"/>
        <w:ind w:left="120" w:right="155"/>
        <w:jc w:val="both"/>
      </w:pPr>
      <w:r>
        <w:rPr/>
        <w:t>The recipient/managing agent shall not discriminate against any individual or family because of race, color, national origin, religion, gender, disability, familial status, sexual orientation, gender identity or expression or source of income</w:t>
      </w:r>
      <w:r>
        <w:rPr>
          <w:spacing w:val="-3"/>
        </w:rPr>
        <w:t> </w:t>
      </w:r>
      <w:r>
        <w:rPr/>
        <w:t>(disability, child support, spousal support or veteran’s income or voucher). Reasonable accommodations will be offered to all disabled persons who request accommodations due to disability at any time during the application, resident selection and rent up process.</w:t>
      </w:r>
    </w:p>
    <w:p>
      <w:pPr>
        <w:pStyle w:val="BodyText"/>
        <w:spacing w:before="8"/>
        <w:rPr>
          <w:sz w:val="21"/>
        </w:rPr>
      </w:pPr>
    </w:p>
    <w:p>
      <w:pPr>
        <w:pStyle w:val="Heading5"/>
        <w:spacing w:before="1"/>
        <w:jc w:val="left"/>
      </w:pPr>
      <w:r>
        <w:rPr>
          <w:spacing w:val="-2"/>
        </w:rPr>
        <w:t>Training</w:t>
      </w:r>
    </w:p>
    <w:p>
      <w:pPr>
        <w:spacing w:after="0"/>
        <w:jc w:val="left"/>
        <w:sectPr>
          <w:pgSz w:w="12240" w:h="15840"/>
          <w:pgMar w:header="0" w:footer="1176" w:top="1720" w:bottom="1420" w:left="1320" w:right="1280"/>
        </w:sectPr>
      </w:pPr>
    </w:p>
    <w:p>
      <w:pPr>
        <w:pStyle w:val="ListParagraph"/>
        <w:numPr>
          <w:ilvl w:val="0"/>
          <w:numId w:val="25"/>
        </w:numPr>
        <w:tabs>
          <w:tab w:pos="841" w:val="left" w:leader="none"/>
        </w:tabs>
        <w:spacing w:line="240" w:lineRule="auto" w:before="82" w:after="0"/>
        <w:ind w:left="840" w:right="152" w:hanging="361"/>
        <w:jc w:val="both"/>
        <w:rPr>
          <w:rFonts w:ascii="Symbol" w:hAnsi="Symbol"/>
          <w:sz w:val="22"/>
        </w:rPr>
      </w:pPr>
      <w:r>
        <w:rPr>
          <w:sz w:val="22"/>
        </w:rPr>
        <w:t>The recipient/managing agent shall provide property management staff with all relevant regulations and Fair</w:t>
      </w:r>
      <w:r>
        <w:rPr>
          <w:spacing w:val="-1"/>
          <w:sz w:val="22"/>
        </w:rPr>
        <w:t> </w:t>
      </w:r>
      <w:r>
        <w:rPr>
          <w:sz w:val="22"/>
        </w:rPr>
        <w:t>Housing provisions. All</w:t>
      </w:r>
      <w:r>
        <w:rPr>
          <w:spacing w:val="-1"/>
          <w:sz w:val="22"/>
        </w:rPr>
        <w:t> </w:t>
      </w:r>
      <w:r>
        <w:rPr>
          <w:sz w:val="22"/>
        </w:rPr>
        <w:t>property</w:t>
      </w:r>
      <w:r>
        <w:rPr>
          <w:spacing w:val="-2"/>
          <w:sz w:val="22"/>
        </w:rPr>
        <w:t> </w:t>
      </w:r>
      <w:r>
        <w:rPr>
          <w:sz w:val="22"/>
        </w:rPr>
        <w:t>management</w:t>
      </w:r>
      <w:r>
        <w:rPr>
          <w:spacing w:val="-1"/>
          <w:sz w:val="22"/>
        </w:rPr>
        <w:t> </w:t>
      </w:r>
      <w:r>
        <w:rPr>
          <w:sz w:val="22"/>
        </w:rPr>
        <w:t>staff shall</w:t>
      </w:r>
      <w:r>
        <w:rPr>
          <w:spacing w:val="-1"/>
          <w:sz w:val="22"/>
        </w:rPr>
        <w:t> </w:t>
      </w:r>
      <w:r>
        <w:rPr>
          <w:sz w:val="22"/>
        </w:rPr>
        <w:t>be required to follow the procedures and policies adopted by the recipient/managing agent. In the event that property management staff requires fair housing technical assistance, staff is to call the </w:t>
      </w:r>
      <w:r>
        <w:rPr>
          <w:b/>
          <w:sz w:val="22"/>
        </w:rPr>
        <w:t>City of Dallas Office of Fair Housing: 214-670-FAIR (3247).</w:t>
      </w:r>
    </w:p>
    <w:p>
      <w:pPr>
        <w:pStyle w:val="ListParagraph"/>
        <w:numPr>
          <w:ilvl w:val="0"/>
          <w:numId w:val="25"/>
        </w:numPr>
        <w:tabs>
          <w:tab w:pos="841" w:val="left" w:leader="none"/>
        </w:tabs>
        <w:spacing w:line="240" w:lineRule="auto" w:before="0" w:after="0"/>
        <w:ind w:left="840" w:right="158" w:hanging="361"/>
        <w:jc w:val="both"/>
        <w:rPr>
          <w:rFonts w:ascii="Symbol" w:hAnsi="Symbol"/>
          <w:sz w:val="22"/>
        </w:rPr>
      </w:pPr>
      <w:r>
        <w:rPr/>
        <w:pict>
          <v:shape style="position:absolute;margin-left:90.065002pt;margin-top:50.421177pt;width:395.3pt;height:419pt;mso-position-horizontal-relative:page;mso-position-vertical-relative:paragraph;z-index:-17688576" id="docshape110" coordorigin="1801,1008" coordsize="7906,8380" path="m4498,8272l4492,8199,4477,8121,4455,8038,4432,7969,4403,7897,4367,7822,4325,7744,4276,7663,4237,7604,4200,7553,4200,8239,4197,8295,4186,8352,4167,8409,4138,8469,4097,8532,4044,8598,3979,8667,3674,8973,2216,7515,2517,7214,2598,7138,2672,7078,2740,7035,2801,7008,2868,6994,2941,6990,3020,6996,3105,7014,3195,7043,3255,7069,3317,7101,3380,7140,3446,7185,3514,7237,3584,7295,3656,7359,3729,7431,3789,7492,3845,7552,3896,7611,3943,7669,3986,7726,4025,7781,4059,7835,4101,7910,4136,7982,4163,8052,4183,8118,4196,8183,4200,8239,4200,7553,4194,7544,4148,7484,4098,7424,4045,7363,3989,7301,3929,7240,3865,7177,3801,7119,3737,7064,3673,7012,3643,6990,3609,6964,3546,6920,3482,6879,3419,6841,3346,6803,3274,6771,3203,6744,3132,6722,3062,6705,2992,6693,2923,6685,2850,6684,2779,6691,2709,6705,2642,6728,2577,6759,2528,6787,2476,6824,2420,6870,2359,6924,2294,6986,1801,7479,3710,9388,4124,8973,4226,8871,4287,8806,4341,8741,4386,8675,4424,8608,4454,8542,4476,8475,4491,8408,4498,8341,4498,8272xm6418,6679l6056,6551,5650,6409,5561,6379,5475,6355,5393,6336,5365,6331,5314,6322,5239,6312,5193,6310,5143,6313,5089,6320,5030,6331,5073,6261,5109,6192,5136,6123,5154,6054,5164,5985,5165,5917,5157,5849,5139,5771,5111,5695,5075,5621,5030,5548,4976,5477,4956,5454,4913,5408,4872,5370,4872,5928,4868,5983,4854,6038,4830,6095,4794,6153,4747,6214,4687,6278,4280,6685,3649,6054,4102,5601,4166,5544,4229,5500,4293,5471,4358,5456,4422,5454,4501,5470,4577,5499,4649,5544,4718,5604,4761,5651,4797,5702,4827,5756,4851,5812,4867,5871,4872,5928,4872,5370,4849,5349,4782,5296,4713,5251,4641,5212,4566,5180,4474,5152,4386,5139,4303,5141,4225,5157,4163,5182,4098,5219,4030,5267,3958,5326,3883,5398,3248,6032,5157,7940,5346,7751,4499,6904,4718,6685,4753,6650,4783,6623,4810,6602,4833,6588,4863,6574,4896,6563,4932,6556,4971,6551,5014,6551,5066,6557,5125,6567,5194,6583,5256,6601,5328,6622,5407,6647,5496,6676,6180,6917,6418,6679xm7780,5317l7415,5122,6555,4668,6555,4975,6070,5460,6030,5388,5989,5317,5748,4886,5708,4814,5668,4743,5629,4677,5590,4613,5550,4549,5509,4486,5467,4423,5424,4362,5380,4301,5436,4337,5498,4375,5564,4415,5635,4457,5792,4547,6555,4975,6555,4668,5862,4301,5286,3994,5082,4198,5277,4549,5316,4619,5701,5317,6207,6236,6441,6656,6642,6455,6565,6322,6298,5854,6221,5720,6481,5460,6820,5122,7173,5317,7565,5533,7780,5317xm8131,4966l7264,4099,7936,3428,7711,3202,7039,3874,6448,3283,7224,2507,6999,2282,6033,3247,7941,5156,8131,4966xm9707,3390l8024,1707,8497,1234,8272,1008,7138,2143,7363,2368,7834,1897,9517,3580,9707,3390xe" filled="true" fillcolor="#c0c0c0" stroked="false">
            <v:path arrowok="t"/>
            <v:fill opacity="32896f" type="solid"/>
            <w10:wrap type="none"/>
          </v:shape>
        </w:pict>
      </w:r>
      <w:r>
        <w:rPr>
          <w:sz w:val="22"/>
        </w:rPr>
        <w:t>Regular training programs shall include marketing, outreach, data collection, reporting, and record keeping. Property management staff shall annually receive instruction regarding fair housing laws and the recipient/managing agent’s Affirmative Marketing </w:t>
      </w:r>
      <w:r>
        <w:rPr>
          <w:spacing w:val="-2"/>
          <w:sz w:val="22"/>
        </w:rPr>
        <w:t>Plan.</w:t>
      </w:r>
    </w:p>
    <w:p>
      <w:pPr>
        <w:pStyle w:val="BodyText"/>
        <w:spacing w:before="4"/>
        <w:rPr>
          <w:sz w:val="21"/>
        </w:rPr>
      </w:pPr>
    </w:p>
    <w:p>
      <w:pPr>
        <w:pStyle w:val="Heading5"/>
        <w:jc w:val="left"/>
      </w:pPr>
      <w:r>
        <w:rPr/>
        <w:t>Marketing</w:t>
      </w:r>
      <w:r>
        <w:rPr>
          <w:spacing w:val="-6"/>
        </w:rPr>
        <w:t> </w:t>
      </w:r>
      <w:r>
        <w:rPr/>
        <w:t>and</w:t>
      </w:r>
      <w:r>
        <w:rPr>
          <w:spacing w:val="-5"/>
        </w:rPr>
        <w:t> </w:t>
      </w:r>
      <w:r>
        <w:rPr>
          <w:spacing w:val="-2"/>
        </w:rPr>
        <w:t>Outreach</w:t>
      </w:r>
    </w:p>
    <w:p>
      <w:pPr>
        <w:pStyle w:val="ListParagraph"/>
        <w:numPr>
          <w:ilvl w:val="0"/>
          <w:numId w:val="25"/>
        </w:numPr>
        <w:tabs>
          <w:tab w:pos="841" w:val="left" w:leader="none"/>
        </w:tabs>
        <w:spacing w:line="237" w:lineRule="auto" w:before="56" w:after="0"/>
        <w:ind w:left="840" w:right="155" w:hanging="361"/>
        <w:jc w:val="both"/>
        <w:rPr>
          <w:rFonts w:ascii="Symbol" w:hAnsi="Symbol"/>
          <w:sz w:val="22"/>
        </w:rPr>
      </w:pPr>
      <w:r>
        <w:rPr>
          <w:sz w:val="22"/>
        </w:rPr>
        <w:t>All advertising shall display the Equal Housing Opportunity logo or the phrase “Equal Housing Opportunity” and the accessibility logo when appropriate, as shown below:</w:t>
      </w:r>
    </w:p>
    <w:p>
      <w:pPr>
        <w:pStyle w:val="BodyText"/>
        <w:spacing w:before="1"/>
        <w:rPr>
          <w:sz w:val="17"/>
        </w:rPr>
      </w:pPr>
      <w:r>
        <w:rPr/>
        <w:drawing>
          <wp:anchor distT="0" distB="0" distL="0" distR="0" allowOverlap="1" layoutInCell="1" locked="0" behindDoc="0" simplePos="0" relativeHeight="114">
            <wp:simplePos x="0" y="0"/>
            <wp:positionH relativeFrom="page">
              <wp:posOffset>2114550</wp:posOffset>
            </wp:positionH>
            <wp:positionV relativeFrom="paragraph">
              <wp:posOffset>140439</wp:posOffset>
            </wp:positionV>
            <wp:extent cx="1377563" cy="1441703"/>
            <wp:effectExtent l="0" t="0" r="0" b="0"/>
            <wp:wrapTopAndBottom/>
            <wp:docPr id="37" name="image15.png"/>
            <wp:cNvGraphicFramePr>
              <a:graphicFrameLocks noChangeAspect="1"/>
            </wp:cNvGraphicFramePr>
            <a:graphic>
              <a:graphicData uri="http://schemas.openxmlformats.org/drawingml/2006/picture">
                <pic:pic>
                  <pic:nvPicPr>
                    <pic:cNvPr id="38" name="image15.png"/>
                    <pic:cNvPicPr/>
                  </pic:nvPicPr>
                  <pic:blipFill>
                    <a:blip r:embed="rId23" cstate="print"/>
                    <a:stretch>
                      <a:fillRect/>
                    </a:stretch>
                  </pic:blipFill>
                  <pic:spPr>
                    <a:xfrm>
                      <a:off x="0" y="0"/>
                      <a:ext cx="1377563" cy="1441703"/>
                    </a:xfrm>
                    <a:prstGeom prst="rect">
                      <a:avLst/>
                    </a:prstGeom>
                  </pic:spPr>
                </pic:pic>
              </a:graphicData>
            </a:graphic>
          </wp:anchor>
        </w:drawing>
      </w:r>
      <w:r>
        <w:rPr/>
        <w:drawing>
          <wp:anchor distT="0" distB="0" distL="0" distR="0" allowOverlap="1" layoutInCell="1" locked="0" behindDoc="0" simplePos="0" relativeHeight="115">
            <wp:simplePos x="0" y="0"/>
            <wp:positionH relativeFrom="page">
              <wp:posOffset>3800475</wp:posOffset>
            </wp:positionH>
            <wp:positionV relativeFrom="paragraph">
              <wp:posOffset>411582</wp:posOffset>
            </wp:positionV>
            <wp:extent cx="1008383" cy="1150620"/>
            <wp:effectExtent l="0" t="0" r="0" b="0"/>
            <wp:wrapTopAndBottom/>
            <wp:docPr id="39" name="image16.jpeg"/>
            <wp:cNvGraphicFramePr>
              <a:graphicFrameLocks noChangeAspect="1"/>
            </wp:cNvGraphicFramePr>
            <a:graphic>
              <a:graphicData uri="http://schemas.openxmlformats.org/drawingml/2006/picture">
                <pic:pic>
                  <pic:nvPicPr>
                    <pic:cNvPr id="40" name="image16.jpeg"/>
                    <pic:cNvPicPr/>
                  </pic:nvPicPr>
                  <pic:blipFill>
                    <a:blip r:embed="rId24" cstate="print"/>
                    <a:stretch>
                      <a:fillRect/>
                    </a:stretch>
                  </pic:blipFill>
                  <pic:spPr>
                    <a:xfrm>
                      <a:off x="0" y="0"/>
                      <a:ext cx="1008383" cy="1150620"/>
                    </a:xfrm>
                    <a:prstGeom prst="rect">
                      <a:avLst/>
                    </a:prstGeom>
                  </pic:spPr>
                </pic:pic>
              </a:graphicData>
            </a:graphic>
          </wp:anchor>
        </w:drawing>
      </w:r>
    </w:p>
    <w:p>
      <w:pPr>
        <w:pStyle w:val="BodyText"/>
        <w:rPr>
          <w:sz w:val="24"/>
        </w:rPr>
      </w:pPr>
    </w:p>
    <w:p>
      <w:pPr>
        <w:pStyle w:val="BodyText"/>
        <w:rPr>
          <w:sz w:val="24"/>
        </w:rPr>
      </w:pPr>
    </w:p>
    <w:p>
      <w:pPr>
        <w:pStyle w:val="BodyText"/>
        <w:spacing w:before="8"/>
        <w:rPr>
          <w:sz w:val="19"/>
        </w:rPr>
      </w:pPr>
    </w:p>
    <w:p>
      <w:pPr>
        <w:pStyle w:val="ListParagraph"/>
        <w:numPr>
          <w:ilvl w:val="0"/>
          <w:numId w:val="25"/>
        </w:numPr>
        <w:tabs>
          <w:tab w:pos="841" w:val="left" w:leader="none"/>
        </w:tabs>
        <w:spacing w:line="240" w:lineRule="auto" w:before="0" w:after="0"/>
        <w:ind w:left="839" w:right="155" w:hanging="360"/>
        <w:jc w:val="both"/>
        <w:rPr>
          <w:rFonts w:ascii="Symbol" w:hAnsi="Symbol"/>
          <w:sz w:val="22"/>
        </w:rPr>
      </w:pPr>
      <w:r>
        <w:rPr>
          <w:sz w:val="22"/>
        </w:rPr>
        <w:t>Consistent with resident population the development is designed to serve, the marketing of the project will ensure equal access to appropriate size units for all persons in any category protected by federal, state, and local laws governing discrimination. There will be no local residency requirement nor will preference be given to local residents for the project. Special marketing outreach consideration shall be given to the following traditionally underserved populations:</w:t>
      </w:r>
    </w:p>
    <w:p>
      <w:pPr>
        <w:pStyle w:val="ListParagraph"/>
        <w:numPr>
          <w:ilvl w:val="1"/>
          <w:numId w:val="25"/>
        </w:numPr>
        <w:tabs>
          <w:tab w:pos="1560" w:val="left" w:leader="none"/>
          <w:tab w:pos="1561" w:val="left" w:leader="none"/>
        </w:tabs>
        <w:spacing w:line="259" w:lineRule="exact" w:before="0" w:after="0"/>
        <w:ind w:left="1560" w:right="0" w:hanging="721"/>
        <w:jc w:val="left"/>
        <w:rPr>
          <w:sz w:val="22"/>
        </w:rPr>
      </w:pPr>
      <w:r>
        <w:rPr>
          <w:sz w:val="22"/>
        </w:rPr>
        <w:t>African</w:t>
      </w:r>
      <w:r>
        <w:rPr>
          <w:spacing w:val="-5"/>
          <w:sz w:val="22"/>
        </w:rPr>
        <w:t> </w:t>
      </w:r>
      <w:r>
        <w:rPr>
          <w:spacing w:val="-2"/>
          <w:sz w:val="22"/>
        </w:rPr>
        <w:t>American</w:t>
      </w:r>
    </w:p>
    <w:p>
      <w:pPr>
        <w:pStyle w:val="ListParagraph"/>
        <w:numPr>
          <w:ilvl w:val="1"/>
          <w:numId w:val="25"/>
        </w:numPr>
        <w:tabs>
          <w:tab w:pos="1560" w:val="left" w:leader="none"/>
          <w:tab w:pos="1561" w:val="left" w:leader="none"/>
        </w:tabs>
        <w:spacing w:line="253" w:lineRule="exact" w:before="0" w:after="0"/>
        <w:ind w:left="1560" w:right="0" w:hanging="721"/>
        <w:jc w:val="left"/>
        <w:rPr>
          <w:sz w:val="22"/>
        </w:rPr>
      </w:pPr>
      <w:r>
        <w:rPr>
          <w:sz w:val="22"/>
        </w:rPr>
        <w:t>Native</w:t>
      </w:r>
      <w:r>
        <w:rPr>
          <w:spacing w:val="-4"/>
          <w:sz w:val="22"/>
        </w:rPr>
        <w:t> </w:t>
      </w:r>
      <w:r>
        <w:rPr>
          <w:spacing w:val="-2"/>
          <w:sz w:val="22"/>
        </w:rPr>
        <w:t>American</w:t>
      </w:r>
    </w:p>
    <w:p>
      <w:pPr>
        <w:pStyle w:val="ListParagraph"/>
        <w:numPr>
          <w:ilvl w:val="1"/>
          <w:numId w:val="25"/>
        </w:numPr>
        <w:tabs>
          <w:tab w:pos="1560" w:val="left" w:leader="none"/>
          <w:tab w:pos="1561" w:val="left" w:leader="none"/>
        </w:tabs>
        <w:spacing w:line="253" w:lineRule="exact" w:before="0" w:after="0"/>
        <w:ind w:left="1561" w:right="0" w:hanging="721"/>
        <w:jc w:val="left"/>
        <w:rPr>
          <w:sz w:val="22"/>
        </w:rPr>
      </w:pPr>
      <w:r>
        <w:rPr>
          <w:spacing w:val="-2"/>
          <w:sz w:val="22"/>
        </w:rPr>
        <w:t>Hispanics</w:t>
      </w:r>
    </w:p>
    <w:p>
      <w:pPr>
        <w:pStyle w:val="ListParagraph"/>
        <w:numPr>
          <w:ilvl w:val="1"/>
          <w:numId w:val="25"/>
        </w:numPr>
        <w:tabs>
          <w:tab w:pos="1560" w:val="left" w:leader="none"/>
          <w:tab w:pos="1561" w:val="left" w:leader="none"/>
        </w:tabs>
        <w:spacing w:line="253" w:lineRule="exact" w:before="0" w:after="0"/>
        <w:ind w:left="1561" w:right="0" w:hanging="721"/>
        <w:jc w:val="left"/>
        <w:rPr>
          <w:sz w:val="22"/>
        </w:rPr>
      </w:pPr>
      <w:r>
        <w:rPr>
          <w:sz w:val="22"/>
        </w:rPr>
        <w:t>Asians</w:t>
      </w:r>
      <w:r>
        <w:rPr>
          <w:spacing w:val="-4"/>
          <w:sz w:val="22"/>
        </w:rPr>
        <w:t> </w:t>
      </w:r>
      <w:r>
        <w:rPr>
          <w:sz w:val="22"/>
        </w:rPr>
        <w:t>and</w:t>
      </w:r>
      <w:r>
        <w:rPr>
          <w:spacing w:val="-4"/>
          <w:sz w:val="22"/>
        </w:rPr>
        <w:t> </w:t>
      </w:r>
      <w:r>
        <w:rPr>
          <w:sz w:val="22"/>
        </w:rPr>
        <w:t>Pacific</w:t>
      </w:r>
      <w:r>
        <w:rPr>
          <w:spacing w:val="-5"/>
          <w:sz w:val="22"/>
        </w:rPr>
        <w:t> </w:t>
      </w:r>
      <w:r>
        <w:rPr>
          <w:spacing w:val="-2"/>
          <w:sz w:val="22"/>
        </w:rPr>
        <w:t>Islanders</w:t>
      </w:r>
    </w:p>
    <w:p>
      <w:pPr>
        <w:pStyle w:val="ListParagraph"/>
        <w:numPr>
          <w:ilvl w:val="1"/>
          <w:numId w:val="25"/>
        </w:numPr>
        <w:tabs>
          <w:tab w:pos="1561" w:val="left" w:leader="none"/>
          <w:tab w:pos="1562" w:val="left" w:leader="none"/>
        </w:tabs>
        <w:spacing w:line="263" w:lineRule="exact" w:before="0" w:after="0"/>
        <w:ind w:left="1561" w:right="0" w:hanging="721"/>
        <w:jc w:val="left"/>
        <w:rPr>
          <w:sz w:val="22"/>
        </w:rPr>
      </w:pPr>
      <w:r>
        <w:rPr>
          <w:sz w:val="22"/>
        </w:rPr>
        <w:t>Persons</w:t>
      </w:r>
      <w:r>
        <w:rPr>
          <w:spacing w:val="-4"/>
          <w:sz w:val="22"/>
        </w:rPr>
        <w:t> </w:t>
      </w:r>
      <w:r>
        <w:rPr>
          <w:sz w:val="22"/>
        </w:rPr>
        <w:t>with</w:t>
      </w:r>
      <w:r>
        <w:rPr>
          <w:spacing w:val="-5"/>
          <w:sz w:val="22"/>
        </w:rPr>
        <w:t> </w:t>
      </w:r>
      <w:r>
        <w:rPr>
          <w:spacing w:val="-2"/>
          <w:sz w:val="22"/>
        </w:rPr>
        <w:t>Disabilities</w:t>
      </w:r>
    </w:p>
    <w:p>
      <w:pPr>
        <w:pStyle w:val="ListParagraph"/>
        <w:numPr>
          <w:ilvl w:val="0"/>
          <w:numId w:val="25"/>
        </w:numPr>
        <w:tabs>
          <w:tab w:pos="842" w:val="left" w:leader="none"/>
        </w:tabs>
        <w:spacing w:line="240" w:lineRule="auto" w:before="233" w:after="0"/>
        <w:ind w:left="840" w:right="151" w:hanging="360"/>
        <w:jc w:val="both"/>
        <w:rPr>
          <w:rFonts w:ascii="Symbol" w:hAnsi="Symbol"/>
          <w:sz w:val="22"/>
        </w:rPr>
      </w:pPr>
      <w:r>
        <w:rPr>
          <w:sz w:val="22"/>
        </w:rPr>
        <w:t>Marketing shall include the use of newspapers of general circulation in Dallas. The recipient/managing agent will place notices in newspapers, specialized publications, and newsletters to reach potential residents. Applications, notices and all publications will include a Fair Housing and Equal Opportunity Logo, and the Accessibility Logo.</w:t>
      </w:r>
    </w:p>
    <w:p>
      <w:pPr>
        <w:pStyle w:val="BodyText"/>
        <w:spacing w:before="9"/>
        <w:rPr>
          <w:sz w:val="21"/>
        </w:rPr>
      </w:pPr>
    </w:p>
    <w:p>
      <w:pPr>
        <w:pStyle w:val="ListParagraph"/>
        <w:numPr>
          <w:ilvl w:val="0"/>
          <w:numId w:val="25"/>
        </w:numPr>
        <w:tabs>
          <w:tab w:pos="842" w:val="left" w:leader="none"/>
        </w:tabs>
        <w:spacing w:line="240" w:lineRule="auto" w:before="0" w:after="0"/>
        <w:ind w:left="840" w:right="154" w:hanging="359"/>
        <w:jc w:val="both"/>
        <w:rPr>
          <w:rFonts w:ascii="Symbol" w:hAnsi="Symbol"/>
          <w:sz w:val="22"/>
        </w:rPr>
      </w:pPr>
      <w:r>
        <w:rPr>
          <w:sz w:val="22"/>
        </w:rPr>
        <w:t>The recipients/managing agent will contact local civic and community organizations representative of the ethnic and cultural diversity of the area in order to disseminate information</w:t>
      </w:r>
      <w:r>
        <w:rPr>
          <w:spacing w:val="-1"/>
          <w:sz w:val="22"/>
        </w:rPr>
        <w:t> </w:t>
      </w:r>
      <w:r>
        <w:rPr>
          <w:sz w:val="22"/>
        </w:rPr>
        <w:t>about</w:t>
      </w:r>
      <w:r>
        <w:rPr>
          <w:spacing w:val="-2"/>
          <w:sz w:val="22"/>
        </w:rPr>
        <w:t> </w:t>
      </w:r>
      <w:r>
        <w:rPr>
          <w:sz w:val="22"/>
        </w:rPr>
        <w:t>the</w:t>
      </w:r>
      <w:r>
        <w:rPr>
          <w:spacing w:val="-4"/>
          <w:sz w:val="22"/>
        </w:rPr>
        <w:t> </w:t>
      </w:r>
      <w:r>
        <w:rPr>
          <w:sz w:val="22"/>
        </w:rPr>
        <w:t>development.</w:t>
      </w:r>
      <w:r>
        <w:rPr>
          <w:spacing w:val="-2"/>
          <w:sz w:val="22"/>
        </w:rPr>
        <w:t> </w:t>
      </w:r>
      <w:r>
        <w:rPr>
          <w:sz w:val="22"/>
        </w:rPr>
        <w:t>Groups</w:t>
      </w:r>
      <w:r>
        <w:rPr>
          <w:spacing w:val="-3"/>
          <w:sz w:val="22"/>
        </w:rPr>
        <w:t> </w:t>
      </w:r>
      <w:r>
        <w:rPr>
          <w:sz w:val="22"/>
        </w:rPr>
        <w:t>representing</w:t>
      </w:r>
      <w:r>
        <w:rPr>
          <w:spacing w:val="-1"/>
          <w:sz w:val="22"/>
        </w:rPr>
        <w:t> </w:t>
      </w:r>
      <w:r>
        <w:rPr>
          <w:sz w:val="22"/>
        </w:rPr>
        <w:t>disabled</w:t>
      </w:r>
      <w:r>
        <w:rPr>
          <w:spacing w:val="-1"/>
          <w:sz w:val="22"/>
        </w:rPr>
        <w:t> </w:t>
      </w:r>
      <w:r>
        <w:rPr>
          <w:sz w:val="22"/>
        </w:rPr>
        <w:t>and</w:t>
      </w:r>
      <w:r>
        <w:rPr>
          <w:spacing w:val="-4"/>
          <w:sz w:val="22"/>
        </w:rPr>
        <w:t> </w:t>
      </w:r>
      <w:r>
        <w:rPr>
          <w:sz w:val="22"/>
        </w:rPr>
        <w:t>elderly</w:t>
      </w:r>
      <w:r>
        <w:rPr>
          <w:spacing w:val="-1"/>
          <w:sz w:val="22"/>
        </w:rPr>
        <w:t> </w:t>
      </w:r>
      <w:r>
        <w:rPr>
          <w:sz w:val="22"/>
        </w:rPr>
        <w:t>individuals will be contacted. Where necessary, recipient/managing agent will publish its marketing materials</w:t>
      </w:r>
      <w:r>
        <w:rPr>
          <w:spacing w:val="-13"/>
          <w:sz w:val="22"/>
        </w:rPr>
        <w:t> </w:t>
      </w:r>
      <w:r>
        <w:rPr>
          <w:sz w:val="22"/>
        </w:rPr>
        <w:t>in</w:t>
      </w:r>
      <w:r>
        <w:rPr>
          <w:spacing w:val="-14"/>
          <w:sz w:val="22"/>
        </w:rPr>
        <w:t> </w:t>
      </w:r>
      <w:r>
        <w:rPr>
          <w:sz w:val="22"/>
        </w:rPr>
        <w:t>multiple</w:t>
      </w:r>
      <w:r>
        <w:rPr>
          <w:spacing w:val="-14"/>
          <w:sz w:val="22"/>
        </w:rPr>
        <w:t> </w:t>
      </w:r>
      <w:r>
        <w:rPr>
          <w:sz w:val="22"/>
        </w:rPr>
        <w:t>languages</w:t>
      </w:r>
      <w:r>
        <w:rPr>
          <w:spacing w:val="-13"/>
          <w:sz w:val="22"/>
        </w:rPr>
        <w:t> </w:t>
      </w:r>
      <w:r>
        <w:rPr>
          <w:sz w:val="22"/>
        </w:rPr>
        <w:t>and</w:t>
      </w:r>
      <w:r>
        <w:rPr>
          <w:spacing w:val="-14"/>
          <w:sz w:val="22"/>
        </w:rPr>
        <w:t> </w:t>
      </w:r>
      <w:r>
        <w:rPr>
          <w:sz w:val="22"/>
        </w:rPr>
        <w:t>alternate</w:t>
      </w:r>
      <w:r>
        <w:rPr>
          <w:spacing w:val="-14"/>
          <w:sz w:val="22"/>
        </w:rPr>
        <w:t> </w:t>
      </w:r>
      <w:r>
        <w:rPr>
          <w:sz w:val="22"/>
        </w:rPr>
        <w:t>formats</w:t>
      </w:r>
      <w:r>
        <w:rPr>
          <w:spacing w:val="-13"/>
          <w:sz w:val="22"/>
        </w:rPr>
        <w:t> </w:t>
      </w:r>
      <w:r>
        <w:rPr>
          <w:sz w:val="22"/>
        </w:rPr>
        <w:t>as</w:t>
      </w:r>
      <w:r>
        <w:rPr>
          <w:spacing w:val="-13"/>
          <w:sz w:val="22"/>
        </w:rPr>
        <w:t> </w:t>
      </w:r>
      <w:r>
        <w:rPr>
          <w:sz w:val="22"/>
        </w:rPr>
        <w:t>requested</w:t>
      </w:r>
      <w:r>
        <w:rPr>
          <w:spacing w:val="-11"/>
          <w:sz w:val="22"/>
        </w:rPr>
        <w:t> </w:t>
      </w:r>
      <w:r>
        <w:rPr>
          <w:sz w:val="22"/>
        </w:rPr>
        <w:t>in</w:t>
      </w:r>
      <w:r>
        <w:rPr>
          <w:spacing w:val="-14"/>
          <w:sz w:val="22"/>
        </w:rPr>
        <w:t> </w:t>
      </w:r>
      <w:r>
        <w:rPr>
          <w:sz w:val="22"/>
        </w:rPr>
        <w:t>order</w:t>
      </w:r>
      <w:r>
        <w:rPr>
          <w:spacing w:val="-15"/>
          <w:sz w:val="22"/>
        </w:rPr>
        <w:t> </w:t>
      </w:r>
      <w:r>
        <w:rPr>
          <w:sz w:val="22"/>
        </w:rPr>
        <w:t>to</w:t>
      </w:r>
      <w:r>
        <w:rPr>
          <w:spacing w:val="-14"/>
          <w:sz w:val="22"/>
        </w:rPr>
        <w:t> </w:t>
      </w:r>
      <w:r>
        <w:rPr>
          <w:sz w:val="22"/>
        </w:rPr>
        <w:t>better</w:t>
      </w:r>
      <w:r>
        <w:rPr>
          <w:spacing w:val="-15"/>
          <w:sz w:val="22"/>
        </w:rPr>
        <w:t> </w:t>
      </w:r>
      <w:r>
        <w:rPr>
          <w:sz w:val="22"/>
        </w:rPr>
        <w:t>reach potential recipients and sub-recipients in the area with language</w:t>
      </w:r>
      <w:r>
        <w:rPr>
          <w:spacing w:val="-20"/>
          <w:sz w:val="22"/>
        </w:rPr>
        <w:t> </w:t>
      </w:r>
      <w:r>
        <w:rPr>
          <w:sz w:val="22"/>
        </w:rPr>
        <w:t>limitations.</w:t>
      </w:r>
    </w:p>
    <w:p>
      <w:pPr>
        <w:spacing w:after="0" w:line="240" w:lineRule="auto"/>
        <w:jc w:val="both"/>
        <w:rPr>
          <w:rFonts w:ascii="Symbol" w:hAnsi="Symbol"/>
          <w:sz w:val="22"/>
        </w:rPr>
        <w:sectPr>
          <w:pgSz w:w="12240" w:h="15840"/>
          <w:pgMar w:header="0" w:footer="1176" w:top="1360" w:bottom="1420" w:left="1320" w:right="1280"/>
        </w:sectPr>
      </w:pPr>
    </w:p>
    <w:p>
      <w:pPr>
        <w:pStyle w:val="Heading5"/>
        <w:spacing w:before="80"/>
        <w:ind w:left="119"/>
      </w:pPr>
      <w:r>
        <w:rPr>
          <w:spacing w:val="-2"/>
        </w:rPr>
        <w:t>Race</w:t>
      </w:r>
      <w:r>
        <w:rPr>
          <w:spacing w:val="-8"/>
        </w:rPr>
        <w:t> </w:t>
      </w:r>
      <w:r>
        <w:rPr>
          <w:spacing w:val="-2"/>
        </w:rPr>
        <w:t>and</w:t>
      </w:r>
      <w:r>
        <w:rPr>
          <w:spacing w:val="-8"/>
        </w:rPr>
        <w:t> </w:t>
      </w:r>
      <w:r>
        <w:rPr>
          <w:spacing w:val="-2"/>
        </w:rPr>
        <w:t>Ethnic</w:t>
      </w:r>
      <w:r>
        <w:rPr>
          <w:spacing w:val="-8"/>
        </w:rPr>
        <w:t> </w:t>
      </w:r>
      <w:r>
        <w:rPr>
          <w:spacing w:val="-2"/>
        </w:rPr>
        <w:t>Data</w:t>
      </w:r>
      <w:r>
        <w:rPr>
          <w:spacing w:val="-8"/>
        </w:rPr>
        <w:t> </w:t>
      </w:r>
      <w:r>
        <w:rPr>
          <w:spacing w:val="-2"/>
        </w:rPr>
        <w:t>Collection</w:t>
      </w:r>
      <w:r>
        <w:rPr>
          <w:spacing w:val="-8"/>
        </w:rPr>
        <w:t> </w:t>
      </w:r>
      <w:r>
        <w:rPr>
          <w:spacing w:val="-2"/>
        </w:rPr>
        <w:t>and</w:t>
      </w:r>
      <w:r>
        <w:rPr>
          <w:spacing w:val="-8"/>
        </w:rPr>
        <w:t> </w:t>
      </w:r>
      <w:r>
        <w:rPr>
          <w:spacing w:val="-2"/>
        </w:rPr>
        <w:t>Reporting</w:t>
      </w:r>
    </w:p>
    <w:p>
      <w:pPr>
        <w:pStyle w:val="BodyText"/>
        <w:spacing w:line="218" w:lineRule="auto" w:before="49"/>
        <w:ind w:left="119" w:right="152"/>
        <w:jc w:val="both"/>
      </w:pPr>
      <w:r>
        <w:rPr/>
        <w:t>An</w:t>
      </w:r>
      <w:r>
        <w:rPr>
          <w:spacing w:val="-11"/>
        </w:rPr>
        <w:t> </w:t>
      </w:r>
      <w:r>
        <w:rPr/>
        <w:t>applicant shall be given an application package containing the following: Application,</w:t>
      </w:r>
      <w:r>
        <w:rPr>
          <w:spacing w:val="-16"/>
        </w:rPr>
        <w:t> </w:t>
      </w:r>
      <w:r>
        <w:rPr/>
        <w:t>Income Requirements and form </w:t>
      </w:r>
      <w:r>
        <w:rPr>
          <w:u w:val="single"/>
        </w:rPr>
        <w:t>HUD-27061-H</w:t>
      </w:r>
      <w:r>
        <w:rPr/>
        <w:t> “Race and Ethnic Data Reporting Form.” The recipient/managing</w:t>
      </w:r>
      <w:r>
        <w:rPr>
          <w:spacing w:val="-16"/>
        </w:rPr>
        <w:t> </w:t>
      </w:r>
      <w:r>
        <w:rPr/>
        <w:t>agent</w:t>
      </w:r>
      <w:r>
        <w:rPr>
          <w:spacing w:val="-15"/>
        </w:rPr>
        <w:t> </w:t>
      </w:r>
      <w:r>
        <w:rPr/>
        <w:t>is</w:t>
      </w:r>
      <w:r>
        <w:rPr>
          <w:spacing w:val="-15"/>
        </w:rPr>
        <w:t> </w:t>
      </w:r>
      <w:r>
        <w:rPr/>
        <w:t>required</w:t>
      </w:r>
      <w:r>
        <w:rPr>
          <w:spacing w:val="-16"/>
        </w:rPr>
        <w:t> </w:t>
      </w:r>
      <w:r>
        <w:rPr/>
        <w:t>to</w:t>
      </w:r>
      <w:r>
        <w:rPr>
          <w:spacing w:val="-15"/>
        </w:rPr>
        <w:t> </w:t>
      </w:r>
      <w:r>
        <w:rPr/>
        <w:t>offer</w:t>
      </w:r>
      <w:r>
        <w:rPr>
          <w:spacing w:val="-15"/>
        </w:rPr>
        <w:t> </w:t>
      </w:r>
      <w:r>
        <w:rPr/>
        <w:t>each</w:t>
      </w:r>
      <w:r>
        <w:rPr>
          <w:spacing w:val="-15"/>
        </w:rPr>
        <w:t> </w:t>
      </w:r>
      <w:r>
        <w:rPr/>
        <w:t>household</w:t>
      </w:r>
      <w:r>
        <w:rPr>
          <w:spacing w:val="-16"/>
        </w:rPr>
        <w:t> </w:t>
      </w:r>
      <w:r>
        <w:rPr/>
        <w:t>member</w:t>
      </w:r>
      <w:r>
        <w:rPr>
          <w:spacing w:val="-15"/>
        </w:rPr>
        <w:t> </w:t>
      </w:r>
      <w:r>
        <w:rPr/>
        <w:t>the</w:t>
      </w:r>
      <w:r>
        <w:rPr>
          <w:spacing w:val="-15"/>
        </w:rPr>
        <w:t> </w:t>
      </w:r>
      <w:r>
        <w:rPr/>
        <w:t>opportunity</w:t>
      </w:r>
      <w:r>
        <w:rPr>
          <w:spacing w:val="-16"/>
        </w:rPr>
        <w:t> </w:t>
      </w:r>
      <w:r>
        <w:rPr/>
        <w:t>to</w:t>
      </w:r>
      <w:r>
        <w:rPr>
          <w:spacing w:val="-5"/>
        </w:rPr>
        <w:t> </w:t>
      </w:r>
      <w:r>
        <w:rPr/>
        <w:t>complete </w:t>
      </w:r>
      <w:r>
        <w:rPr>
          <w:spacing w:val="-2"/>
        </w:rPr>
        <w:t>the</w:t>
      </w:r>
      <w:r>
        <w:rPr>
          <w:spacing w:val="-14"/>
        </w:rPr>
        <w:t> </w:t>
      </w:r>
      <w:r>
        <w:rPr>
          <w:spacing w:val="-2"/>
        </w:rPr>
        <w:t>form.</w:t>
      </w:r>
      <w:r>
        <w:rPr>
          <w:spacing w:val="-13"/>
        </w:rPr>
        <w:t> </w:t>
      </w:r>
      <w:r>
        <w:rPr>
          <w:spacing w:val="-2"/>
        </w:rPr>
        <w:t>Parents</w:t>
      </w:r>
      <w:r>
        <w:rPr>
          <w:spacing w:val="-13"/>
        </w:rPr>
        <w:t> </w:t>
      </w:r>
      <w:r>
        <w:rPr>
          <w:spacing w:val="-2"/>
        </w:rPr>
        <w:t>or</w:t>
      </w:r>
      <w:r>
        <w:rPr>
          <w:spacing w:val="-14"/>
        </w:rPr>
        <w:t> </w:t>
      </w:r>
      <w:r>
        <w:rPr>
          <w:spacing w:val="-2"/>
        </w:rPr>
        <w:t>guardians</w:t>
      </w:r>
      <w:r>
        <w:rPr>
          <w:spacing w:val="-13"/>
        </w:rPr>
        <w:t> </w:t>
      </w:r>
      <w:r>
        <w:rPr>
          <w:spacing w:val="-2"/>
        </w:rPr>
        <w:t>are</w:t>
      </w:r>
      <w:r>
        <w:rPr>
          <w:spacing w:val="-13"/>
        </w:rPr>
        <w:t> </w:t>
      </w:r>
      <w:r>
        <w:rPr>
          <w:spacing w:val="-2"/>
        </w:rPr>
        <w:t>to</w:t>
      </w:r>
      <w:r>
        <w:rPr>
          <w:spacing w:val="-13"/>
        </w:rPr>
        <w:t> </w:t>
      </w:r>
      <w:r>
        <w:rPr>
          <w:spacing w:val="-2"/>
        </w:rPr>
        <w:t>complete</w:t>
      </w:r>
      <w:r>
        <w:rPr>
          <w:spacing w:val="-14"/>
        </w:rPr>
        <w:t> </w:t>
      </w:r>
      <w:r>
        <w:rPr>
          <w:spacing w:val="-2"/>
        </w:rPr>
        <w:t>the</w:t>
      </w:r>
      <w:r>
        <w:rPr>
          <w:spacing w:val="-13"/>
        </w:rPr>
        <w:t> </w:t>
      </w:r>
      <w:r>
        <w:rPr>
          <w:spacing w:val="-2"/>
        </w:rPr>
        <w:t>form</w:t>
      </w:r>
      <w:r>
        <w:rPr>
          <w:spacing w:val="-13"/>
        </w:rPr>
        <w:t> </w:t>
      </w:r>
      <w:r>
        <w:rPr>
          <w:spacing w:val="-2"/>
        </w:rPr>
        <w:t>for</w:t>
      </w:r>
      <w:r>
        <w:rPr>
          <w:spacing w:val="-14"/>
        </w:rPr>
        <w:t> </w:t>
      </w:r>
      <w:r>
        <w:rPr>
          <w:spacing w:val="-2"/>
        </w:rPr>
        <w:t>children</w:t>
      </w:r>
      <w:r>
        <w:rPr>
          <w:spacing w:val="-13"/>
        </w:rPr>
        <w:t> </w:t>
      </w:r>
      <w:r>
        <w:rPr>
          <w:spacing w:val="-2"/>
        </w:rPr>
        <w:t>under</w:t>
      </w:r>
      <w:r>
        <w:rPr>
          <w:spacing w:val="-13"/>
        </w:rPr>
        <w:t> </w:t>
      </w:r>
      <w:r>
        <w:rPr>
          <w:spacing w:val="-2"/>
        </w:rPr>
        <w:t>the</w:t>
      </w:r>
      <w:r>
        <w:rPr>
          <w:spacing w:val="-13"/>
        </w:rPr>
        <w:t> </w:t>
      </w:r>
      <w:r>
        <w:rPr>
          <w:spacing w:val="-2"/>
        </w:rPr>
        <w:t>age</w:t>
      </w:r>
      <w:r>
        <w:rPr>
          <w:spacing w:val="-14"/>
        </w:rPr>
        <w:t> </w:t>
      </w:r>
      <w:r>
        <w:rPr>
          <w:spacing w:val="-2"/>
        </w:rPr>
        <w:t>of</w:t>
      </w:r>
      <w:r>
        <w:rPr>
          <w:spacing w:val="-13"/>
        </w:rPr>
        <w:t> </w:t>
      </w:r>
      <w:r>
        <w:rPr>
          <w:spacing w:val="-2"/>
        </w:rPr>
        <w:t>18.</w:t>
      </w:r>
      <w:r>
        <w:rPr>
          <w:spacing w:val="-13"/>
        </w:rPr>
        <w:t> </w:t>
      </w:r>
      <w:r>
        <w:rPr>
          <w:spacing w:val="-2"/>
        </w:rPr>
        <w:t>Completed </w:t>
      </w:r>
      <w:r>
        <w:rPr/>
        <w:t>documentsfor</w:t>
      </w:r>
      <w:r>
        <w:rPr>
          <w:spacing w:val="-35"/>
        </w:rPr>
        <w:t> </w:t>
      </w:r>
      <w:r>
        <w:rPr/>
        <w:t>the entire</w:t>
      </w:r>
      <w:r>
        <w:rPr>
          <w:spacing w:val="-24"/>
        </w:rPr>
        <w:t> </w:t>
      </w:r>
      <w:r>
        <w:rPr/>
        <w:t>household</w:t>
      </w:r>
      <w:r>
        <w:rPr>
          <w:spacing w:val="-20"/>
        </w:rPr>
        <w:t> </w:t>
      </w:r>
      <w:r>
        <w:rPr/>
        <w:t>shall</w:t>
      </w:r>
      <w:r>
        <w:rPr>
          <w:spacing w:val="-25"/>
        </w:rPr>
        <w:t> </w:t>
      </w:r>
      <w:r>
        <w:rPr/>
        <w:t>be</w:t>
      </w:r>
      <w:r>
        <w:rPr>
          <w:spacing w:val="-24"/>
        </w:rPr>
        <w:t> </w:t>
      </w:r>
      <w:r>
        <w:rPr/>
        <w:t>stapled</w:t>
      </w:r>
      <w:r>
        <w:rPr>
          <w:spacing w:val="-24"/>
        </w:rPr>
        <w:t> </w:t>
      </w:r>
      <w:r>
        <w:rPr/>
        <w:t>together</w:t>
      </w:r>
      <w:r>
        <w:rPr>
          <w:spacing w:val="-18"/>
        </w:rPr>
        <w:t> </w:t>
      </w:r>
      <w:r>
        <w:rPr/>
        <w:t>and</w:t>
      </w:r>
      <w:r>
        <w:rPr>
          <w:spacing w:val="-24"/>
        </w:rPr>
        <w:t> </w:t>
      </w:r>
      <w:r>
        <w:rPr/>
        <w:t>place</w:t>
      </w:r>
      <w:r>
        <w:rPr>
          <w:spacing w:val="-24"/>
        </w:rPr>
        <w:t> </w:t>
      </w:r>
      <w:r>
        <w:rPr/>
        <w:t>in</w:t>
      </w:r>
      <w:r>
        <w:rPr>
          <w:spacing w:val="-24"/>
        </w:rPr>
        <w:t> </w:t>
      </w:r>
      <w:r>
        <w:rPr/>
        <w:t>the</w:t>
      </w:r>
      <w:r>
        <w:rPr>
          <w:spacing w:val="-24"/>
        </w:rPr>
        <w:t> </w:t>
      </w:r>
      <w:r>
        <w:rPr/>
        <w:t>household’s</w:t>
      </w:r>
      <w:r>
        <w:rPr>
          <w:spacing w:val="-24"/>
        </w:rPr>
        <w:t> </w:t>
      </w:r>
      <w:r>
        <w:rPr/>
        <w:t>file.</w:t>
      </w:r>
    </w:p>
    <w:p>
      <w:pPr>
        <w:pStyle w:val="BodyText"/>
      </w:pPr>
    </w:p>
    <w:p>
      <w:pPr>
        <w:pStyle w:val="Heading5"/>
      </w:pPr>
      <w:r>
        <w:rPr>
          <w:spacing w:val="-2"/>
        </w:rPr>
        <w:t>Compliance</w:t>
      </w:r>
      <w:r>
        <w:rPr>
          <w:spacing w:val="-4"/>
        </w:rPr>
        <w:t> </w:t>
      </w:r>
      <w:r>
        <w:rPr>
          <w:spacing w:val="-2"/>
        </w:rPr>
        <w:t>Assessment</w:t>
      </w:r>
    </w:p>
    <w:p>
      <w:pPr>
        <w:pStyle w:val="ListParagraph"/>
        <w:numPr>
          <w:ilvl w:val="0"/>
          <w:numId w:val="25"/>
        </w:numPr>
        <w:tabs>
          <w:tab w:pos="840" w:val="left" w:leader="none"/>
        </w:tabs>
        <w:spacing w:line="235" w:lineRule="auto" w:before="55" w:after="0"/>
        <w:ind w:left="840" w:right="153" w:hanging="360"/>
        <w:jc w:val="both"/>
        <w:rPr>
          <w:rFonts w:ascii="Symbol" w:hAnsi="Symbol"/>
          <w:sz w:val="24"/>
        </w:rPr>
      </w:pPr>
      <w:r>
        <w:rPr/>
        <w:pict>
          <v:shape style="position:absolute;margin-left:90.065002pt;margin-top:16.474138pt;width:395.3pt;height:419pt;mso-position-horizontal-relative:page;mso-position-vertical-relative:paragraph;z-index:-17688064" id="docshape111" coordorigin="1801,329" coordsize="7906,8380" path="m4498,7593l4492,7520,4477,7442,4455,7359,4432,7290,4403,7218,4367,7143,4325,7065,4276,6984,4237,6925,4200,6874,4200,7560,4197,7616,4186,7673,4167,7731,4138,7790,4097,7853,4044,7919,3979,7988,3674,8294,2216,6836,2517,6535,2598,6459,2672,6399,2740,6356,2801,6329,2868,6315,2941,6311,3020,6317,3105,6335,3195,6364,3255,6390,3317,6422,3380,6461,3446,6506,3514,6558,3584,6616,3656,6681,3729,6752,3789,6813,3845,6874,3896,6933,3943,6990,3986,7047,4025,7102,4059,7156,4101,7231,4136,7303,4163,7373,4183,7439,4196,7504,4200,7560,4200,6874,4194,6865,4148,6805,4098,6745,4045,6684,3989,6622,3929,6561,3865,6498,3801,6440,3737,6385,3673,6333,3643,6311,3609,6286,3546,6241,3482,6200,3419,6162,3346,6124,3274,6092,3203,6065,3132,6043,3062,6026,2992,6014,2923,6006,2850,6005,2779,6012,2709,6027,2642,6049,2577,6080,2528,6108,2476,6145,2420,6191,2359,6245,2294,6307,1801,6800,3710,8709,4124,8294,4226,8192,4287,8127,4341,8062,4386,7996,4424,7929,4454,7863,4476,7796,4491,7729,4498,7662,4498,7593xm6418,6000l6056,5872,5650,5730,5561,5700,5475,5676,5393,5657,5365,5652,5314,5643,5239,5633,5193,5631,5143,5634,5089,5641,5030,5652,5073,5583,5109,5513,5136,5444,5154,5375,5164,5306,5165,5238,5157,5170,5139,5092,5111,5016,5075,4942,5030,4869,4976,4798,4956,4776,4913,4730,4872,4691,4872,5249,4868,5304,4854,5359,4830,5416,4794,5474,4747,5535,4687,5599,4280,6006,3649,5375,4102,4922,4166,4865,4229,4821,4293,4792,4358,4777,4422,4776,4501,4791,4577,4821,4649,4865,4718,4925,4761,4972,4797,5023,4827,5077,4851,5133,4867,5192,4872,5249,4872,4691,4849,4670,4782,4618,4713,4572,4641,4533,4566,4501,4474,4473,4386,4460,4303,4462,4225,4478,4163,4503,4098,4540,4030,4588,3958,4648,3883,4719,3248,5353,5157,7262,5346,7072,4499,6225,4718,6006,4753,5971,4783,5944,4810,5923,4833,5909,4863,5895,4896,5884,4932,5877,4971,5872,5014,5873,5066,5878,5125,5888,5194,5904,5256,5922,5328,5943,5407,5968,5496,5997,6180,6238,6418,6000xm7780,4638l7415,4443,6555,3989,6555,4296,6070,4781,6030,4709,5989,4638,5748,4207,5708,4135,5668,4064,5629,3998,5590,3934,5550,3870,5509,3807,5467,3744,5424,3683,5380,3622,5436,3658,5498,3696,5564,3736,5635,3778,5792,3868,6555,4296,6555,3989,5862,3622,5286,3315,5082,3519,5277,3870,5316,3940,5701,4638,6207,5557,6441,5978,6642,5776,6565,5643,6298,5175,6221,5041,6481,4781,6820,4443,7173,4638,7565,4854,7780,4638xm8131,4287l7264,3420,7936,2749,7711,2523,7039,3195,6448,2604,7224,1828,6999,1603,6033,2568,7941,4477,8131,4287xm9707,2711l8024,1028,8497,555,8272,329,7138,1464,7363,1689,7834,1218,9517,2901,9707,2711xe" filled="true" fillcolor="#c0c0c0" stroked="false">
            <v:path arrowok="t"/>
            <v:fill opacity="32896f" type="solid"/>
            <w10:wrap type="none"/>
          </v:shape>
        </w:pict>
      </w:r>
      <w:r>
        <w:rPr>
          <w:sz w:val="22"/>
        </w:rPr>
        <w:t>The recipient/managing agent will review the Affirmative Marketing Plan every year</w:t>
      </w:r>
      <w:r>
        <w:rPr>
          <w:spacing w:val="38"/>
          <w:sz w:val="22"/>
        </w:rPr>
        <w:t> </w:t>
      </w:r>
      <w:r>
        <w:rPr>
          <w:sz w:val="22"/>
        </w:rPr>
        <w:t>and update as needed to ensure compliance. The advertising sources will be included</w:t>
      </w:r>
      <w:r>
        <w:rPr>
          <w:spacing w:val="-11"/>
          <w:sz w:val="22"/>
        </w:rPr>
        <w:t> </w:t>
      </w:r>
      <w:r>
        <w:rPr>
          <w:sz w:val="22"/>
        </w:rPr>
        <w:t>in</w:t>
      </w:r>
      <w:r>
        <w:rPr>
          <w:spacing w:val="-16"/>
          <w:sz w:val="22"/>
        </w:rPr>
        <w:t> </w:t>
      </w:r>
      <w:r>
        <w:rPr>
          <w:sz w:val="22"/>
        </w:rPr>
        <w:t>the review</w:t>
      </w:r>
      <w:r>
        <w:rPr>
          <w:spacing w:val="-12"/>
          <w:sz w:val="22"/>
        </w:rPr>
        <w:t> </w:t>
      </w:r>
      <w:r>
        <w:rPr>
          <w:sz w:val="22"/>
        </w:rPr>
        <w:t>to</w:t>
      </w:r>
      <w:r>
        <w:rPr>
          <w:spacing w:val="-12"/>
          <w:sz w:val="22"/>
        </w:rPr>
        <w:t> </w:t>
      </w:r>
      <w:r>
        <w:rPr>
          <w:sz w:val="22"/>
        </w:rPr>
        <w:t>determine</w:t>
      </w:r>
      <w:r>
        <w:rPr>
          <w:spacing w:val="-8"/>
          <w:sz w:val="22"/>
        </w:rPr>
        <w:t> </w:t>
      </w:r>
      <w:r>
        <w:rPr>
          <w:sz w:val="22"/>
        </w:rPr>
        <w:t>if</w:t>
      </w:r>
      <w:r>
        <w:rPr>
          <w:spacing w:val="-12"/>
          <w:sz w:val="22"/>
        </w:rPr>
        <w:t> </w:t>
      </w:r>
      <w:r>
        <w:rPr>
          <w:sz w:val="22"/>
        </w:rPr>
        <w:t>past</w:t>
      </w:r>
      <w:r>
        <w:rPr>
          <w:spacing w:val="-6"/>
          <w:sz w:val="22"/>
        </w:rPr>
        <w:t> </w:t>
      </w:r>
      <w:r>
        <w:rPr>
          <w:sz w:val="22"/>
        </w:rPr>
        <w:t>sources</w:t>
      </w:r>
      <w:r>
        <w:rPr>
          <w:spacing w:val="-10"/>
          <w:sz w:val="22"/>
        </w:rPr>
        <w:t> </w:t>
      </w:r>
      <w:r>
        <w:rPr>
          <w:sz w:val="22"/>
        </w:rPr>
        <w:t>should</w:t>
      </w:r>
      <w:r>
        <w:rPr>
          <w:spacing w:val="-10"/>
          <w:sz w:val="22"/>
        </w:rPr>
        <w:t> </w:t>
      </w:r>
      <w:r>
        <w:rPr>
          <w:sz w:val="22"/>
        </w:rPr>
        <w:t>be</w:t>
      </w:r>
      <w:r>
        <w:rPr>
          <w:spacing w:val="-10"/>
          <w:sz w:val="22"/>
        </w:rPr>
        <w:t> </w:t>
      </w:r>
      <w:r>
        <w:rPr>
          <w:sz w:val="22"/>
        </w:rPr>
        <w:t>changed</w:t>
      </w:r>
      <w:r>
        <w:rPr>
          <w:spacing w:val="-8"/>
          <w:sz w:val="22"/>
        </w:rPr>
        <w:t> </w:t>
      </w:r>
      <w:r>
        <w:rPr>
          <w:sz w:val="22"/>
        </w:rPr>
        <w:t>or</w:t>
      </w:r>
      <w:r>
        <w:rPr>
          <w:spacing w:val="-9"/>
          <w:sz w:val="22"/>
        </w:rPr>
        <w:t> </w:t>
      </w:r>
      <w:r>
        <w:rPr>
          <w:sz w:val="22"/>
        </w:rPr>
        <w:t>expanded.</w:t>
      </w:r>
    </w:p>
    <w:p>
      <w:pPr>
        <w:pStyle w:val="BodyText"/>
        <w:spacing w:before="7"/>
      </w:pPr>
    </w:p>
    <w:p>
      <w:pPr>
        <w:pStyle w:val="ListParagraph"/>
        <w:numPr>
          <w:ilvl w:val="0"/>
          <w:numId w:val="25"/>
        </w:numPr>
        <w:tabs>
          <w:tab w:pos="840" w:val="left" w:leader="none"/>
        </w:tabs>
        <w:spacing w:line="237" w:lineRule="auto" w:before="0" w:after="0"/>
        <w:ind w:left="838" w:right="154" w:hanging="359"/>
        <w:jc w:val="both"/>
        <w:rPr>
          <w:rFonts w:ascii="Symbol" w:hAnsi="Symbol"/>
          <w:sz w:val="24"/>
        </w:rPr>
      </w:pPr>
      <w:r>
        <w:rPr>
          <w:sz w:val="22"/>
        </w:rPr>
        <w:t>The recipient/managing agent will annually assess the success of affirmative marketing actions</w:t>
      </w:r>
      <w:r>
        <w:rPr>
          <w:spacing w:val="-11"/>
          <w:sz w:val="22"/>
        </w:rPr>
        <w:t> </w:t>
      </w:r>
      <w:r>
        <w:rPr>
          <w:sz w:val="22"/>
        </w:rPr>
        <w:t>for</w:t>
      </w:r>
      <w:r>
        <w:rPr>
          <w:spacing w:val="-12"/>
          <w:sz w:val="22"/>
        </w:rPr>
        <w:t> </w:t>
      </w:r>
      <w:r>
        <w:rPr>
          <w:sz w:val="22"/>
        </w:rPr>
        <w:t>the</w:t>
      </w:r>
      <w:r>
        <w:rPr>
          <w:spacing w:val="-9"/>
          <w:sz w:val="22"/>
        </w:rPr>
        <w:t> </w:t>
      </w:r>
      <w:r>
        <w:rPr>
          <w:sz w:val="22"/>
        </w:rPr>
        <w:t>project.</w:t>
      </w:r>
      <w:r>
        <w:rPr>
          <w:spacing w:val="-10"/>
          <w:sz w:val="22"/>
        </w:rPr>
        <w:t> </w:t>
      </w:r>
      <w:r>
        <w:rPr>
          <w:sz w:val="22"/>
        </w:rPr>
        <w:t>If</w:t>
      </w:r>
      <w:r>
        <w:rPr>
          <w:spacing w:val="-10"/>
          <w:sz w:val="22"/>
        </w:rPr>
        <w:t> </w:t>
      </w:r>
      <w:r>
        <w:rPr>
          <w:sz w:val="22"/>
        </w:rPr>
        <w:t>the</w:t>
      </w:r>
      <w:r>
        <w:rPr>
          <w:spacing w:val="-11"/>
          <w:sz w:val="22"/>
        </w:rPr>
        <w:t> </w:t>
      </w:r>
      <w:r>
        <w:rPr>
          <w:sz w:val="22"/>
        </w:rPr>
        <w:t>demographic</w:t>
      </w:r>
      <w:r>
        <w:rPr>
          <w:spacing w:val="-10"/>
          <w:sz w:val="22"/>
        </w:rPr>
        <w:t> </w:t>
      </w:r>
      <w:r>
        <w:rPr>
          <w:sz w:val="22"/>
        </w:rPr>
        <w:t>data</w:t>
      </w:r>
      <w:r>
        <w:rPr>
          <w:spacing w:val="-13"/>
          <w:sz w:val="22"/>
        </w:rPr>
        <w:t> </w:t>
      </w:r>
      <w:r>
        <w:rPr>
          <w:sz w:val="22"/>
        </w:rPr>
        <w:t>of</w:t>
      </w:r>
      <w:r>
        <w:rPr>
          <w:spacing w:val="-12"/>
          <w:sz w:val="22"/>
        </w:rPr>
        <w:t> </w:t>
      </w:r>
      <w:r>
        <w:rPr>
          <w:sz w:val="22"/>
        </w:rPr>
        <w:t>the</w:t>
      </w:r>
      <w:r>
        <w:rPr>
          <w:spacing w:val="-9"/>
          <w:sz w:val="22"/>
        </w:rPr>
        <w:t> </w:t>
      </w:r>
      <w:r>
        <w:rPr>
          <w:sz w:val="22"/>
        </w:rPr>
        <w:t>residents</w:t>
      </w:r>
      <w:r>
        <w:rPr>
          <w:spacing w:val="-11"/>
          <w:sz w:val="22"/>
        </w:rPr>
        <w:t> </w:t>
      </w:r>
      <w:r>
        <w:rPr>
          <w:sz w:val="22"/>
        </w:rPr>
        <w:t>vary</w:t>
      </w:r>
      <w:r>
        <w:rPr>
          <w:spacing w:val="40"/>
          <w:sz w:val="22"/>
        </w:rPr>
        <w:t> </w:t>
      </w:r>
      <w:r>
        <w:rPr>
          <w:sz w:val="22"/>
        </w:rPr>
        <w:t>significantly</w:t>
      </w:r>
      <w:r>
        <w:rPr>
          <w:spacing w:val="17"/>
          <w:sz w:val="22"/>
        </w:rPr>
        <w:t> </w:t>
      </w:r>
      <w:r>
        <w:rPr>
          <w:sz w:val="22"/>
        </w:rPr>
        <w:t>from the jurisdiction’s population data, advertising efforts and outreach will be targeted to underrepresentedgroupsin</w:t>
      </w:r>
      <w:r>
        <w:rPr>
          <w:spacing w:val="-16"/>
          <w:sz w:val="22"/>
        </w:rPr>
        <w:t> </w:t>
      </w:r>
      <w:r>
        <w:rPr>
          <w:sz w:val="22"/>
        </w:rPr>
        <w:t>anattempttobalancetheresidents</w:t>
      </w:r>
      <w:r>
        <w:rPr>
          <w:spacing w:val="-15"/>
          <w:sz w:val="22"/>
        </w:rPr>
        <w:t> </w:t>
      </w:r>
      <w:r>
        <w:rPr>
          <w:sz w:val="22"/>
        </w:rPr>
        <w:t>with</w:t>
      </w:r>
      <w:r>
        <w:rPr>
          <w:spacing w:val="-12"/>
          <w:sz w:val="22"/>
        </w:rPr>
        <w:t> </w:t>
      </w:r>
      <w:r>
        <w:rPr>
          <w:sz w:val="22"/>
        </w:rPr>
        <w:t>the</w:t>
      </w:r>
      <w:r>
        <w:rPr>
          <w:spacing w:val="-1"/>
          <w:sz w:val="22"/>
        </w:rPr>
        <w:t> </w:t>
      </w:r>
      <w:r>
        <w:rPr>
          <w:sz w:val="22"/>
        </w:rPr>
        <w:t>demographics of the jurisdiction.</w:t>
      </w:r>
      <w:r>
        <w:rPr>
          <w:spacing w:val="-16"/>
          <w:sz w:val="22"/>
        </w:rPr>
        <w:t> </w:t>
      </w:r>
      <w:r>
        <w:rPr>
          <w:sz w:val="22"/>
        </w:rPr>
        <w:t>The</w:t>
      </w:r>
      <w:r>
        <w:rPr>
          <w:spacing w:val="-10"/>
          <w:sz w:val="22"/>
        </w:rPr>
        <w:t> </w:t>
      </w:r>
      <w:r>
        <w:rPr>
          <w:sz w:val="22"/>
        </w:rPr>
        <w:t>recipient/managing agent shall submit</w:t>
      </w:r>
      <w:r>
        <w:rPr>
          <w:spacing w:val="-15"/>
          <w:sz w:val="22"/>
        </w:rPr>
        <w:t> </w:t>
      </w:r>
      <w:r>
        <w:rPr>
          <w:sz w:val="22"/>
        </w:rPr>
        <w:t>any</w:t>
      </w:r>
      <w:r>
        <w:rPr>
          <w:spacing w:val="-16"/>
          <w:sz w:val="22"/>
        </w:rPr>
        <w:t> </w:t>
      </w:r>
      <w:r>
        <w:rPr>
          <w:sz w:val="22"/>
        </w:rPr>
        <w:t>changes</w:t>
      </w:r>
      <w:r>
        <w:rPr>
          <w:spacing w:val="-15"/>
          <w:sz w:val="22"/>
        </w:rPr>
        <w:t> </w:t>
      </w:r>
      <w:r>
        <w:rPr>
          <w:sz w:val="22"/>
        </w:rPr>
        <w:t>to</w:t>
      </w:r>
      <w:r>
        <w:rPr>
          <w:spacing w:val="-15"/>
          <w:sz w:val="22"/>
        </w:rPr>
        <w:t> </w:t>
      </w:r>
      <w:r>
        <w:rPr>
          <w:sz w:val="22"/>
        </w:rPr>
        <w:t>the</w:t>
      </w:r>
      <w:r>
        <w:rPr>
          <w:spacing w:val="-16"/>
          <w:sz w:val="22"/>
        </w:rPr>
        <w:t> </w:t>
      </w:r>
      <w:r>
        <w:rPr>
          <w:sz w:val="22"/>
        </w:rPr>
        <w:t>plan</w:t>
      </w:r>
      <w:r>
        <w:rPr>
          <w:spacing w:val="-15"/>
          <w:sz w:val="22"/>
        </w:rPr>
        <w:t> </w:t>
      </w:r>
      <w:r>
        <w:rPr>
          <w:sz w:val="22"/>
        </w:rPr>
        <w:t>to</w:t>
      </w:r>
      <w:r>
        <w:rPr>
          <w:spacing w:val="-15"/>
          <w:sz w:val="22"/>
        </w:rPr>
        <w:t> </w:t>
      </w:r>
      <w:r>
        <w:rPr>
          <w:sz w:val="22"/>
        </w:rPr>
        <w:t>the</w:t>
      </w:r>
      <w:r>
        <w:rPr>
          <w:spacing w:val="-15"/>
          <w:sz w:val="22"/>
        </w:rPr>
        <w:t> </w:t>
      </w:r>
      <w:r>
        <w:rPr>
          <w:sz w:val="22"/>
        </w:rPr>
        <w:t>Fair Housing</w:t>
      </w:r>
      <w:r>
        <w:rPr>
          <w:spacing w:val="-18"/>
          <w:sz w:val="22"/>
        </w:rPr>
        <w:t> </w:t>
      </w:r>
      <w:r>
        <w:rPr>
          <w:sz w:val="22"/>
        </w:rPr>
        <w:t>Office.</w:t>
      </w:r>
    </w:p>
    <w:p>
      <w:pPr>
        <w:pStyle w:val="BodyText"/>
        <w:spacing w:before="7"/>
      </w:pPr>
    </w:p>
    <w:p>
      <w:pPr>
        <w:pStyle w:val="Heading5"/>
        <w:spacing w:before="1"/>
        <w:ind w:left="119"/>
      </w:pPr>
      <w:r>
        <w:rPr/>
        <w:t>Record</w:t>
      </w:r>
      <w:r>
        <w:rPr>
          <w:spacing w:val="-14"/>
        </w:rPr>
        <w:t> </w:t>
      </w:r>
      <w:r>
        <w:rPr>
          <w:spacing w:val="-2"/>
        </w:rPr>
        <w:t>Keeping</w:t>
      </w:r>
    </w:p>
    <w:p>
      <w:pPr>
        <w:pStyle w:val="ListParagraph"/>
        <w:numPr>
          <w:ilvl w:val="0"/>
          <w:numId w:val="25"/>
        </w:numPr>
        <w:tabs>
          <w:tab w:pos="840" w:val="left" w:leader="none"/>
        </w:tabs>
        <w:spacing w:line="237" w:lineRule="auto" w:before="53" w:after="0"/>
        <w:ind w:left="839" w:right="153" w:hanging="360"/>
        <w:jc w:val="both"/>
        <w:rPr>
          <w:rFonts w:ascii="Symbol" w:hAnsi="Symbol"/>
          <w:sz w:val="24"/>
        </w:rPr>
      </w:pPr>
      <w:r>
        <w:rPr>
          <w:sz w:val="22"/>
        </w:rPr>
        <w:t>The assigned recipient/managing agent shall establish and maintain an Affirmative Marketing file to hold advertisements, flyers, and other public information documents to demonstrate that the appropriate logo and language have been used. Additionally, staff shall</w:t>
      </w:r>
      <w:r>
        <w:rPr>
          <w:spacing w:val="-13"/>
          <w:sz w:val="22"/>
        </w:rPr>
        <w:t> </w:t>
      </w:r>
      <w:r>
        <w:rPr>
          <w:sz w:val="22"/>
        </w:rPr>
        <w:t>keep</w:t>
      </w:r>
      <w:r>
        <w:rPr>
          <w:spacing w:val="-12"/>
          <w:sz w:val="22"/>
        </w:rPr>
        <w:t> </w:t>
      </w:r>
      <w:r>
        <w:rPr>
          <w:sz w:val="22"/>
        </w:rPr>
        <w:t>records</w:t>
      </w:r>
      <w:r>
        <w:rPr>
          <w:spacing w:val="-14"/>
          <w:sz w:val="22"/>
        </w:rPr>
        <w:t> </w:t>
      </w:r>
      <w:r>
        <w:rPr>
          <w:sz w:val="22"/>
        </w:rPr>
        <w:t>of</w:t>
      </w:r>
      <w:r>
        <w:rPr>
          <w:spacing w:val="-13"/>
          <w:sz w:val="22"/>
        </w:rPr>
        <w:t> </w:t>
      </w:r>
      <w:r>
        <w:rPr>
          <w:sz w:val="22"/>
        </w:rPr>
        <w:t>its</w:t>
      </w:r>
      <w:r>
        <w:rPr>
          <w:spacing w:val="-14"/>
          <w:sz w:val="22"/>
        </w:rPr>
        <w:t> </w:t>
      </w:r>
      <w:r>
        <w:rPr>
          <w:sz w:val="22"/>
        </w:rPr>
        <w:t>activities</w:t>
      </w:r>
      <w:r>
        <w:rPr>
          <w:spacing w:val="-12"/>
          <w:sz w:val="22"/>
        </w:rPr>
        <w:t> </w:t>
      </w:r>
      <w:r>
        <w:rPr>
          <w:sz w:val="22"/>
        </w:rPr>
        <w:t>in</w:t>
      </w:r>
      <w:r>
        <w:rPr>
          <w:spacing w:val="-12"/>
          <w:sz w:val="22"/>
        </w:rPr>
        <w:t> </w:t>
      </w:r>
      <w:r>
        <w:rPr>
          <w:sz w:val="22"/>
        </w:rPr>
        <w:t>implementing</w:t>
      </w:r>
      <w:r>
        <w:rPr>
          <w:spacing w:val="-14"/>
          <w:sz w:val="22"/>
        </w:rPr>
        <w:t> </w:t>
      </w:r>
      <w:r>
        <w:rPr>
          <w:sz w:val="22"/>
        </w:rPr>
        <w:t>the</w:t>
      </w:r>
      <w:r>
        <w:rPr>
          <w:spacing w:val="-12"/>
          <w:sz w:val="22"/>
        </w:rPr>
        <w:t> </w:t>
      </w:r>
      <w:r>
        <w:rPr>
          <w:sz w:val="22"/>
        </w:rPr>
        <w:t>affirmative</w:t>
      </w:r>
      <w:r>
        <w:rPr>
          <w:spacing w:val="-15"/>
          <w:sz w:val="22"/>
        </w:rPr>
        <w:t> </w:t>
      </w:r>
      <w:r>
        <w:rPr>
          <w:sz w:val="22"/>
        </w:rPr>
        <w:t>marketing</w:t>
      </w:r>
      <w:r>
        <w:rPr>
          <w:spacing w:val="-14"/>
          <w:sz w:val="22"/>
        </w:rPr>
        <w:t> </w:t>
      </w:r>
      <w:r>
        <w:rPr>
          <w:sz w:val="22"/>
        </w:rPr>
        <w:t>plan,</w:t>
      </w:r>
      <w:r>
        <w:rPr>
          <w:spacing w:val="-11"/>
          <w:sz w:val="22"/>
        </w:rPr>
        <w:t> </w:t>
      </w:r>
      <w:r>
        <w:rPr>
          <w:sz w:val="22"/>
        </w:rPr>
        <w:t>including other community outreach efforts and its annual analysis.</w:t>
      </w:r>
    </w:p>
    <w:p>
      <w:pPr>
        <w:pStyle w:val="ListParagraph"/>
        <w:numPr>
          <w:ilvl w:val="0"/>
          <w:numId w:val="25"/>
        </w:numPr>
        <w:tabs>
          <w:tab w:pos="840" w:val="left" w:leader="none"/>
        </w:tabs>
        <w:spacing w:line="235" w:lineRule="auto" w:before="10" w:after="0"/>
        <w:ind w:left="839" w:right="157" w:hanging="360"/>
        <w:jc w:val="both"/>
        <w:rPr>
          <w:rFonts w:ascii="Symbol" w:hAnsi="Symbol"/>
          <w:sz w:val="24"/>
        </w:rPr>
      </w:pPr>
      <w:r>
        <w:rPr>
          <w:sz w:val="22"/>
        </w:rPr>
        <w:t>Recipient/managing agent shall keep up-to-date records based on census data, applications, and surveys about community residents, recipients and sub-recipients, residents of the project, and records about tenant selection or rejection.</w:t>
      </w:r>
    </w:p>
    <w:p>
      <w:pPr>
        <w:pStyle w:val="ListParagraph"/>
        <w:numPr>
          <w:ilvl w:val="0"/>
          <w:numId w:val="25"/>
        </w:numPr>
        <w:tabs>
          <w:tab w:pos="840" w:val="left" w:leader="none"/>
        </w:tabs>
        <w:spacing w:line="235" w:lineRule="auto" w:before="11" w:after="0"/>
        <w:ind w:left="839" w:right="155" w:hanging="360"/>
        <w:jc w:val="both"/>
        <w:rPr>
          <w:rFonts w:ascii="Symbol" w:hAnsi="Symbol"/>
          <w:sz w:val="24"/>
        </w:rPr>
      </w:pPr>
      <w:r>
        <w:rPr>
          <w:sz w:val="22"/>
        </w:rPr>
        <w:t>The recipient/managing agent shall provide City staff access to any pertinent books, documents, papers or other records of their properties, as necessary, for determining compliance with civil rights and nondiscrimination requirements.</w:t>
      </w:r>
    </w:p>
    <w:p>
      <w:pPr>
        <w:spacing w:after="0" w:line="235" w:lineRule="auto"/>
        <w:jc w:val="both"/>
        <w:rPr>
          <w:rFonts w:ascii="Symbol" w:hAnsi="Symbol"/>
          <w:sz w:val="24"/>
        </w:rPr>
        <w:sectPr>
          <w:pgSz w:w="12240" w:h="15840"/>
          <w:pgMar w:header="0" w:footer="1176" w:top="1360" w:bottom="1420" w:left="1320" w:right="1280"/>
        </w:sectPr>
      </w:pPr>
    </w:p>
    <w:p>
      <w:pPr>
        <w:pStyle w:val="Heading3"/>
        <w:jc w:val="both"/>
      </w:pPr>
      <w:bookmarkStart w:name="Environmental Review Policy, Procedures," w:id="80"/>
      <w:bookmarkEnd w:id="80"/>
      <w:r>
        <w:rPr/>
      </w:r>
      <w:bookmarkStart w:name="_bookmark34" w:id="81"/>
      <w:bookmarkEnd w:id="81"/>
      <w:r>
        <w:rPr/>
      </w:r>
      <w:r>
        <w:rPr>
          <w:color w:val="001F5F"/>
        </w:rPr>
        <w:t>Environmental</w:t>
      </w:r>
      <w:r>
        <w:rPr>
          <w:color w:val="001F5F"/>
          <w:spacing w:val="-15"/>
        </w:rPr>
        <w:t> </w:t>
      </w:r>
      <w:r>
        <w:rPr>
          <w:color w:val="001F5F"/>
        </w:rPr>
        <w:t>Review</w:t>
      </w:r>
      <w:r>
        <w:rPr>
          <w:color w:val="001F5F"/>
          <w:spacing w:val="-16"/>
        </w:rPr>
        <w:t> </w:t>
      </w:r>
      <w:r>
        <w:rPr>
          <w:color w:val="001F5F"/>
        </w:rPr>
        <w:t>Policy,</w:t>
      </w:r>
      <w:r>
        <w:rPr>
          <w:color w:val="001F5F"/>
          <w:spacing w:val="-15"/>
        </w:rPr>
        <w:t> </w:t>
      </w:r>
      <w:r>
        <w:rPr>
          <w:color w:val="001F5F"/>
        </w:rPr>
        <w:t>Procedures,</w:t>
      </w:r>
      <w:r>
        <w:rPr>
          <w:color w:val="001F5F"/>
          <w:spacing w:val="-16"/>
        </w:rPr>
        <w:t> </w:t>
      </w:r>
      <w:r>
        <w:rPr>
          <w:color w:val="001F5F"/>
        </w:rPr>
        <w:t>and</w:t>
      </w:r>
      <w:r>
        <w:rPr>
          <w:color w:val="001F5F"/>
          <w:spacing w:val="-15"/>
        </w:rPr>
        <w:t> </w:t>
      </w:r>
      <w:r>
        <w:rPr>
          <w:color w:val="001F5F"/>
          <w:spacing w:val="-2"/>
        </w:rPr>
        <w:t>Standards</w:t>
      </w:r>
    </w:p>
    <w:p>
      <w:pPr>
        <w:pStyle w:val="BodyText"/>
        <w:spacing w:before="5"/>
        <w:rPr>
          <w:sz w:val="28"/>
        </w:rPr>
      </w:pPr>
    </w:p>
    <w:p>
      <w:pPr>
        <w:pStyle w:val="BodyText"/>
        <w:spacing w:line="218" w:lineRule="auto"/>
        <w:ind w:left="119" w:right="244"/>
        <w:jc w:val="both"/>
      </w:pPr>
      <w:r>
        <w:rPr/>
        <w:pict>
          <v:shape style="position:absolute;margin-left:90.065002pt;margin-top:79.687332pt;width:395.3pt;height:419pt;mso-position-horizontal-relative:page;mso-position-vertical-relative:paragraph;z-index:-17687552" id="docshape112" coordorigin="1801,1594" coordsize="7906,8380" path="m4498,8857l4492,8784,4477,8706,4455,8623,4432,8554,4403,8482,4367,8407,4325,8329,4276,8248,4237,8189,4200,8139,4200,8824,4197,8881,4186,8937,4167,8995,4138,9054,4097,9117,4044,9183,3979,9253,3674,9558,2216,8100,2517,7800,2598,7723,2672,7664,2740,7620,2801,7594,2868,7579,2941,7575,3020,7582,3105,7600,3195,7629,3255,7654,3317,7687,3380,7725,3446,7770,3514,7822,3584,7880,3656,7945,3729,8016,3789,8078,3845,8138,3896,8197,3943,8255,3986,8311,4025,8366,4059,8420,4101,8495,4136,8567,4163,8637,4183,8704,4196,8768,4200,8824,4200,8139,4194,8130,4148,8070,4098,8009,4045,7948,3989,7887,3929,7825,3865,7763,3801,7704,3737,7649,3673,7598,3643,7575,3609,7550,3546,7505,3482,7464,3419,7426,3346,7388,3274,7356,3203,7329,3132,7307,3062,7290,2992,7278,2923,7271,2850,7269,2779,7276,2709,7291,2642,7314,2577,7344,2528,7372,2476,7409,2420,7455,2359,7509,2294,7572,1801,8065,3710,9973,4124,9558,4226,9456,4287,9391,4341,9326,4386,9260,4424,9193,4454,9127,4476,9060,4491,8994,4498,8926,4498,8857xm6418,7264l6056,7137,5650,6994,5561,6965,5475,6941,5393,6922,5365,6916,5314,6907,5239,6897,5193,6896,5143,6899,5089,6906,5030,6916,5073,6847,5109,6777,5136,6708,5154,6639,5164,6571,5165,6502,5157,6435,5139,6357,5111,6280,5075,6206,5030,6133,4976,6063,4956,6040,4913,5994,4872,5956,4872,6513,4868,6569,4854,6624,4830,6680,4794,6738,4747,6799,4687,6863,4280,7270,3649,6639,4102,6186,4166,6129,4229,6086,4293,6056,4358,6041,4422,6040,4501,6055,4577,6085,4649,6129,4718,6189,4761,6237,4797,6287,4827,6341,4851,6398,4867,6456,4872,6513,4872,5956,4849,5934,4782,5882,4713,5836,4641,5798,4566,5766,4474,5737,4386,5725,4303,5727,4225,5743,4163,5768,4098,5804,4030,5852,3958,5912,3883,5983,3248,6618,5157,8526,5346,8336,4499,7489,4718,7270,4753,7236,4783,7208,4810,7187,4833,7173,4863,7159,4896,7148,4932,7141,4971,7137,5014,7137,5066,7142,5125,7152,5194,7169,5256,7186,5328,7207,5407,7232,5496,7261,6180,7502,6418,7264xm7780,5902l7415,5707,6555,5253,6555,5560,6070,6045,6030,5974,5989,5902,5748,5471,5708,5400,5668,5328,5629,5263,5590,5198,5550,5134,5509,5071,5467,5009,5424,4947,5380,4887,5436,4922,5498,4960,5564,5000,5635,5042,5792,5132,6555,5560,6555,5253,5862,4887,5286,4580,5082,4784,5277,5134,5316,5204,5701,5902,6207,6821,6441,7242,6642,7041,6565,6907,6298,6439,6221,6305,6481,6045,6820,5707,7173,5902,7565,6118,7780,5902xm8131,5552l7264,4685,7936,4013,7711,3788,7039,4459,6448,3869,7224,3092,6999,2867,6033,3833,7941,5741,8131,5552xm9707,3976l8024,2293,8497,1819,8272,1594,7138,2728,7363,2954,7834,2482,9517,4165,9707,3976xe" filled="true" fillcolor="#c0c0c0" stroked="false">
            <v:path arrowok="t"/>
            <v:fill opacity="32896f" type="solid"/>
            <w10:wrap type="none"/>
          </v:shape>
        </w:pict>
      </w:r>
      <w:r>
        <w:rPr>
          <w:spacing w:val="-4"/>
        </w:rPr>
        <w:t>For</w:t>
      </w:r>
      <w:r>
        <w:rPr>
          <w:spacing w:val="-12"/>
        </w:rPr>
        <w:t> </w:t>
      </w:r>
      <w:r>
        <w:rPr>
          <w:spacing w:val="-4"/>
        </w:rPr>
        <w:t>every</w:t>
      </w:r>
      <w:r>
        <w:rPr>
          <w:spacing w:val="-11"/>
        </w:rPr>
        <w:t> </w:t>
      </w:r>
      <w:r>
        <w:rPr>
          <w:spacing w:val="-4"/>
        </w:rPr>
        <w:t>project,</w:t>
      </w:r>
      <w:r>
        <w:rPr>
          <w:spacing w:val="-11"/>
        </w:rPr>
        <w:t> </w:t>
      </w:r>
      <w:r>
        <w:rPr>
          <w:spacing w:val="-4"/>
        </w:rPr>
        <w:t>an</w:t>
      </w:r>
      <w:r>
        <w:rPr>
          <w:spacing w:val="-12"/>
        </w:rPr>
        <w:t> </w:t>
      </w:r>
      <w:r>
        <w:rPr>
          <w:spacing w:val="-4"/>
        </w:rPr>
        <w:t>Environmental</w:t>
      </w:r>
      <w:r>
        <w:rPr>
          <w:spacing w:val="-11"/>
        </w:rPr>
        <w:t> </w:t>
      </w:r>
      <w:r>
        <w:rPr>
          <w:spacing w:val="-4"/>
        </w:rPr>
        <w:t>Review</w:t>
      </w:r>
      <w:r>
        <w:rPr>
          <w:spacing w:val="-11"/>
        </w:rPr>
        <w:t> </w:t>
      </w:r>
      <w:r>
        <w:rPr>
          <w:spacing w:val="-4"/>
        </w:rPr>
        <w:t>must</w:t>
      </w:r>
      <w:r>
        <w:rPr>
          <w:spacing w:val="-11"/>
        </w:rPr>
        <w:t> </w:t>
      </w:r>
      <w:r>
        <w:rPr>
          <w:spacing w:val="-4"/>
        </w:rPr>
        <w:t>be</w:t>
      </w:r>
      <w:r>
        <w:rPr>
          <w:spacing w:val="-11"/>
        </w:rPr>
        <w:t> </w:t>
      </w:r>
      <w:r>
        <w:rPr>
          <w:spacing w:val="-4"/>
        </w:rPr>
        <w:t>completed</w:t>
      </w:r>
      <w:r>
        <w:rPr>
          <w:spacing w:val="-12"/>
        </w:rPr>
        <w:t> </w:t>
      </w:r>
      <w:r>
        <w:rPr>
          <w:spacing w:val="-4"/>
        </w:rPr>
        <w:t>in</w:t>
      </w:r>
      <w:r>
        <w:rPr>
          <w:spacing w:val="-10"/>
        </w:rPr>
        <w:t> </w:t>
      </w:r>
      <w:r>
        <w:rPr>
          <w:spacing w:val="-4"/>
        </w:rPr>
        <w:t>accordance</w:t>
      </w:r>
      <w:r>
        <w:rPr>
          <w:spacing w:val="-11"/>
        </w:rPr>
        <w:t> </w:t>
      </w:r>
      <w:r>
        <w:rPr>
          <w:spacing w:val="-4"/>
        </w:rPr>
        <w:t>with</w:t>
      </w:r>
      <w:r>
        <w:rPr>
          <w:spacing w:val="-12"/>
        </w:rPr>
        <w:t> </w:t>
      </w:r>
      <w:r>
        <w:rPr>
          <w:spacing w:val="-4"/>
        </w:rPr>
        <w:t>24</w:t>
      </w:r>
      <w:r>
        <w:rPr>
          <w:spacing w:val="-10"/>
        </w:rPr>
        <w:t> </w:t>
      </w:r>
      <w:r>
        <w:rPr>
          <w:spacing w:val="-4"/>
        </w:rPr>
        <w:t>CFR</w:t>
      </w:r>
      <w:r>
        <w:rPr>
          <w:spacing w:val="-12"/>
        </w:rPr>
        <w:t> </w:t>
      </w:r>
      <w:r>
        <w:rPr>
          <w:spacing w:val="-4"/>
        </w:rPr>
        <w:t>Part</w:t>
      </w:r>
      <w:r>
        <w:rPr>
          <w:spacing w:val="40"/>
        </w:rPr>
        <w:t> </w:t>
      </w:r>
      <w:r>
        <w:rPr>
          <w:spacing w:val="-4"/>
        </w:rPr>
        <w:t>58 </w:t>
      </w:r>
      <w:r>
        <w:rPr>
          <w:spacing w:val="-2"/>
        </w:rPr>
        <w:t>prior</w:t>
      </w:r>
      <w:r>
        <w:rPr>
          <w:spacing w:val="-14"/>
        </w:rPr>
        <w:t> </w:t>
      </w:r>
      <w:r>
        <w:rPr>
          <w:spacing w:val="-2"/>
        </w:rPr>
        <w:t>to</w:t>
      </w:r>
      <w:r>
        <w:rPr>
          <w:spacing w:val="-13"/>
        </w:rPr>
        <w:t> </w:t>
      </w:r>
      <w:r>
        <w:rPr>
          <w:spacing w:val="-2"/>
        </w:rPr>
        <w:t>executing</w:t>
      </w:r>
      <w:r>
        <w:rPr>
          <w:spacing w:val="-13"/>
        </w:rPr>
        <w:t> </w:t>
      </w:r>
      <w:r>
        <w:rPr>
          <w:spacing w:val="-2"/>
        </w:rPr>
        <w:t>an</w:t>
      </w:r>
      <w:r>
        <w:rPr>
          <w:spacing w:val="-14"/>
        </w:rPr>
        <w:t> </w:t>
      </w:r>
      <w:r>
        <w:rPr>
          <w:spacing w:val="-2"/>
        </w:rPr>
        <w:t>agreement</w:t>
      </w:r>
      <w:r>
        <w:rPr>
          <w:spacing w:val="-13"/>
        </w:rPr>
        <w:t> </w:t>
      </w:r>
      <w:r>
        <w:rPr>
          <w:spacing w:val="-2"/>
        </w:rPr>
        <w:t>with</w:t>
      </w:r>
      <w:r>
        <w:rPr>
          <w:spacing w:val="-13"/>
        </w:rPr>
        <w:t> </w:t>
      </w:r>
      <w:r>
        <w:rPr>
          <w:spacing w:val="-2"/>
        </w:rPr>
        <w:t>a</w:t>
      </w:r>
      <w:r>
        <w:rPr>
          <w:spacing w:val="-13"/>
        </w:rPr>
        <w:t> </w:t>
      </w:r>
      <w:r>
        <w:rPr>
          <w:spacing w:val="-2"/>
        </w:rPr>
        <w:t>sub-recipient,</w:t>
      </w:r>
      <w:r>
        <w:rPr>
          <w:spacing w:val="-14"/>
        </w:rPr>
        <w:t> </w:t>
      </w:r>
      <w:r>
        <w:rPr>
          <w:spacing w:val="-2"/>
        </w:rPr>
        <w:t>developer</w:t>
      </w:r>
      <w:r>
        <w:rPr>
          <w:spacing w:val="-13"/>
        </w:rPr>
        <w:t> </w:t>
      </w:r>
      <w:r>
        <w:rPr>
          <w:spacing w:val="-2"/>
        </w:rPr>
        <w:t>or</w:t>
      </w:r>
      <w:r>
        <w:rPr>
          <w:spacing w:val="-13"/>
        </w:rPr>
        <w:t> </w:t>
      </w:r>
      <w:r>
        <w:rPr>
          <w:spacing w:val="-2"/>
        </w:rPr>
        <w:t>CHDO.</w:t>
      </w:r>
      <w:r>
        <w:rPr>
          <w:spacing w:val="-14"/>
        </w:rPr>
        <w:t> </w:t>
      </w:r>
      <w:r>
        <w:rPr>
          <w:spacing w:val="-2"/>
        </w:rPr>
        <w:t>The</w:t>
      </w:r>
      <w:r>
        <w:rPr>
          <w:spacing w:val="-13"/>
        </w:rPr>
        <w:t> </w:t>
      </w:r>
      <w:r>
        <w:rPr>
          <w:spacing w:val="-2"/>
        </w:rPr>
        <w:t>City</w:t>
      </w:r>
      <w:r>
        <w:rPr>
          <w:spacing w:val="-13"/>
        </w:rPr>
        <w:t> </w:t>
      </w:r>
      <w:r>
        <w:rPr>
          <w:spacing w:val="-2"/>
        </w:rPr>
        <w:t>has</w:t>
      </w:r>
      <w:r>
        <w:rPr>
          <w:spacing w:val="21"/>
        </w:rPr>
        <w:t> </w:t>
      </w:r>
      <w:r>
        <w:rPr>
          <w:spacing w:val="-2"/>
        </w:rPr>
        <w:t>developed </w:t>
      </w:r>
      <w:r>
        <w:rPr/>
        <w:t>the</w:t>
      </w:r>
      <w:r>
        <w:rPr>
          <w:spacing w:val="-16"/>
        </w:rPr>
        <w:t> </w:t>
      </w:r>
      <w:r>
        <w:rPr/>
        <w:t>“Environmental</w:t>
      </w:r>
      <w:r>
        <w:rPr>
          <w:spacing w:val="-15"/>
        </w:rPr>
        <w:t> </w:t>
      </w:r>
      <w:r>
        <w:rPr/>
        <w:t>Review</w:t>
      </w:r>
      <w:r>
        <w:rPr>
          <w:spacing w:val="-15"/>
        </w:rPr>
        <w:t> </w:t>
      </w:r>
      <w:r>
        <w:rPr/>
        <w:t>Policy,</w:t>
      </w:r>
      <w:r>
        <w:rPr>
          <w:spacing w:val="-16"/>
        </w:rPr>
        <w:t> </w:t>
      </w:r>
      <w:r>
        <w:rPr/>
        <w:t>Procedures,</w:t>
      </w:r>
      <w:r>
        <w:rPr>
          <w:spacing w:val="-12"/>
        </w:rPr>
        <w:t> </w:t>
      </w:r>
      <w:r>
        <w:rPr/>
        <w:t>and</w:t>
      </w:r>
      <w:r>
        <w:rPr>
          <w:spacing w:val="-8"/>
        </w:rPr>
        <w:t> </w:t>
      </w:r>
      <w:r>
        <w:rPr/>
        <w:t>Standards”</w:t>
      </w:r>
      <w:r>
        <w:rPr>
          <w:spacing w:val="-9"/>
        </w:rPr>
        <w:t> </w:t>
      </w:r>
      <w:r>
        <w:rPr/>
        <w:t>document</w:t>
      </w:r>
      <w:r>
        <w:rPr>
          <w:spacing w:val="-11"/>
        </w:rPr>
        <w:t> </w:t>
      </w:r>
      <w:r>
        <w:rPr/>
        <w:t>to</w:t>
      </w:r>
      <w:r>
        <w:rPr>
          <w:spacing w:val="-13"/>
        </w:rPr>
        <w:t> </w:t>
      </w:r>
      <w:r>
        <w:rPr/>
        <w:t>outline</w:t>
      </w:r>
      <w:r>
        <w:rPr>
          <w:spacing w:val="33"/>
        </w:rPr>
        <w:t> </w:t>
      </w:r>
      <w:r>
        <w:rPr/>
        <w:t>the</w:t>
      </w:r>
      <w:r>
        <w:rPr>
          <w:spacing w:val="-16"/>
        </w:rPr>
        <w:t> </w:t>
      </w:r>
      <w:r>
        <w:rPr/>
        <w:t>process </w:t>
      </w:r>
      <w:r>
        <w:rPr>
          <w:spacing w:val="-2"/>
        </w:rPr>
        <w:t>andrequirementsofcompletinganEnvironmentalReview.</w:t>
      </w:r>
    </w:p>
    <w:p>
      <w:pPr>
        <w:spacing w:after="0" w:line="218" w:lineRule="auto"/>
        <w:jc w:val="both"/>
        <w:sectPr>
          <w:pgSz w:w="12240" w:h="15840"/>
          <w:pgMar w:header="0" w:footer="1176" w:top="1380" w:bottom="1420" w:left="1320" w:right="1280"/>
        </w:sectPr>
      </w:pPr>
    </w:p>
    <w:p>
      <w:pPr>
        <w:pStyle w:val="Heading3"/>
        <w:jc w:val="both"/>
      </w:pPr>
      <w:bookmarkStart w:name="SECTION 3" w:id="82"/>
      <w:bookmarkEnd w:id="82"/>
      <w:r>
        <w:rPr/>
      </w:r>
      <w:bookmarkStart w:name="_bookmark35" w:id="83"/>
      <w:bookmarkEnd w:id="83"/>
      <w:r>
        <w:rPr/>
      </w:r>
      <w:r>
        <w:rPr>
          <w:color w:val="001F5F"/>
        </w:rPr>
        <w:t>SECTION</w:t>
      </w:r>
      <w:r>
        <w:rPr>
          <w:color w:val="001F5F"/>
          <w:spacing w:val="-17"/>
        </w:rPr>
        <w:t> </w:t>
      </w:r>
      <w:r>
        <w:rPr>
          <w:color w:val="001F5F"/>
          <w:spacing w:val="-10"/>
        </w:rPr>
        <w:t>3</w:t>
      </w:r>
    </w:p>
    <w:p>
      <w:pPr>
        <w:pStyle w:val="BodyText"/>
        <w:spacing w:before="282"/>
        <w:ind w:left="119" w:right="155"/>
        <w:jc w:val="both"/>
      </w:pPr>
      <w:r>
        <w:rPr/>
        <w:pict>
          <v:shape style="position:absolute;margin-left:90.065002pt;margin-top:96.040771pt;width:395.3pt;height:419pt;mso-position-horizontal-relative:page;mso-position-vertical-relative:paragraph;z-index:-17687040" id="docshape113" coordorigin="1801,1921" coordsize="7906,8380" path="m4498,9184l4492,9111,4477,9033,4455,8950,4432,8881,4403,8809,4367,8734,4325,8656,4276,8575,4237,8516,4200,8466,4200,9151,4197,9208,4186,9264,4167,9322,4138,9381,4097,9444,4044,9510,3979,9580,3674,9885,2216,8427,2517,8127,2598,8051,2672,7991,2740,7947,2801,7921,2868,7906,2941,7902,3020,7909,3105,7927,3195,7956,3255,7982,3317,8014,3380,8052,3446,8097,3514,8149,3584,8207,3656,8272,3729,8343,3789,8405,3845,8465,3896,8524,3943,8582,3986,8638,4025,8694,4059,8747,4101,8822,4136,8894,4163,8964,4183,9031,4196,9095,4200,9151,4200,8466,4194,8457,4148,8397,4098,8336,4045,8275,3989,8214,3929,8152,3865,8090,3801,8031,3737,7976,3673,7925,3643,7902,3609,7877,3546,7832,3482,7791,3419,7753,3346,7716,3274,7683,3203,7656,3132,7634,3062,7617,2992,7605,2923,7598,2850,7596,2779,7603,2709,7618,2642,7641,2577,7671,2528,7699,2476,7736,2420,7782,2359,7836,2294,7899,1801,8392,3710,10300,4124,9885,4226,9783,4287,9718,4341,9653,4386,9587,4424,9520,4454,9454,4476,9388,4491,9321,4498,9253,4498,9184xm6418,7591l6056,7464,5650,7321,5561,7292,5475,7268,5393,7249,5365,7244,5314,7234,5239,7224,5193,7223,5143,7226,5089,7233,5030,7244,5073,7174,5109,7104,5136,7035,5154,6966,5164,6898,5165,6830,5157,6762,5139,6684,5111,6608,5075,6533,5030,6460,4976,6390,4956,6367,4913,6321,4872,6283,4872,6840,4868,6896,4854,6951,4830,7007,4794,7065,4747,7126,4687,7190,4280,7597,3649,6966,4102,6513,4166,6456,4229,6413,4293,6383,4358,6368,4422,6367,4501,6382,4577,6412,4649,6456,4718,6516,4761,6564,4797,6614,4827,6668,4851,6725,4867,6783,4872,6840,4872,6283,4849,6261,4782,6209,4713,6163,4641,6125,4566,6093,4474,6065,4386,6052,4303,6054,4225,6070,4163,6095,4098,6131,4030,6179,3958,6239,3883,6310,3248,6945,5157,8853,5346,8663,4499,7816,4718,7597,4753,7563,4783,7535,4810,7514,4833,7500,4863,7486,4896,7476,4932,7468,4971,7464,5014,7464,5066,7469,5125,7479,5194,7496,5256,7513,5328,7534,5407,7559,5496,7588,6180,7829,6418,7591xm7780,6229l7415,6034,6555,5580,6555,5887,6070,6372,6030,6301,5989,6229,5748,5798,5708,5727,5668,5655,5629,5590,5590,5525,5550,5461,5509,5398,5467,5336,5424,5274,5380,5214,5436,5249,5498,5287,5564,5327,5635,5369,5792,5459,6555,5887,6555,5580,5862,5214,5286,4907,5082,5111,5277,5461,5316,5531,5701,6229,6207,7148,6441,7569,6642,7368,6565,7234,6298,6766,6221,6632,6481,6372,6820,6034,7173,6229,7565,6445,7780,6229xm8131,5879l7264,5012,7936,4340,7711,4115,7039,4786,6448,4196,7224,3419,6999,3194,6033,4160,7941,6068,8131,5879xm9707,4303l8024,2620,8497,2146,8272,1921,7138,3055,7363,3281,7834,2809,9517,4492,9707,4303xe" filled="true" fillcolor="#c0c0c0" stroked="false">
            <v:path arrowok="t"/>
            <v:fill opacity="32896f" type="solid"/>
            <w10:wrap type="none"/>
          </v:shape>
        </w:pict>
      </w:r>
      <w:r>
        <w:rPr/>
        <w:t>All</w:t>
      </w:r>
      <w:r>
        <w:rPr>
          <w:spacing w:val="-5"/>
        </w:rPr>
        <w:t> </w:t>
      </w:r>
      <w:r>
        <w:rPr/>
        <w:t>projects</w:t>
      </w:r>
      <w:r>
        <w:rPr>
          <w:spacing w:val="-6"/>
        </w:rPr>
        <w:t> </w:t>
      </w:r>
      <w:r>
        <w:rPr/>
        <w:t>receiving</w:t>
      </w:r>
      <w:r>
        <w:rPr>
          <w:spacing w:val="-4"/>
        </w:rPr>
        <w:t> </w:t>
      </w:r>
      <w:r>
        <w:rPr/>
        <w:t>an</w:t>
      </w:r>
      <w:r>
        <w:rPr>
          <w:spacing w:val="-7"/>
        </w:rPr>
        <w:t> </w:t>
      </w:r>
      <w:r>
        <w:rPr/>
        <w:t>award</w:t>
      </w:r>
      <w:r>
        <w:rPr>
          <w:spacing w:val="-4"/>
        </w:rPr>
        <w:t> </w:t>
      </w:r>
      <w:r>
        <w:rPr/>
        <w:t>of</w:t>
      </w:r>
      <w:r>
        <w:rPr>
          <w:spacing w:val="-3"/>
        </w:rPr>
        <w:t> </w:t>
      </w:r>
      <w:r>
        <w:rPr/>
        <w:t>HOME</w:t>
      </w:r>
      <w:r>
        <w:rPr>
          <w:spacing w:val="-7"/>
        </w:rPr>
        <w:t> </w:t>
      </w:r>
      <w:r>
        <w:rPr/>
        <w:t>funds</w:t>
      </w:r>
      <w:r>
        <w:rPr>
          <w:spacing w:val="-4"/>
        </w:rPr>
        <w:t> </w:t>
      </w:r>
      <w:r>
        <w:rPr/>
        <w:t>must</w:t>
      </w:r>
      <w:r>
        <w:rPr>
          <w:spacing w:val="-3"/>
        </w:rPr>
        <w:t> </w:t>
      </w:r>
      <w:r>
        <w:rPr/>
        <w:t>comply</w:t>
      </w:r>
      <w:r>
        <w:rPr>
          <w:spacing w:val="-4"/>
        </w:rPr>
        <w:t> </w:t>
      </w:r>
      <w:r>
        <w:rPr/>
        <w:t>with</w:t>
      </w:r>
      <w:r>
        <w:rPr>
          <w:spacing w:val="-4"/>
        </w:rPr>
        <w:t> </w:t>
      </w:r>
      <w:r>
        <w:rPr/>
        <w:t>HUD’s</w:t>
      </w:r>
      <w:r>
        <w:rPr>
          <w:spacing w:val="-4"/>
        </w:rPr>
        <w:t> </w:t>
      </w:r>
      <w:r>
        <w:rPr/>
        <w:t>Section</w:t>
      </w:r>
      <w:r>
        <w:rPr>
          <w:spacing w:val="-4"/>
        </w:rPr>
        <w:t> </w:t>
      </w:r>
      <w:r>
        <w:rPr/>
        <w:t>3</w:t>
      </w:r>
      <w:r>
        <w:rPr>
          <w:spacing w:val="-4"/>
        </w:rPr>
        <w:t> </w:t>
      </w:r>
      <w:r>
        <w:rPr/>
        <w:t>requirements. The</w:t>
      </w:r>
      <w:r>
        <w:rPr>
          <w:spacing w:val="-8"/>
        </w:rPr>
        <w:t> </w:t>
      </w:r>
      <w:r>
        <w:rPr/>
        <w:t>purpose</w:t>
      </w:r>
      <w:r>
        <w:rPr>
          <w:spacing w:val="-10"/>
        </w:rPr>
        <w:t> </w:t>
      </w:r>
      <w:r>
        <w:rPr/>
        <w:t>of</w:t>
      </w:r>
      <w:r>
        <w:rPr>
          <w:spacing w:val="-9"/>
        </w:rPr>
        <w:t> </w:t>
      </w:r>
      <w:r>
        <w:rPr/>
        <w:t>Section</w:t>
      </w:r>
      <w:r>
        <w:rPr>
          <w:spacing w:val="-8"/>
        </w:rPr>
        <w:t> </w:t>
      </w:r>
      <w:r>
        <w:rPr/>
        <w:t>3</w:t>
      </w:r>
      <w:r>
        <w:rPr>
          <w:spacing w:val="-10"/>
        </w:rPr>
        <w:t> </w:t>
      </w:r>
      <w:r>
        <w:rPr/>
        <w:t>is</w:t>
      </w:r>
      <w:r>
        <w:rPr>
          <w:spacing w:val="-10"/>
        </w:rPr>
        <w:t> </w:t>
      </w:r>
      <w:r>
        <w:rPr/>
        <w:t>to</w:t>
      </w:r>
      <w:r>
        <w:rPr>
          <w:spacing w:val="-10"/>
        </w:rPr>
        <w:t> </w:t>
      </w:r>
      <w:r>
        <w:rPr/>
        <w:t>ensure</w:t>
      </w:r>
      <w:r>
        <w:rPr>
          <w:spacing w:val="-10"/>
        </w:rPr>
        <w:t> </w:t>
      </w:r>
      <w:r>
        <w:rPr/>
        <w:t>that</w:t>
      </w:r>
      <w:r>
        <w:rPr>
          <w:spacing w:val="-9"/>
        </w:rPr>
        <w:t> </w:t>
      </w:r>
      <w:r>
        <w:rPr/>
        <w:t>employment,</w:t>
      </w:r>
      <w:r>
        <w:rPr>
          <w:spacing w:val="-9"/>
        </w:rPr>
        <w:t> </w:t>
      </w:r>
      <w:r>
        <w:rPr/>
        <w:t>training,</w:t>
      </w:r>
      <w:r>
        <w:rPr>
          <w:spacing w:val="-9"/>
        </w:rPr>
        <w:t> </w:t>
      </w:r>
      <w:r>
        <w:rPr/>
        <w:t>contracting,</w:t>
      </w:r>
      <w:r>
        <w:rPr>
          <w:spacing w:val="-7"/>
        </w:rPr>
        <w:t> </w:t>
      </w:r>
      <w:r>
        <w:rPr/>
        <w:t>and</w:t>
      </w:r>
      <w:r>
        <w:rPr>
          <w:spacing w:val="-8"/>
        </w:rPr>
        <w:t> </w:t>
      </w:r>
      <w:r>
        <w:rPr/>
        <w:t>other</w:t>
      </w:r>
      <w:r>
        <w:rPr>
          <w:spacing w:val="-7"/>
        </w:rPr>
        <w:t> </w:t>
      </w:r>
      <w:r>
        <w:rPr/>
        <w:t>economic opportunities generated by financial assistance from HUD shall, to the greatest extent feasible, and</w:t>
      </w:r>
      <w:r>
        <w:rPr>
          <w:spacing w:val="-7"/>
        </w:rPr>
        <w:t> </w:t>
      </w:r>
      <w:r>
        <w:rPr/>
        <w:t>consistent</w:t>
      </w:r>
      <w:r>
        <w:rPr>
          <w:spacing w:val="-6"/>
        </w:rPr>
        <w:t> </w:t>
      </w:r>
      <w:r>
        <w:rPr/>
        <w:t>with</w:t>
      </w:r>
      <w:r>
        <w:rPr>
          <w:spacing w:val="-10"/>
        </w:rPr>
        <w:t> </w:t>
      </w:r>
      <w:r>
        <w:rPr/>
        <w:t>existing</w:t>
      </w:r>
      <w:r>
        <w:rPr>
          <w:spacing w:val="-7"/>
        </w:rPr>
        <w:t> </w:t>
      </w:r>
      <w:r>
        <w:rPr/>
        <w:t>federal,</w:t>
      </w:r>
      <w:r>
        <w:rPr>
          <w:spacing w:val="-6"/>
        </w:rPr>
        <w:t> </w:t>
      </w:r>
      <w:r>
        <w:rPr/>
        <w:t>state,</w:t>
      </w:r>
      <w:r>
        <w:rPr>
          <w:spacing w:val="-6"/>
        </w:rPr>
        <w:t> </w:t>
      </w:r>
      <w:r>
        <w:rPr/>
        <w:t>and</w:t>
      </w:r>
      <w:r>
        <w:rPr>
          <w:spacing w:val="-10"/>
        </w:rPr>
        <w:t> </w:t>
      </w:r>
      <w:r>
        <w:rPr/>
        <w:t>local</w:t>
      </w:r>
      <w:r>
        <w:rPr>
          <w:spacing w:val="-8"/>
        </w:rPr>
        <w:t> </w:t>
      </w:r>
      <w:r>
        <w:rPr/>
        <w:t>laws</w:t>
      </w:r>
      <w:r>
        <w:rPr>
          <w:spacing w:val="-7"/>
        </w:rPr>
        <w:t> </w:t>
      </w:r>
      <w:r>
        <w:rPr/>
        <w:t>and</w:t>
      </w:r>
      <w:r>
        <w:rPr>
          <w:spacing w:val="-7"/>
        </w:rPr>
        <w:t> </w:t>
      </w:r>
      <w:r>
        <w:rPr/>
        <w:t>regulations,</w:t>
      </w:r>
      <w:r>
        <w:rPr>
          <w:spacing w:val="-8"/>
        </w:rPr>
        <w:t> </w:t>
      </w:r>
      <w:r>
        <w:rPr/>
        <w:t>be</w:t>
      </w:r>
      <w:r>
        <w:rPr>
          <w:spacing w:val="-7"/>
        </w:rPr>
        <w:t> </w:t>
      </w:r>
      <w:r>
        <w:rPr/>
        <w:t>directed</w:t>
      </w:r>
      <w:r>
        <w:rPr>
          <w:spacing w:val="-10"/>
        </w:rPr>
        <w:t> </w:t>
      </w:r>
      <w:r>
        <w:rPr/>
        <w:t>to</w:t>
      </w:r>
      <w:r>
        <w:rPr>
          <w:spacing w:val="-10"/>
        </w:rPr>
        <w:t> </w:t>
      </w:r>
      <w:r>
        <w:rPr/>
        <w:t>low-</w:t>
      </w:r>
      <w:r>
        <w:rPr>
          <w:spacing w:val="-6"/>
        </w:rPr>
        <w:t> </w:t>
      </w:r>
      <w:r>
        <w:rPr/>
        <w:t>and very low-income persons, particularly those who are recipients of government assistance for housing, and to business concerns that provide economic opportunities to low- and very low- income persons. Recipients of an award of HOME funds will be required to complete Section 3 compliance forms prior to execution of a loan agreement. Applicants requesting HOME funds must provide a written strategy demonstrating understanding of the Section 3 requirements and detailing how</w:t>
      </w:r>
      <w:r>
        <w:rPr>
          <w:spacing w:val="-3"/>
        </w:rPr>
        <w:t> </w:t>
      </w:r>
      <w:r>
        <w:rPr/>
        <w:t>they</w:t>
      </w:r>
      <w:r>
        <w:rPr>
          <w:spacing w:val="-2"/>
        </w:rPr>
        <w:t> </w:t>
      </w:r>
      <w:r>
        <w:rPr/>
        <w:t>will</w:t>
      </w:r>
      <w:r>
        <w:rPr>
          <w:spacing w:val="-1"/>
        </w:rPr>
        <w:t> </w:t>
      </w:r>
      <w:r>
        <w:rPr/>
        <w:t>ensure</w:t>
      </w:r>
      <w:r>
        <w:rPr>
          <w:spacing w:val="-3"/>
        </w:rPr>
        <w:t> </w:t>
      </w:r>
      <w:r>
        <w:rPr/>
        <w:t>that,</w:t>
      </w:r>
      <w:r>
        <w:rPr>
          <w:spacing w:val="-1"/>
        </w:rPr>
        <w:t> </w:t>
      </w:r>
      <w:r>
        <w:rPr/>
        <w:t>when</w:t>
      </w:r>
      <w:r>
        <w:rPr>
          <w:spacing w:val="-3"/>
        </w:rPr>
        <w:t> </w:t>
      </w:r>
      <w:r>
        <w:rPr/>
        <w:t>employment</w:t>
      </w:r>
      <w:r>
        <w:rPr>
          <w:spacing w:val="-1"/>
        </w:rPr>
        <w:t> </w:t>
      </w:r>
      <w:r>
        <w:rPr/>
        <w:t>or</w:t>
      </w:r>
      <w:r>
        <w:rPr>
          <w:spacing w:val="-1"/>
        </w:rPr>
        <w:t> </w:t>
      </w:r>
      <w:r>
        <w:rPr/>
        <w:t>contracting</w:t>
      </w:r>
      <w:r>
        <w:rPr>
          <w:spacing w:val="-3"/>
        </w:rPr>
        <w:t> </w:t>
      </w:r>
      <w:r>
        <w:rPr/>
        <w:t>opportunities</w:t>
      </w:r>
      <w:r>
        <w:rPr>
          <w:spacing w:val="-2"/>
        </w:rPr>
        <w:t> </w:t>
      </w:r>
      <w:r>
        <w:rPr/>
        <w:t>are</w:t>
      </w:r>
      <w:r>
        <w:rPr>
          <w:spacing w:val="-3"/>
        </w:rPr>
        <w:t> </w:t>
      </w:r>
      <w:r>
        <w:rPr/>
        <w:t>generated because</w:t>
      </w:r>
      <w:r>
        <w:rPr>
          <w:spacing w:val="-10"/>
        </w:rPr>
        <w:t> </w:t>
      </w:r>
      <w:r>
        <w:rPr/>
        <w:t>the</w:t>
      </w:r>
      <w:r>
        <w:rPr>
          <w:spacing w:val="-10"/>
        </w:rPr>
        <w:t> </w:t>
      </w:r>
      <w:r>
        <w:rPr/>
        <w:t>project</w:t>
      </w:r>
      <w:r>
        <w:rPr>
          <w:spacing w:val="-8"/>
        </w:rPr>
        <w:t> </w:t>
      </w:r>
      <w:r>
        <w:rPr/>
        <w:t>or</w:t>
      </w:r>
      <w:r>
        <w:rPr>
          <w:spacing w:val="-9"/>
        </w:rPr>
        <w:t> </w:t>
      </w:r>
      <w:r>
        <w:rPr/>
        <w:t>activity</w:t>
      </w:r>
      <w:r>
        <w:rPr>
          <w:spacing w:val="-9"/>
        </w:rPr>
        <w:t> </w:t>
      </w:r>
      <w:r>
        <w:rPr/>
        <w:t>necessitates</w:t>
      </w:r>
      <w:r>
        <w:rPr>
          <w:spacing w:val="-9"/>
        </w:rPr>
        <w:t> </w:t>
      </w:r>
      <w:r>
        <w:rPr/>
        <w:t>the</w:t>
      </w:r>
      <w:r>
        <w:rPr>
          <w:spacing w:val="-7"/>
        </w:rPr>
        <w:t> </w:t>
      </w:r>
      <w:r>
        <w:rPr/>
        <w:t>employment</w:t>
      </w:r>
      <w:r>
        <w:rPr>
          <w:spacing w:val="-8"/>
        </w:rPr>
        <w:t> </w:t>
      </w:r>
      <w:r>
        <w:rPr/>
        <w:t>of</w:t>
      </w:r>
      <w:r>
        <w:rPr>
          <w:spacing w:val="-6"/>
        </w:rPr>
        <w:t> </w:t>
      </w:r>
      <w:r>
        <w:rPr/>
        <w:t>additional</w:t>
      </w:r>
      <w:r>
        <w:rPr>
          <w:spacing w:val="-8"/>
        </w:rPr>
        <w:t> </w:t>
      </w:r>
      <w:r>
        <w:rPr/>
        <w:t>persons</w:t>
      </w:r>
      <w:r>
        <w:rPr>
          <w:spacing w:val="-9"/>
        </w:rPr>
        <w:t> </w:t>
      </w:r>
      <w:r>
        <w:rPr/>
        <w:t>or</w:t>
      </w:r>
      <w:r>
        <w:rPr>
          <w:spacing w:val="-11"/>
        </w:rPr>
        <w:t> </w:t>
      </w:r>
      <w:r>
        <w:rPr/>
        <w:t>the</w:t>
      </w:r>
      <w:r>
        <w:rPr>
          <w:spacing w:val="-10"/>
        </w:rPr>
        <w:t> </w:t>
      </w:r>
      <w:r>
        <w:rPr/>
        <w:t>award</w:t>
      </w:r>
      <w:r>
        <w:rPr>
          <w:spacing w:val="-10"/>
        </w:rPr>
        <w:t> </w:t>
      </w:r>
      <w:r>
        <w:rPr/>
        <w:t>of contracts for work, preference shall be given to low- and very low-income persons or business concerns in the neighborhood. Neighborhood is defined in the HOME regulations (24 CFR Part 92,</w:t>
      </w:r>
      <w:r>
        <w:rPr>
          <w:spacing w:val="-16"/>
        </w:rPr>
        <w:t> </w:t>
      </w:r>
      <w:r>
        <w:rPr/>
        <w:t>Subpart</w:t>
      </w:r>
      <w:r>
        <w:rPr>
          <w:spacing w:val="-15"/>
        </w:rPr>
        <w:t> </w:t>
      </w:r>
      <w:r>
        <w:rPr/>
        <w:t>A)</w:t>
      </w:r>
      <w:r>
        <w:rPr>
          <w:spacing w:val="-15"/>
        </w:rPr>
        <w:t> </w:t>
      </w:r>
      <w:r>
        <w:rPr/>
        <w:t>as</w:t>
      </w:r>
      <w:r>
        <w:rPr>
          <w:spacing w:val="-16"/>
        </w:rPr>
        <w:t> </w:t>
      </w:r>
      <w:r>
        <w:rPr/>
        <w:t>“a</w:t>
      </w:r>
      <w:r>
        <w:rPr>
          <w:spacing w:val="-15"/>
        </w:rPr>
        <w:t> </w:t>
      </w:r>
      <w:r>
        <w:rPr/>
        <w:t>geographic</w:t>
      </w:r>
      <w:r>
        <w:rPr>
          <w:spacing w:val="-15"/>
        </w:rPr>
        <w:t> </w:t>
      </w:r>
      <w:r>
        <w:rPr/>
        <w:t>location</w:t>
      </w:r>
      <w:r>
        <w:rPr>
          <w:spacing w:val="-15"/>
        </w:rPr>
        <w:t> </w:t>
      </w:r>
      <w:r>
        <w:rPr/>
        <w:t>designated</w:t>
      </w:r>
      <w:r>
        <w:rPr>
          <w:spacing w:val="-16"/>
        </w:rPr>
        <w:t> </w:t>
      </w:r>
      <w:r>
        <w:rPr/>
        <w:t>in</w:t>
      </w:r>
      <w:r>
        <w:rPr>
          <w:spacing w:val="-15"/>
        </w:rPr>
        <w:t> </w:t>
      </w:r>
      <w:r>
        <w:rPr/>
        <w:t>comprehensive</w:t>
      </w:r>
      <w:r>
        <w:rPr>
          <w:spacing w:val="-15"/>
        </w:rPr>
        <w:t> </w:t>
      </w:r>
      <w:r>
        <w:rPr/>
        <w:t>plans,</w:t>
      </w:r>
      <w:r>
        <w:rPr>
          <w:spacing w:val="-16"/>
        </w:rPr>
        <w:t> </w:t>
      </w:r>
      <w:r>
        <w:rPr/>
        <w:t>ordinances,</w:t>
      </w:r>
      <w:r>
        <w:rPr>
          <w:spacing w:val="-15"/>
        </w:rPr>
        <w:t> </w:t>
      </w:r>
      <w:r>
        <w:rPr/>
        <w:t>or</w:t>
      </w:r>
      <w:r>
        <w:rPr>
          <w:spacing w:val="-15"/>
        </w:rPr>
        <w:t> </w:t>
      </w:r>
      <w:r>
        <w:rPr/>
        <w:t>other local</w:t>
      </w:r>
      <w:r>
        <w:rPr>
          <w:spacing w:val="-6"/>
        </w:rPr>
        <w:t> </w:t>
      </w:r>
      <w:r>
        <w:rPr/>
        <w:t>documents</w:t>
      </w:r>
      <w:r>
        <w:rPr>
          <w:spacing w:val="-5"/>
        </w:rPr>
        <w:t> </w:t>
      </w:r>
      <w:r>
        <w:rPr/>
        <w:t>as</w:t>
      </w:r>
      <w:r>
        <w:rPr>
          <w:spacing w:val="-5"/>
        </w:rPr>
        <w:t> </w:t>
      </w:r>
      <w:r>
        <w:rPr/>
        <w:t>a</w:t>
      </w:r>
      <w:r>
        <w:rPr>
          <w:spacing w:val="-5"/>
        </w:rPr>
        <w:t> </w:t>
      </w:r>
      <w:r>
        <w:rPr/>
        <w:t>neighborhood,</w:t>
      </w:r>
      <w:r>
        <w:rPr>
          <w:spacing w:val="-4"/>
        </w:rPr>
        <w:t> </w:t>
      </w:r>
      <w:r>
        <w:rPr/>
        <w:t>village,</w:t>
      </w:r>
      <w:r>
        <w:rPr>
          <w:spacing w:val="-4"/>
        </w:rPr>
        <w:t> </w:t>
      </w:r>
      <w:r>
        <w:rPr/>
        <w:t>or</w:t>
      </w:r>
      <w:r>
        <w:rPr>
          <w:spacing w:val="-4"/>
        </w:rPr>
        <w:t> </w:t>
      </w:r>
      <w:r>
        <w:rPr/>
        <w:t>similar</w:t>
      </w:r>
      <w:r>
        <w:rPr>
          <w:spacing w:val="-4"/>
        </w:rPr>
        <w:t> </w:t>
      </w:r>
      <w:r>
        <w:rPr/>
        <w:t>geographical</w:t>
      </w:r>
      <w:r>
        <w:rPr>
          <w:spacing w:val="-6"/>
        </w:rPr>
        <w:t> </w:t>
      </w:r>
      <w:r>
        <w:rPr/>
        <w:t>designation</w:t>
      </w:r>
      <w:r>
        <w:rPr>
          <w:spacing w:val="-5"/>
        </w:rPr>
        <w:t> </w:t>
      </w:r>
      <w:r>
        <w:rPr/>
        <w:t>that</w:t>
      </w:r>
      <w:r>
        <w:rPr>
          <w:spacing w:val="-6"/>
        </w:rPr>
        <w:t> </w:t>
      </w:r>
      <w:r>
        <w:rPr/>
        <w:t>is</w:t>
      </w:r>
      <w:r>
        <w:rPr>
          <w:spacing w:val="-5"/>
        </w:rPr>
        <w:t> </w:t>
      </w:r>
      <w:r>
        <w:rPr/>
        <w:t>within</w:t>
      </w:r>
      <w:r>
        <w:rPr>
          <w:spacing w:val="-5"/>
        </w:rPr>
        <w:t> </w:t>
      </w:r>
      <w:r>
        <w:rPr/>
        <w:t>the boundary but does not encompass the entire area of a unit of general local government.”</w:t>
      </w:r>
    </w:p>
    <w:p>
      <w:pPr>
        <w:pStyle w:val="BodyText"/>
        <w:spacing w:before="11"/>
        <w:rPr>
          <w:sz w:val="21"/>
        </w:rPr>
      </w:pPr>
    </w:p>
    <w:p>
      <w:pPr>
        <w:pStyle w:val="BodyText"/>
        <w:ind w:left="120" w:right="160"/>
        <w:jc w:val="both"/>
      </w:pPr>
      <w:r>
        <w:rPr/>
        <w:t>Developers</w:t>
      </w:r>
      <w:r>
        <w:rPr>
          <w:spacing w:val="-1"/>
        </w:rPr>
        <w:t> </w:t>
      </w:r>
      <w:r>
        <w:rPr/>
        <w:t>must obtain</w:t>
      </w:r>
      <w:r>
        <w:rPr>
          <w:spacing w:val="-4"/>
        </w:rPr>
        <w:t> </w:t>
      </w:r>
      <w:r>
        <w:rPr/>
        <w:t>the</w:t>
      </w:r>
      <w:r>
        <w:rPr>
          <w:spacing w:val="-2"/>
        </w:rPr>
        <w:t> </w:t>
      </w:r>
      <w:r>
        <w:rPr/>
        <w:t>City’s</w:t>
      </w:r>
      <w:r>
        <w:rPr>
          <w:spacing w:val="-1"/>
        </w:rPr>
        <w:t> </w:t>
      </w:r>
      <w:r>
        <w:rPr/>
        <w:t>approval</w:t>
      </w:r>
      <w:r>
        <w:rPr>
          <w:spacing w:val="-2"/>
        </w:rPr>
        <w:t> </w:t>
      </w:r>
      <w:r>
        <w:rPr/>
        <w:t>of</w:t>
      </w:r>
      <w:r>
        <w:rPr>
          <w:spacing w:val="-3"/>
        </w:rPr>
        <w:t> </w:t>
      </w:r>
      <w:r>
        <w:rPr/>
        <w:t>the</w:t>
      </w:r>
      <w:r>
        <w:rPr>
          <w:spacing w:val="-4"/>
        </w:rPr>
        <w:t> </w:t>
      </w:r>
      <w:r>
        <w:rPr/>
        <w:t>Section</w:t>
      </w:r>
      <w:r>
        <w:rPr>
          <w:spacing w:val="-2"/>
        </w:rPr>
        <w:t> </w:t>
      </w:r>
      <w:r>
        <w:rPr/>
        <w:t>3</w:t>
      </w:r>
      <w:r>
        <w:rPr>
          <w:spacing w:val="-2"/>
        </w:rPr>
        <w:t> </w:t>
      </w:r>
      <w:r>
        <w:rPr/>
        <w:t>plan</w:t>
      </w:r>
      <w:r>
        <w:rPr>
          <w:spacing w:val="-2"/>
        </w:rPr>
        <w:t> </w:t>
      </w:r>
      <w:r>
        <w:rPr/>
        <w:t>prior to</w:t>
      </w:r>
      <w:r>
        <w:rPr>
          <w:spacing w:val="-4"/>
        </w:rPr>
        <w:t> </w:t>
      </w:r>
      <w:r>
        <w:rPr/>
        <w:t>the</w:t>
      </w:r>
      <w:r>
        <w:rPr>
          <w:spacing w:val="-2"/>
        </w:rPr>
        <w:t> </w:t>
      </w:r>
      <w:r>
        <w:rPr/>
        <w:t>construction</w:t>
      </w:r>
      <w:r>
        <w:rPr>
          <w:spacing w:val="-2"/>
        </w:rPr>
        <w:t> </w:t>
      </w:r>
      <w:r>
        <w:rPr/>
        <w:t>start of the project.</w:t>
      </w:r>
    </w:p>
    <w:p>
      <w:pPr>
        <w:spacing w:after="0"/>
        <w:jc w:val="both"/>
        <w:sectPr>
          <w:pgSz w:w="12240" w:h="15840"/>
          <w:pgMar w:header="0" w:footer="1176" w:top="1380" w:bottom="1420" w:left="1320" w:right="1280"/>
        </w:sectPr>
      </w:pPr>
    </w:p>
    <w:p>
      <w:pPr>
        <w:pStyle w:val="Heading3"/>
        <w:jc w:val="both"/>
      </w:pPr>
      <w:bookmarkStart w:name="Minority/Women Business Enterprise" w:id="84"/>
      <w:bookmarkEnd w:id="84"/>
      <w:r>
        <w:rPr/>
      </w:r>
      <w:bookmarkStart w:name="_bookmark36" w:id="85"/>
      <w:bookmarkEnd w:id="85"/>
      <w:r>
        <w:rPr/>
      </w:r>
      <w:r>
        <w:rPr>
          <w:color w:val="001F5F"/>
        </w:rPr>
        <w:t>Minority/Women</w:t>
      </w:r>
      <w:r>
        <w:rPr>
          <w:color w:val="001F5F"/>
          <w:spacing w:val="-20"/>
        </w:rPr>
        <w:t> </w:t>
      </w:r>
      <w:r>
        <w:rPr>
          <w:color w:val="001F5F"/>
        </w:rPr>
        <w:t>Business</w:t>
      </w:r>
      <w:r>
        <w:rPr>
          <w:color w:val="001F5F"/>
          <w:spacing w:val="-18"/>
        </w:rPr>
        <w:t> </w:t>
      </w:r>
      <w:r>
        <w:rPr>
          <w:color w:val="001F5F"/>
          <w:spacing w:val="-2"/>
        </w:rPr>
        <w:t>Enterprise</w:t>
      </w:r>
    </w:p>
    <w:p>
      <w:pPr>
        <w:pStyle w:val="BodyText"/>
        <w:spacing w:before="282"/>
        <w:ind w:left="120" w:right="157"/>
        <w:jc w:val="both"/>
      </w:pPr>
      <w:r>
        <w:rPr/>
        <w:pict>
          <v:shape style="position:absolute;margin-left:90.065002pt;margin-top:96.040771pt;width:395.3pt;height:419pt;mso-position-horizontal-relative:page;mso-position-vertical-relative:paragraph;z-index:-17686528" id="docshape114" coordorigin="1801,1921" coordsize="7906,8380" path="m4498,9184l4492,9111,4477,9033,4455,8950,4432,8881,4403,8809,4367,8734,4325,8656,4276,8575,4237,8516,4200,8466,4200,9151,4197,9208,4186,9264,4167,9322,4138,9381,4097,9444,4044,9510,3979,9580,3674,9885,2216,8427,2517,8127,2598,8051,2672,7991,2740,7947,2801,7921,2868,7906,2941,7902,3020,7909,3105,7927,3195,7956,3255,7982,3317,8014,3380,8052,3446,8097,3514,8149,3584,8207,3656,8272,3729,8343,3789,8405,3845,8465,3896,8524,3943,8582,3986,8638,4025,8694,4059,8747,4101,8822,4136,8894,4163,8964,4183,9031,4196,9095,4200,9151,4200,8466,4194,8457,4148,8397,4098,8336,4045,8275,3989,8214,3929,8152,3865,8090,3801,8031,3737,7976,3673,7925,3643,7902,3609,7877,3546,7832,3482,7791,3419,7753,3346,7716,3274,7683,3203,7656,3132,7634,3062,7617,2992,7605,2923,7598,2850,7596,2779,7603,2709,7618,2642,7641,2577,7671,2528,7699,2476,7736,2420,7782,2359,7836,2294,7899,1801,8392,3710,10300,4124,9885,4226,9783,4287,9718,4341,9653,4386,9587,4424,9520,4454,9454,4476,9388,4491,9321,4498,9253,4498,9184xm6418,7591l6056,7464,5650,7321,5561,7292,5475,7268,5393,7249,5365,7244,5314,7234,5239,7224,5193,7223,5143,7226,5089,7233,5030,7244,5073,7174,5109,7104,5136,7035,5154,6966,5164,6898,5165,6830,5157,6762,5139,6684,5111,6608,5075,6533,5030,6460,4976,6390,4956,6367,4913,6321,4872,6283,4872,6840,4868,6896,4854,6951,4830,7007,4794,7065,4747,7126,4687,7190,4280,7597,3649,6966,4102,6513,4166,6456,4229,6413,4293,6383,4358,6368,4422,6367,4501,6382,4577,6412,4649,6456,4718,6516,4761,6564,4797,6614,4827,6668,4851,6725,4867,6783,4872,6840,4872,6283,4849,6261,4782,6209,4713,6163,4641,6125,4566,6093,4474,6065,4386,6052,4303,6054,4225,6070,4163,6095,4098,6131,4030,6179,3958,6239,3883,6310,3248,6945,5157,8853,5346,8663,4499,7816,4718,7597,4753,7563,4783,7535,4810,7514,4833,7500,4863,7486,4896,7476,4932,7468,4971,7464,5014,7464,5066,7469,5125,7479,5194,7496,5256,7513,5328,7534,5407,7559,5496,7588,6180,7829,6418,7591xm7780,6229l7415,6034,6555,5580,6555,5887,6070,6372,6030,6301,5989,6229,5748,5798,5708,5727,5668,5655,5629,5590,5590,5525,5550,5461,5509,5398,5467,5336,5424,5274,5380,5214,5436,5249,5498,5287,5564,5327,5635,5369,5792,5459,6555,5887,6555,5580,5862,5214,5286,4907,5082,5111,5277,5461,5316,5531,5701,6229,6207,7148,6441,7569,6642,7368,6565,7234,6298,6766,6221,6632,6481,6372,6820,6034,7173,6229,7565,6445,7780,6229xm8131,5879l7264,5012,7936,4340,7711,4115,7039,4786,6448,4196,7224,3419,6999,3194,6033,4160,7941,6068,8131,5879xm9707,4303l8024,2620,8497,2146,8272,1921,7138,3055,7363,3281,7834,2809,9517,4492,9707,4303xe" filled="true" fillcolor="#c0c0c0" stroked="false">
            <v:path arrowok="t"/>
            <v:fill opacity="32896f" type="solid"/>
            <w10:wrap type="none"/>
          </v:shape>
        </w:pict>
      </w:r>
      <w:r>
        <w:rPr/>
        <w:t>Developers must request a list for certified Minority and Women Business Enterprises (M/WBE) from</w:t>
      </w:r>
      <w:r>
        <w:rPr>
          <w:spacing w:val="-4"/>
        </w:rPr>
        <w:t> </w:t>
      </w:r>
      <w:r>
        <w:rPr/>
        <w:t>the</w:t>
      </w:r>
      <w:r>
        <w:rPr>
          <w:spacing w:val="-5"/>
        </w:rPr>
        <w:t> </w:t>
      </w:r>
      <w:r>
        <w:rPr/>
        <w:t>Business</w:t>
      </w:r>
      <w:r>
        <w:rPr>
          <w:spacing w:val="-5"/>
        </w:rPr>
        <w:t> </w:t>
      </w:r>
      <w:r>
        <w:rPr/>
        <w:t>Inclusion</w:t>
      </w:r>
      <w:r>
        <w:rPr>
          <w:spacing w:val="-3"/>
        </w:rPr>
        <w:t> </w:t>
      </w:r>
      <w:r>
        <w:rPr/>
        <w:t>and</w:t>
      </w:r>
      <w:r>
        <w:rPr>
          <w:spacing w:val="-5"/>
        </w:rPr>
        <w:t> </w:t>
      </w:r>
      <w:r>
        <w:rPr/>
        <w:t>Development</w:t>
      </w:r>
      <w:r>
        <w:rPr>
          <w:spacing w:val="-6"/>
        </w:rPr>
        <w:t> </w:t>
      </w:r>
      <w:r>
        <w:rPr/>
        <w:t>(BID)</w:t>
      </w:r>
      <w:r>
        <w:rPr>
          <w:spacing w:val="-1"/>
        </w:rPr>
        <w:t> </w:t>
      </w:r>
      <w:r>
        <w:rPr/>
        <w:t>Department</w:t>
      </w:r>
      <w:r>
        <w:rPr>
          <w:spacing w:val="-4"/>
        </w:rPr>
        <w:t> </w:t>
      </w:r>
      <w:r>
        <w:rPr/>
        <w:t>a</w:t>
      </w:r>
      <w:r>
        <w:rPr>
          <w:spacing w:val="-5"/>
        </w:rPr>
        <w:t> </w:t>
      </w:r>
      <w:r>
        <w:rPr/>
        <w:t>division</w:t>
      </w:r>
      <w:r>
        <w:rPr>
          <w:spacing w:val="-3"/>
        </w:rPr>
        <w:t> </w:t>
      </w:r>
      <w:r>
        <w:rPr/>
        <w:t>of</w:t>
      </w:r>
      <w:r>
        <w:rPr>
          <w:spacing w:val="-6"/>
        </w:rPr>
        <w:t> </w:t>
      </w:r>
      <w:r>
        <w:rPr/>
        <w:t>the</w:t>
      </w:r>
      <w:r>
        <w:rPr>
          <w:spacing w:val="-3"/>
        </w:rPr>
        <w:t> </w:t>
      </w:r>
      <w:r>
        <w:rPr/>
        <w:t>City</w:t>
      </w:r>
      <w:r>
        <w:rPr>
          <w:spacing w:val="-5"/>
        </w:rPr>
        <w:t> </w:t>
      </w:r>
      <w:r>
        <w:rPr/>
        <w:t>of</w:t>
      </w:r>
      <w:r>
        <w:rPr>
          <w:spacing w:val="-1"/>
        </w:rPr>
        <w:t> </w:t>
      </w:r>
      <w:r>
        <w:rPr/>
        <w:t>Dallas’s Small Business Center to send an invitation to bid to M/WBE Subcontractors to bid on the Developer’s project. The list will compose of M/WBE companies from the following M/WBE certification agencies recognized by the City, the North Central Texas Regional Certification Agency</w:t>
      </w:r>
      <w:r>
        <w:rPr>
          <w:spacing w:val="-16"/>
        </w:rPr>
        <w:t> </w:t>
      </w:r>
      <w:r>
        <w:rPr/>
        <w:t>(NCTRCA),</w:t>
      </w:r>
      <w:r>
        <w:rPr>
          <w:spacing w:val="-15"/>
        </w:rPr>
        <w:t> </w:t>
      </w:r>
      <w:r>
        <w:rPr/>
        <w:t>Dallas</w:t>
      </w:r>
      <w:r>
        <w:rPr>
          <w:spacing w:val="-15"/>
        </w:rPr>
        <w:t> </w:t>
      </w:r>
      <w:r>
        <w:rPr/>
        <w:t>/</w:t>
      </w:r>
      <w:r>
        <w:rPr>
          <w:spacing w:val="-16"/>
        </w:rPr>
        <w:t> </w:t>
      </w:r>
      <w:r>
        <w:rPr/>
        <w:t>Fort</w:t>
      </w:r>
      <w:r>
        <w:rPr>
          <w:spacing w:val="-15"/>
        </w:rPr>
        <w:t> </w:t>
      </w:r>
      <w:r>
        <w:rPr/>
        <w:t>Worth</w:t>
      </w:r>
      <w:r>
        <w:rPr>
          <w:spacing w:val="-15"/>
        </w:rPr>
        <w:t> </w:t>
      </w:r>
      <w:r>
        <w:rPr/>
        <w:t>Minority</w:t>
      </w:r>
      <w:r>
        <w:rPr>
          <w:spacing w:val="-15"/>
        </w:rPr>
        <w:t> </w:t>
      </w:r>
      <w:r>
        <w:rPr/>
        <w:t>Supplier</w:t>
      </w:r>
      <w:r>
        <w:rPr>
          <w:spacing w:val="-16"/>
        </w:rPr>
        <w:t> </w:t>
      </w:r>
      <w:r>
        <w:rPr/>
        <w:t>Development</w:t>
      </w:r>
      <w:r>
        <w:rPr>
          <w:spacing w:val="-15"/>
        </w:rPr>
        <w:t> </w:t>
      </w:r>
      <w:r>
        <w:rPr/>
        <w:t>Council</w:t>
      </w:r>
      <w:r>
        <w:rPr>
          <w:spacing w:val="-15"/>
        </w:rPr>
        <w:t> </w:t>
      </w:r>
      <w:r>
        <w:rPr/>
        <w:t>(DFWMSDC),</w:t>
      </w:r>
      <w:r>
        <w:rPr>
          <w:spacing w:val="-16"/>
        </w:rPr>
        <w:t> </w:t>
      </w:r>
      <w:r>
        <w:rPr/>
        <w:t>and the</w:t>
      </w:r>
      <w:r>
        <w:rPr>
          <w:spacing w:val="-11"/>
        </w:rPr>
        <w:t> </w:t>
      </w:r>
      <w:r>
        <w:rPr/>
        <w:t>Women’s</w:t>
      </w:r>
      <w:r>
        <w:rPr>
          <w:spacing w:val="-10"/>
        </w:rPr>
        <w:t> </w:t>
      </w:r>
      <w:r>
        <w:rPr/>
        <w:t>Business</w:t>
      </w:r>
      <w:r>
        <w:rPr>
          <w:spacing w:val="-10"/>
        </w:rPr>
        <w:t> </w:t>
      </w:r>
      <w:r>
        <w:rPr/>
        <w:t>Council</w:t>
      </w:r>
      <w:r>
        <w:rPr>
          <w:spacing w:val="-11"/>
        </w:rPr>
        <w:t> </w:t>
      </w:r>
      <w:r>
        <w:rPr/>
        <w:t>Southwest</w:t>
      </w:r>
      <w:r>
        <w:rPr>
          <w:spacing w:val="-9"/>
        </w:rPr>
        <w:t> </w:t>
      </w:r>
      <w:r>
        <w:rPr/>
        <w:t>(WBCSW).</w:t>
      </w:r>
      <w:r>
        <w:rPr>
          <w:spacing w:val="-12"/>
        </w:rPr>
        <w:t> </w:t>
      </w:r>
      <w:r>
        <w:rPr/>
        <w:t>The</w:t>
      </w:r>
      <w:r>
        <w:rPr>
          <w:spacing w:val="-11"/>
        </w:rPr>
        <w:t> </w:t>
      </w:r>
      <w:r>
        <w:rPr/>
        <w:t>M/WBE</w:t>
      </w:r>
      <w:r>
        <w:rPr>
          <w:spacing w:val="-11"/>
        </w:rPr>
        <w:t> </w:t>
      </w:r>
      <w:r>
        <w:rPr/>
        <w:t>Subcontractor</w:t>
      </w:r>
      <w:r>
        <w:rPr>
          <w:spacing w:val="-10"/>
        </w:rPr>
        <w:t> </w:t>
      </w:r>
      <w:r>
        <w:rPr/>
        <w:t>list</w:t>
      </w:r>
      <w:r>
        <w:rPr>
          <w:spacing w:val="-9"/>
        </w:rPr>
        <w:t> </w:t>
      </w:r>
      <w:r>
        <w:rPr/>
        <w:t>request</w:t>
      </w:r>
      <w:r>
        <w:rPr>
          <w:spacing w:val="-9"/>
        </w:rPr>
        <w:t> </w:t>
      </w:r>
      <w:r>
        <w:rPr/>
        <w:t>will identify</w:t>
      </w:r>
      <w:r>
        <w:rPr>
          <w:spacing w:val="-4"/>
        </w:rPr>
        <w:t> </w:t>
      </w:r>
      <w:r>
        <w:rPr/>
        <w:t>the</w:t>
      </w:r>
      <w:r>
        <w:rPr>
          <w:spacing w:val="-4"/>
        </w:rPr>
        <w:t> </w:t>
      </w:r>
      <w:r>
        <w:rPr/>
        <w:t>scopes</w:t>
      </w:r>
      <w:r>
        <w:rPr>
          <w:spacing w:val="-6"/>
        </w:rPr>
        <w:t> </w:t>
      </w:r>
      <w:r>
        <w:rPr/>
        <w:t>of</w:t>
      </w:r>
      <w:r>
        <w:rPr>
          <w:spacing w:val="-5"/>
        </w:rPr>
        <w:t> </w:t>
      </w:r>
      <w:r>
        <w:rPr/>
        <w:t>work</w:t>
      </w:r>
      <w:r>
        <w:rPr>
          <w:spacing w:val="-4"/>
        </w:rPr>
        <w:t> </w:t>
      </w:r>
      <w:r>
        <w:rPr/>
        <w:t>or</w:t>
      </w:r>
      <w:r>
        <w:rPr>
          <w:spacing w:val="-3"/>
        </w:rPr>
        <w:t> </w:t>
      </w:r>
      <w:r>
        <w:rPr/>
        <w:t>construction</w:t>
      </w:r>
      <w:r>
        <w:rPr>
          <w:spacing w:val="-7"/>
        </w:rPr>
        <w:t> </w:t>
      </w:r>
      <w:r>
        <w:rPr/>
        <w:t>trades</w:t>
      </w:r>
      <w:r>
        <w:rPr>
          <w:spacing w:val="-8"/>
        </w:rPr>
        <w:t> </w:t>
      </w:r>
      <w:r>
        <w:rPr/>
        <w:t>that</w:t>
      </w:r>
      <w:r>
        <w:rPr>
          <w:spacing w:val="-5"/>
        </w:rPr>
        <w:t> </w:t>
      </w:r>
      <w:r>
        <w:rPr/>
        <w:t>the</w:t>
      </w:r>
      <w:r>
        <w:rPr>
          <w:spacing w:val="-4"/>
        </w:rPr>
        <w:t> </w:t>
      </w:r>
      <w:r>
        <w:rPr/>
        <w:t>Developer</w:t>
      </w:r>
      <w:r>
        <w:rPr>
          <w:spacing w:val="-3"/>
        </w:rPr>
        <w:t> </w:t>
      </w:r>
      <w:r>
        <w:rPr/>
        <w:t>plans</w:t>
      </w:r>
      <w:r>
        <w:rPr>
          <w:spacing w:val="-6"/>
        </w:rPr>
        <w:t> </w:t>
      </w:r>
      <w:r>
        <w:rPr/>
        <w:t>to</w:t>
      </w:r>
      <w:r>
        <w:rPr>
          <w:spacing w:val="-4"/>
        </w:rPr>
        <w:t> </w:t>
      </w:r>
      <w:r>
        <w:rPr/>
        <w:t>subcontract</w:t>
      </w:r>
      <w:r>
        <w:rPr>
          <w:spacing w:val="-3"/>
        </w:rPr>
        <w:t> </w:t>
      </w:r>
      <w:r>
        <w:rPr/>
        <w:t>as</w:t>
      </w:r>
      <w:r>
        <w:rPr>
          <w:spacing w:val="-4"/>
        </w:rPr>
        <w:t> </w:t>
      </w:r>
      <w:r>
        <w:rPr/>
        <w:t>part of the Developer’s hard construction cost.</w:t>
      </w:r>
    </w:p>
    <w:p>
      <w:pPr>
        <w:pStyle w:val="BodyText"/>
        <w:spacing w:before="11"/>
        <w:rPr>
          <w:sz w:val="21"/>
        </w:rPr>
      </w:pPr>
    </w:p>
    <w:p>
      <w:pPr>
        <w:pStyle w:val="BodyText"/>
        <w:ind w:left="120" w:right="158"/>
        <w:jc w:val="both"/>
      </w:pPr>
      <w:r>
        <w:rPr/>
        <w:t>Developers are to work with City’s BID Department to maximize M/WBE Subcontractor participation in</w:t>
      </w:r>
      <w:r>
        <w:rPr>
          <w:spacing w:val="-3"/>
        </w:rPr>
        <w:t> </w:t>
      </w:r>
      <w:r>
        <w:rPr/>
        <w:t>the</w:t>
      </w:r>
      <w:r>
        <w:rPr>
          <w:spacing w:val="-3"/>
        </w:rPr>
        <w:t> </w:t>
      </w:r>
      <w:r>
        <w:rPr/>
        <w:t>Developer’s project.</w:t>
      </w:r>
      <w:r>
        <w:rPr>
          <w:spacing w:val="-1"/>
        </w:rPr>
        <w:t> </w:t>
      </w:r>
      <w:r>
        <w:rPr/>
        <w:t>A</w:t>
      </w:r>
      <w:r>
        <w:rPr>
          <w:spacing w:val="-3"/>
        </w:rPr>
        <w:t> </w:t>
      </w:r>
      <w:r>
        <w:rPr/>
        <w:t>M/WBE</w:t>
      </w:r>
      <w:r>
        <w:rPr>
          <w:spacing w:val="-3"/>
        </w:rPr>
        <w:t> </w:t>
      </w:r>
      <w:r>
        <w:rPr/>
        <w:t>General</w:t>
      </w:r>
      <w:r>
        <w:rPr>
          <w:spacing w:val="-1"/>
        </w:rPr>
        <w:t> </w:t>
      </w:r>
      <w:r>
        <w:rPr/>
        <w:t>Contractor</w:t>
      </w:r>
      <w:r>
        <w:rPr>
          <w:spacing w:val="-1"/>
        </w:rPr>
        <w:t> </w:t>
      </w:r>
      <w:r>
        <w:rPr/>
        <w:t>does not</w:t>
      </w:r>
      <w:r>
        <w:rPr>
          <w:spacing w:val="-1"/>
        </w:rPr>
        <w:t> </w:t>
      </w:r>
      <w:r>
        <w:rPr/>
        <w:t>count</w:t>
      </w:r>
      <w:r>
        <w:rPr>
          <w:spacing w:val="-1"/>
        </w:rPr>
        <w:t> </w:t>
      </w:r>
      <w:r>
        <w:rPr/>
        <w:t>toward</w:t>
      </w:r>
      <w:r>
        <w:rPr>
          <w:spacing w:val="-3"/>
        </w:rPr>
        <w:t> </w:t>
      </w:r>
      <w:r>
        <w:rPr/>
        <w:t>the M/WBE</w:t>
      </w:r>
      <w:r>
        <w:rPr>
          <w:spacing w:val="-7"/>
        </w:rPr>
        <w:t> </w:t>
      </w:r>
      <w:r>
        <w:rPr/>
        <w:t>Subcontracting</w:t>
      </w:r>
      <w:r>
        <w:rPr>
          <w:spacing w:val="-9"/>
        </w:rPr>
        <w:t> </w:t>
      </w:r>
      <w:r>
        <w:rPr/>
        <w:t>Participation</w:t>
      </w:r>
      <w:r>
        <w:rPr>
          <w:spacing w:val="-9"/>
        </w:rPr>
        <w:t> </w:t>
      </w:r>
      <w:r>
        <w:rPr/>
        <w:t>Goal</w:t>
      </w:r>
      <w:r>
        <w:rPr>
          <w:spacing w:val="-7"/>
        </w:rPr>
        <w:t> </w:t>
      </w:r>
      <w:r>
        <w:rPr/>
        <w:t>but</w:t>
      </w:r>
      <w:r>
        <w:rPr>
          <w:spacing w:val="-5"/>
        </w:rPr>
        <w:t> </w:t>
      </w:r>
      <w:r>
        <w:rPr/>
        <w:t>is</w:t>
      </w:r>
      <w:r>
        <w:rPr>
          <w:spacing w:val="-11"/>
        </w:rPr>
        <w:t> </w:t>
      </w:r>
      <w:r>
        <w:rPr/>
        <w:t>encouraged</w:t>
      </w:r>
      <w:r>
        <w:rPr>
          <w:spacing w:val="-9"/>
        </w:rPr>
        <w:t> </w:t>
      </w:r>
      <w:r>
        <w:rPr/>
        <w:t>to</w:t>
      </w:r>
      <w:r>
        <w:rPr>
          <w:spacing w:val="-6"/>
        </w:rPr>
        <w:t> </w:t>
      </w:r>
      <w:r>
        <w:rPr/>
        <w:t>be</w:t>
      </w:r>
      <w:r>
        <w:rPr>
          <w:spacing w:val="-9"/>
        </w:rPr>
        <w:t> </w:t>
      </w:r>
      <w:r>
        <w:rPr/>
        <w:t>utilized</w:t>
      </w:r>
      <w:r>
        <w:rPr>
          <w:spacing w:val="-6"/>
        </w:rPr>
        <w:t> </w:t>
      </w:r>
      <w:r>
        <w:rPr/>
        <w:t>to</w:t>
      </w:r>
      <w:r>
        <w:rPr>
          <w:spacing w:val="-9"/>
        </w:rPr>
        <w:t> </w:t>
      </w:r>
      <w:r>
        <w:rPr/>
        <w:t>build</w:t>
      </w:r>
      <w:r>
        <w:rPr>
          <w:spacing w:val="-6"/>
        </w:rPr>
        <w:t> </w:t>
      </w:r>
      <w:r>
        <w:rPr/>
        <w:t>the</w:t>
      </w:r>
      <w:r>
        <w:rPr>
          <w:spacing w:val="-9"/>
        </w:rPr>
        <w:t> </w:t>
      </w:r>
      <w:r>
        <w:rPr/>
        <w:t>capacity</w:t>
      </w:r>
      <w:r>
        <w:rPr>
          <w:spacing w:val="-8"/>
        </w:rPr>
        <w:t> </w:t>
      </w:r>
      <w:r>
        <w:rPr/>
        <w:t>of M/WBE General Contractors.</w:t>
      </w:r>
    </w:p>
    <w:p>
      <w:pPr>
        <w:spacing w:after="0"/>
        <w:jc w:val="both"/>
        <w:sectPr>
          <w:pgSz w:w="12240" w:h="15840"/>
          <w:pgMar w:header="0" w:footer="1176" w:top="1380" w:bottom="1420" w:left="1320" w:right="1280"/>
        </w:sectPr>
      </w:pPr>
    </w:p>
    <w:p>
      <w:pPr>
        <w:pStyle w:val="Heading3"/>
        <w:jc w:val="both"/>
      </w:pPr>
      <w:bookmarkStart w:name="Single Family Development Requirements/U" w:id="86"/>
      <w:bookmarkEnd w:id="86"/>
      <w:r>
        <w:rPr/>
      </w:r>
      <w:bookmarkStart w:name="_bookmark37" w:id="87"/>
      <w:bookmarkEnd w:id="87"/>
      <w:r>
        <w:rPr/>
      </w:r>
      <w:r>
        <w:rPr>
          <w:color w:val="001F5F"/>
        </w:rPr>
        <w:t>Single</w:t>
      </w:r>
      <w:r>
        <w:rPr>
          <w:color w:val="001F5F"/>
          <w:spacing w:val="-15"/>
        </w:rPr>
        <w:t> </w:t>
      </w:r>
      <w:r>
        <w:rPr>
          <w:color w:val="001F5F"/>
        </w:rPr>
        <w:t>Family</w:t>
      </w:r>
      <w:r>
        <w:rPr>
          <w:color w:val="001F5F"/>
          <w:spacing w:val="-14"/>
        </w:rPr>
        <w:t> </w:t>
      </w:r>
      <w:r>
        <w:rPr>
          <w:color w:val="001F5F"/>
        </w:rPr>
        <w:t>Development</w:t>
      </w:r>
      <w:r>
        <w:rPr>
          <w:color w:val="001F5F"/>
          <w:spacing w:val="-15"/>
        </w:rPr>
        <w:t> </w:t>
      </w:r>
      <w:r>
        <w:rPr>
          <w:color w:val="001F5F"/>
          <w:spacing w:val="-2"/>
        </w:rPr>
        <w:t>Requirements/Underwriting</w:t>
      </w:r>
    </w:p>
    <w:p>
      <w:pPr>
        <w:pStyle w:val="ListParagraph"/>
        <w:numPr>
          <w:ilvl w:val="0"/>
          <w:numId w:val="26"/>
        </w:numPr>
        <w:tabs>
          <w:tab w:pos="392" w:val="left" w:leader="none"/>
        </w:tabs>
        <w:spacing w:line="240" w:lineRule="auto" w:before="282" w:after="0"/>
        <w:ind w:left="391" w:right="0" w:hanging="272"/>
        <w:jc w:val="left"/>
        <w:rPr>
          <w:sz w:val="22"/>
        </w:rPr>
      </w:pPr>
      <w:r>
        <w:rPr>
          <w:sz w:val="22"/>
        </w:rPr>
        <w:t>Eligible</w:t>
      </w:r>
      <w:r>
        <w:rPr>
          <w:spacing w:val="-11"/>
          <w:sz w:val="22"/>
        </w:rPr>
        <w:t> </w:t>
      </w:r>
      <w:r>
        <w:rPr>
          <w:sz w:val="22"/>
        </w:rPr>
        <w:t>Developer</w:t>
      </w:r>
      <w:r>
        <w:rPr>
          <w:spacing w:val="-8"/>
          <w:sz w:val="22"/>
        </w:rPr>
        <w:t> </w:t>
      </w:r>
      <w:r>
        <w:rPr>
          <w:spacing w:val="-2"/>
          <w:sz w:val="22"/>
        </w:rPr>
        <w:t>Applicants</w:t>
      </w:r>
    </w:p>
    <w:p>
      <w:pPr>
        <w:pStyle w:val="BodyText"/>
      </w:pPr>
    </w:p>
    <w:p>
      <w:pPr>
        <w:pStyle w:val="BodyText"/>
        <w:ind w:left="119" w:right="152"/>
        <w:jc w:val="both"/>
      </w:pPr>
      <w:r>
        <w:rPr/>
        <w:pict>
          <v:shape style="position:absolute;margin-left:90.065002pt;margin-top:56.626072pt;width:395.3pt;height:419pt;mso-position-horizontal-relative:page;mso-position-vertical-relative:paragraph;z-index:-17686016" id="docshape115" coordorigin="1801,1133" coordsize="7906,8380" path="m4498,8396l4492,8323,4477,8245,4455,8162,4432,8093,4403,8021,4367,7946,4325,7868,4276,7787,4237,7728,4200,7677,4200,8363,4197,8419,4186,8476,4167,8534,4138,8593,4097,8656,4044,8722,3979,8791,3674,9097,2216,7639,2517,7338,2598,7262,2672,7202,2740,7159,2801,7132,2868,7118,2941,7114,3020,7120,3105,7138,3195,7167,3255,7193,3317,7225,3380,7264,3446,7309,3514,7361,3584,7419,3656,7484,3729,7555,3789,7616,3845,7677,3896,7736,3943,7793,3986,7850,4025,7905,4059,7959,4101,8034,4136,8106,4163,8176,4183,8243,4196,8307,4200,8363,4200,7677,4194,7668,4148,7608,4098,7548,4045,7487,3989,7425,3929,7364,3865,7301,3801,7243,3737,7188,3673,7137,3643,7114,3609,7089,3546,7044,3482,7003,3419,6965,3346,6927,3274,6895,3203,6868,3132,6846,3062,6829,2992,6817,2923,6809,2850,6808,2779,6815,2709,6830,2642,6852,2577,6883,2528,6911,2476,6948,2420,6994,2359,7048,2294,7110,1801,7603,3710,9512,4124,9097,4226,8995,4287,8930,4341,8865,4386,8799,4424,8732,4454,8666,4476,8599,4491,8532,4498,8465,4498,8396xm6418,6803l6056,6676,5650,6533,5561,6503,5475,6480,5393,6460,5365,6455,5314,6446,5239,6436,5193,6434,5143,6437,5089,6444,5030,6455,5073,6386,5109,6316,5136,6247,5154,6178,5164,6109,5165,6041,5157,5973,5139,5895,5111,5819,5075,5745,5030,5672,4976,5601,4956,5579,4913,5533,4872,5494,4872,6052,4868,6108,4854,6162,4830,6219,4794,6277,4747,6338,4687,6402,4280,6809,3649,6178,4102,5725,4166,5668,4229,5624,4293,5595,4358,5580,4422,5579,4501,5594,4577,5624,4649,5668,4718,5728,4761,5775,4797,5826,4827,5880,4851,5936,4867,5995,4872,6052,4872,5494,4849,5473,4782,5421,4713,5375,4641,5337,4566,5304,4474,5276,4386,5263,4303,5265,4225,5281,4163,5306,4098,5343,4030,5391,3958,5451,3883,5522,3248,6156,5157,8065,5346,7875,4499,7028,4718,6809,4753,6774,4783,6747,4810,6726,4833,6712,4863,6698,4896,6687,4932,6680,4971,6676,5014,6676,5066,6681,5125,6691,5194,6707,5256,6725,5328,6746,5407,6771,5496,6800,6180,7041,6418,6803xm7780,5441l7415,5246,6555,4792,6555,5099,6070,5584,6030,5512,5989,5441,5748,5010,5708,4938,5668,4867,5629,4801,5590,4737,5550,4673,5509,4610,5467,4547,5424,4486,5380,4425,5436,4461,5498,4499,5564,4539,5635,4581,5792,4671,6555,5099,6555,4792,5862,4425,5286,4119,5082,4323,5277,4673,5316,4743,5701,5441,6207,6360,6441,6781,6642,6579,6565,6446,6298,5978,6221,5844,6481,5584,6820,5246,7173,5441,7565,5657,7780,5441xm8131,5090l7264,4223,7936,3552,7711,3326,7039,3998,6448,3407,7224,2631,6999,2406,6033,3372,7941,5280,8131,5090xm9707,3514l8024,1831,8497,1358,8272,1133,7138,2267,7363,2492,7834,2021,9517,3704,9707,3514xe" filled="true" fillcolor="#c0c0c0" stroked="false">
            <v:path arrowok="t"/>
            <v:fill opacity="32896f" type="solid"/>
            <w10:wrap type="none"/>
          </v:shape>
        </w:pict>
      </w:r>
      <w:r>
        <w:rPr/>
        <w:t>The</w:t>
      </w:r>
      <w:r>
        <w:rPr>
          <w:spacing w:val="-3"/>
        </w:rPr>
        <w:t> </w:t>
      </w:r>
      <w:r>
        <w:rPr/>
        <w:t>City</w:t>
      </w:r>
      <w:r>
        <w:rPr>
          <w:spacing w:val="-5"/>
        </w:rPr>
        <w:t> </w:t>
      </w:r>
      <w:r>
        <w:rPr/>
        <w:t>of</w:t>
      </w:r>
      <w:r>
        <w:rPr>
          <w:spacing w:val="-5"/>
        </w:rPr>
        <w:t> </w:t>
      </w:r>
      <w:r>
        <w:rPr/>
        <w:t>Dallas</w:t>
      </w:r>
      <w:r>
        <w:rPr>
          <w:spacing w:val="-3"/>
        </w:rPr>
        <w:t> </w:t>
      </w:r>
      <w:r>
        <w:rPr/>
        <w:t>will</w:t>
      </w:r>
      <w:r>
        <w:rPr>
          <w:spacing w:val="-4"/>
        </w:rPr>
        <w:t> </w:t>
      </w:r>
      <w:r>
        <w:rPr/>
        <w:t>fund</w:t>
      </w:r>
      <w:r>
        <w:rPr>
          <w:spacing w:val="-4"/>
        </w:rPr>
        <w:t> </w:t>
      </w:r>
      <w:r>
        <w:rPr/>
        <w:t>developers</w:t>
      </w:r>
      <w:r>
        <w:rPr>
          <w:spacing w:val="-5"/>
        </w:rPr>
        <w:t> </w:t>
      </w:r>
      <w:r>
        <w:rPr/>
        <w:t>of</w:t>
      </w:r>
      <w:r>
        <w:rPr>
          <w:spacing w:val="-2"/>
        </w:rPr>
        <w:t> </w:t>
      </w:r>
      <w:r>
        <w:rPr/>
        <w:t>affordable</w:t>
      </w:r>
      <w:r>
        <w:rPr>
          <w:spacing w:val="-4"/>
        </w:rPr>
        <w:t> </w:t>
      </w:r>
      <w:r>
        <w:rPr/>
        <w:t>single-family</w:t>
      </w:r>
      <w:r>
        <w:rPr>
          <w:spacing w:val="-3"/>
        </w:rPr>
        <w:t> </w:t>
      </w:r>
      <w:r>
        <w:rPr/>
        <w:t>homebuyer</w:t>
      </w:r>
      <w:r>
        <w:rPr>
          <w:spacing w:val="-2"/>
        </w:rPr>
        <w:t> </w:t>
      </w:r>
      <w:r>
        <w:rPr/>
        <w:t>units,</w:t>
      </w:r>
      <w:r>
        <w:rPr>
          <w:spacing w:val="-4"/>
        </w:rPr>
        <w:t> </w:t>
      </w:r>
      <w:r>
        <w:rPr/>
        <w:t>including</w:t>
      </w:r>
      <w:r>
        <w:rPr>
          <w:spacing w:val="-4"/>
        </w:rPr>
        <w:t> </w:t>
      </w:r>
      <w:r>
        <w:rPr/>
        <w:t>for- profit</w:t>
      </w:r>
      <w:r>
        <w:rPr>
          <w:spacing w:val="-16"/>
        </w:rPr>
        <w:t> </w:t>
      </w:r>
      <w:r>
        <w:rPr/>
        <w:t>developers,</w:t>
      </w:r>
      <w:r>
        <w:rPr>
          <w:spacing w:val="-15"/>
        </w:rPr>
        <w:t> </w:t>
      </w:r>
      <w:r>
        <w:rPr/>
        <w:t>non-profit</w:t>
      </w:r>
      <w:r>
        <w:rPr>
          <w:spacing w:val="-12"/>
        </w:rPr>
        <w:t> </w:t>
      </w:r>
      <w:r>
        <w:rPr/>
        <w:t>developers,</w:t>
      </w:r>
      <w:r>
        <w:rPr>
          <w:spacing w:val="-15"/>
        </w:rPr>
        <w:t> </w:t>
      </w:r>
      <w:r>
        <w:rPr/>
        <w:t>and</w:t>
      </w:r>
      <w:r>
        <w:rPr>
          <w:spacing w:val="-14"/>
        </w:rPr>
        <w:t> </w:t>
      </w:r>
      <w:r>
        <w:rPr/>
        <w:t>City</w:t>
      </w:r>
      <w:r>
        <w:rPr>
          <w:spacing w:val="-16"/>
        </w:rPr>
        <w:t> </w:t>
      </w:r>
      <w:r>
        <w:rPr/>
        <w:t>of</w:t>
      </w:r>
      <w:r>
        <w:rPr>
          <w:spacing w:val="-12"/>
        </w:rPr>
        <w:t> </w:t>
      </w:r>
      <w:r>
        <w:rPr/>
        <w:t>Dallas-designated</w:t>
      </w:r>
      <w:r>
        <w:rPr>
          <w:spacing w:val="-16"/>
        </w:rPr>
        <w:t> </w:t>
      </w:r>
      <w:r>
        <w:rPr/>
        <w:t>CHDOs,</w:t>
      </w:r>
      <w:r>
        <w:rPr>
          <w:spacing w:val="-15"/>
        </w:rPr>
        <w:t> </w:t>
      </w:r>
      <w:r>
        <w:rPr/>
        <w:t>with</w:t>
      </w:r>
      <w:r>
        <w:rPr>
          <w:spacing w:val="-14"/>
        </w:rPr>
        <w:t> </w:t>
      </w:r>
      <w:r>
        <w:rPr/>
        <w:t>City</w:t>
      </w:r>
      <w:r>
        <w:rPr>
          <w:spacing w:val="-16"/>
        </w:rPr>
        <w:t> </w:t>
      </w:r>
      <w:r>
        <w:rPr/>
        <w:t>of</w:t>
      </w:r>
      <w:r>
        <w:rPr>
          <w:spacing w:val="-15"/>
        </w:rPr>
        <w:t> </w:t>
      </w:r>
      <w:r>
        <w:rPr/>
        <w:t>Dallas HOME</w:t>
      </w:r>
      <w:r>
        <w:rPr>
          <w:spacing w:val="-16"/>
        </w:rPr>
        <w:t> </w:t>
      </w:r>
      <w:r>
        <w:rPr/>
        <w:t>single-family</w:t>
      </w:r>
      <w:r>
        <w:rPr>
          <w:spacing w:val="-11"/>
        </w:rPr>
        <w:t> </w:t>
      </w:r>
      <w:r>
        <w:rPr/>
        <w:t>development</w:t>
      </w:r>
      <w:r>
        <w:rPr>
          <w:spacing w:val="-13"/>
        </w:rPr>
        <w:t> </w:t>
      </w:r>
      <w:r>
        <w:rPr/>
        <w:t>program</w:t>
      </w:r>
      <w:r>
        <w:rPr>
          <w:spacing w:val="-16"/>
        </w:rPr>
        <w:t> </w:t>
      </w:r>
      <w:r>
        <w:rPr/>
        <w:t>funds.</w:t>
      </w:r>
      <w:r>
        <w:rPr>
          <w:spacing w:val="-11"/>
        </w:rPr>
        <w:t> </w:t>
      </w:r>
      <w:r>
        <w:rPr/>
        <w:t>Developers</w:t>
      </w:r>
      <w:r>
        <w:rPr>
          <w:spacing w:val="-16"/>
        </w:rPr>
        <w:t> </w:t>
      </w:r>
      <w:r>
        <w:rPr/>
        <w:t>must</w:t>
      </w:r>
      <w:r>
        <w:rPr>
          <w:spacing w:val="-12"/>
        </w:rPr>
        <w:t> </w:t>
      </w:r>
      <w:r>
        <w:rPr/>
        <w:t>demonstrate</w:t>
      </w:r>
      <w:r>
        <w:rPr>
          <w:spacing w:val="-15"/>
        </w:rPr>
        <w:t> </w:t>
      </w:r>
      <w:r>
        <w:rPr/>
        <w:t>the</w:t>
      </w:r>
      <w:r>
        <w:rPr>
          <w:spacing w:val="-15"/>
        </w:rPr>
        <w:t> </w:t>
      </w:r>
      <w:r>
        <w:rPr/>
        <w:t>capacity</w:t>
      </w:r>
      <w:r>
        <w:rPr>
          <w:spacing w:val="-14"/>
        </w:rPr>
        <w:t> </w:t>
      </w:r>
      <w:r>
        <w:rPr/>
        <w:t>and previous experience developing projects of the type presented in their proposals. Prior to committing</w:t>
      </w:r>
      <w:r>
        <w:rPr>
          <w:spacing w:val="-4"/>
        </w:rPr>
        <w:t> </w:t>
      </w:r>
      <w:r>
        <w:rPr/>
        <w:t>funds,</w:t>
      </w:r>
      <w:r>
        <w:rPr>
          <w:spacing w:val="-3"/>
        </w:rPr>
        <w:t> </w:t>
      </w:r>
      <w:r>
        <w:rPr/>
        <w:t>the</w:t>
      </w:r>
      <w:r>
        <w:rPr>
          <w:spacing w:val="-4"/>
        </w:rPr>
        <w:t> </w:t>
      </w:r>
      <w:r>
        <w:rPr/>
        <w:t>City</w:t>
      </w:r>
      <w:r>
        <w:rPr>
          <w:spacing w:val="-1"/>
        </w:rPr>
        <w:t> </w:t>
      </w:r>
      <w:r>
        <w:rPr/>
        <w:t>of</w:t>
      </w:r>
      <w:r>
        <w:rPr>
          <w:spacing w:val="-2"/>
        </w:rPr>
        <w:t> </w:t>
      </w:r>
      <w:r>
        <w:rPr/>
        <w:t>Dallas</w:t>
      </w:r>
      <w:r>
        <w:rPr>
          <w:spacing w:val="-1"/>
        </w:rPr>
        <w:t> </w:t>
      </w:r>
      <w:r>
        <w:rPr/>
        <w:t>will</w:t>
      </w:r>
      <w:r>
        <w:rPr>
          <w:spacing w:val="-2"/>
        </w:rPr>
        <w:t> </w:t>
      </w:r>
      <w:r>
        <w:rPr/>
        <w:t>review</w:t>
      </w:r>
      <w:r>
        <w:rPr>
          <w:spacing w:val="-5"/>
        </w:rPr>
        <w:t> </w:t>
      </w:r>
      <w:r>
        <w:rPr/>
        <w:t>the</w:t>
      </w:r>
      <w:r>
        <w:rPr>
          <w:spacing w:val="-4"/>
        </w:rPr>
        <w:t> </w:t>
      </w:r>
      <w:r>
        <w:rPr/>
        <w:t>status</w:t>
      </w:r>
      <w:r>
        <w:rPr>
          <w:spacing w:val="-4"/>
        </w:rPr>
        <w:t> </w:t>
      </w:r>
      <w:r>
        <w:rPr/>
        <w:t>of</w:t>
      </w:r>
      <w:r>
        <w:rPr>
          <w:spacing w:val="-3"/>
        </w:rPr>
        <w:t> </w:t>
      </w:r>
      <w:r>
        <w:rPr/>
        <w:t>any</w:t>
      </w:r>
      <w:r>
        <w:rPr>
          <w:spacing w:val="-4"/>
        </w:rPr>
        <w:t> </w:t>
      </w:r>
      <w:r>
        <w:rPr/>
        <w:t>organization</w:t>
      </w:r>
      <w:r>
        <w:rPr>
          <w:spacing w:val="-2"/>
        </w:rPr>
        <w:t> </w:t>
      </w:r>
      <w:r>
        <w:rPr/>
        <w:t>seeking</w:t>
      </w:r>
      <w:r>
        <w:rPr>
          <w:spacing w:val="-4"/>
        </w:rPr>
        <w:t> </w:t>
      </w:r>
      <w:r>
        <w:rPr/>
        <w:t>funds</w:t>
      </w:r>
      <w:r>
        <w:rPr>
          <w:spacing w:val="-4"/>
        </w:rPr>
        <w:t> </w:t>
      </w:r>
      <w:r>
        <w:rPr/>
        <w:t>from the</w:t>
      </w:r>
      <w:r>
        <w:rPr>
          <w:spacing w:val="-4"/>
        </w:rPr>
        <w:t> </w:t>
      </w:r>
      <w:r>
        <w:rPr/>
        <w:t>CHDO</w:t>
      </w:r>
      <w:r>
        <w:rPr>
          <w:spacing w:val="-5"/>
        </w:rPr>
        <w:t> </w:t>
      </w:r>
      <w:r>
        <w:rPr/>
        <w:t>set-aside</w:t>
      </w:r>
      <w:r>
        <w:rPr>
          <w:spacing w:val="-6"/>
        </w:rPr>
        <w:t> </w:t>
      </w:r>
      <w:r>
        <w:rPr/>
        <w:t>to</w:t>
      </w:r>
      <w:r>
        <w:rPr>
          <w:spacing w:val="-6"/>
        </w:rPr>
        <w:t> </w:t>
      </w:r>
      <w:r>
        <w:rPr/>
        <w:t>ensure</w:t>
      </w:r>
      <w:r>
        <w:rPr>
          <w:spacing w:val="-7"/>
        </w:rPr>
        <w:t> </w:t>
      </w:r>
      <w:r>
        <w:rPr/>
        <w:t>that</w:t>
      </w:r>
      <w:r>
        <w:rPr>
          <w:spacing w:val="-5"/>
        </w:rPr>
        <w:t> </w:t>
      </w:r>
      <w:r>
        <w:rPr/>
        <w:t>it</w:t>
      </w:r>
      <w:r>
        <w:rPr>
          <w:spacing w:val="-7"/>
        </w:rPr>
        <w:t> </w:t>
      </w:r>
      <w:r>
        <w:rPr/>
        <w:t>meets</w:t>
      </w:r>
      <w:r>
        <w:rPr>
          <w:spacing w:val="-6"/>
        </w:rPr>
        <w:t> </w:t>
      </w:r>
      <w:r>
        <w:rPr/>
        <w:t>all</w:t>
      </w:r>
      <w:r>
        <w:rPr>
          <w:spacing w:val="-5"/>
        </w:rPr>
        <w:t> </w:t>
      </w:r>
      <w:r>
        <w:rPr/>
        <w:t>HOME</w:t>
      </w:r>
      <w:r>
        <w:rPr>
          <w:spacing w:val="-7"/>
        </w:rPr>
        <w:t> </w:t>
      </w:r>
      <w:r>
        <w:rPr/>
        <w:t>requirements</w:t>
      </w:r>
      <w:r>
        <w:rPr>
          <w:spacing w:val="-4"/>
        </w:rPr>
        <w:t> </w:t>
      </w:r>
      <w:r>
        <w:rPr/>
        <w:t>and</w:t>
      </w:r>
      <w:r>
        <w:rPr>
          <w:spacing w:val="-7"/>
        </w:rPr>
        <w:t> </w:t>
      </w:r>
      <w:r>
        <w:rPr/>
        <w:t>that</w:t>
      </w:r>
      <w:r>
        <w:rPr>
          <w:spacing w:val="-3"/>
        </w:rPr>
        <w:t> </w:t>
      </w:r>
      <w:r>
        <w:rPr/>
        <w:t>it</w:t>
      </w:r>
      <w:r>
        <w:rPr>
          <w:spacing w:val="-5"/>
        </w:rPr>
        <w:t> </w:t>
      </w:r>
      <w:r>
        <w:rPr/>
        <w:t>has</w:t>
      </w:r>
      <w:r>
        <w:rPr>
          <w:spacing w:val="-6"/>
        </w:rPr>
        <w:t> </w:t>
      </w:r>
      <w:r>
        <w:rPr/>
        <w:t>sufficient</w:t>
      </w:r>
      <w:r>
        <w:rPr>
          <w:spacing w:val="-5"/>
        </w:rPr>
        <w:t> </w:t>
      </w:r>
      <w:r>
        <w:rPr/>
        <w:t>staff and financial capacity to carry out the project.</w:t>
      </w:r>
    </w:p>
    <w:p>
      <w:pPr>
        <w:pStyle w:val="BodyText"/>
        <w:spacing w:before="11"/>
        <w:rPr>
          <w:sz w:val="21"/>
        </w:rPr>
      </w:pPr>
    </w:p>
    <w:p>
      <w:pPr>
        <w:pStyle w:val="BodyText"/>
        <w:spacing w:line="252" w:lineRule="exact"/>
        <w:ind w:left="120"/>
        <w:jc w:val="both"/>
      </w:pPr>
      <w:r>
        <w:rPr/>
        <w:t>Project</w:t>
      </w:r>
      <w:r>
        <w:rPr>
          <w:spacing w:val="-3"/>
        </w:rPr>
        <w:t> </w:t>
      </w:r>
      <w:r>
        <w:rPr>
          <w:spacing w:val="-2"/>
        </w:rPr>
        <w:t>Location</w:t>
      </w:r>
    </w:p>
    <w:p>
      <w:pPr>
        <w:pStyle w:val="BodyText"/>
        <w:spacing w:line="252" w:lineRule="exact"/>
        <w:ind w:left="120"/>
        <w:jc w:val="both"/>
      </w:pPr>
      <w:r>
        <w:rPr/>
        <w:t>Projects</w:t>
      </w:r>
      <w:r>
        <w:rPr>
          <w:spacing w:val="-6"/>
        </w:rPr>
        <w:t> </w:t>
      </w:r>
      <w:r>
        <w:rPr/>
        <w:t>must</w:t>
      </w:r>
      <w:r>
        <w:rPr>
          <w:spacing w:val="-1"/>
        </w:rPr>
        <w:t> </w:t>
      </w:r>
      <w:r>
        <w:rPr/>
        <w:t>be</w:t>
      </w:r>
      <w:r>
        <w:rPr>
          <w:spacing w:val="-5"/>
        </w:rPr>
        <w:t> </w:t>
      </w:r>
      <w:r>
        <w:rPr/>
        <w:t>located</w:t>
      </w:r>
      <w:r>
        <w:rPr>
          <w:spacing w:val="-5"/>
        </w:rPr>
        <w:t> </w:t>
      </w:r>
      <w:r>
        <w:rPr/>
        <w:t>within</w:t>
      </w:r>
      <w:r>
        <w:rPr>
          <w:spacing w:val="-3"/>
        </w:rPr>
        <w:t> </w:t>
      </w:r>
      <w:r>
        <w:rPr/>
        <w:t>the</w:t>
      </w:r>
      <w:r>
        <w:rPr>
          <w:spacing w:val="-5"/>
        </w:rPr>
        <w:t> </w:t>
      </w:r>
      <w:r>
        <w:rPr/>
        <w:t>city</w:t>
      </w:r>
      <w:r>
        <w:rPr>
          <w:spacing w:val="-5"/>
        </w:rPr>
        <w:t> </w:t>
      </w:r>
      <w:r>
        <w:rPr/>
        <w:t>limits</w:t>
      </w:r>
      <w:r>
        <w:rPr>
          <w:spacing w:val="-5"/>
        </w:rPr>
        <w:t> </w:t>
      </w:r>
      <w:r>
        <w:rPr/>
        <w:t>of</w:t>
      </w:r>
      <w:r>
        <w:rPr>
          <w:spacing w:val="-3"/>
        </w:rPr>
        <w:t> </w:t>
      </w:r>
      <w:r>
        <w:rPr>
          <w:spacing w:val="-2"/>
        </w:rPr>
        <w:t>Dallas.</w:t>
      </w:r>
    </w:p>
    <w:p>
      <w:pPr>
        <w:pStyle w:val="BodyText"/>
      </w:pPr>
    </w:p>
    <w:p>
      <w:pPr>
        <w:pStyle w:val="BodyText"/>
        <w:ind w:left="120"/>
        <w:jc w:val="both"/>
      </w:pPr>
      <w:r>
        <w:rPr/>
        <w:t>Project</w:t>
      </w:r>
      <w:r>
        <w:rPr>
          <w:spacing w:val="-3"/>
        </w:rPr>
        <w:t> </w:t>
      </w:r>
      <w:r>
        <w:rPr>
          <w:spacing w:val="-2"/>
        </w:rPr>
        <w:t>Types</w:t>
      </w:r>
    </w:p>
    <w:p>
      <w:pPr>
        <w:pStyle w:val="BodyText"/>
        <w:spacing w:before="2"/>
        <w:ind w:left="119" w:right="157"/>
        <w:jc w:val="both"/>
      </w:pPr>
      <w:r>
        <w:rPr/>
        <w:t>Funds</w:t>
      </w:r>
      <w:r>
        <w:rPr>
          <w:spacing w:val="-9"/>
        </w:rPr>
        <w:t> </w:t>
      </w:r>
      <w:r>
        <w:rPr/>
        <w:t>will</w:t>
      </w:r>
      <w:r>
        <w:rPr>
          <w:spacing w:val="-10"/>
        </w:rPr>
        <w:t> </w:t>
      </w:r>
      <w:r>
        <w:rPr/>
        <w:t>be</w:t>
      </w:r>
      <w:r>
        <w:rPr>
          <w:spacing w:val="-10"/>
        </w:rPr>
        <w:t> </w:t>
      </w:r>
      <w:r>
        <w:rPr/>
        <w:t>provided</w:t>
      </w:r>
      <w:r>
        <w:rPr>
          <w:spacing w:val="-11"/>
        </w:rPr>
        <w:t> </w:t>
      </w:r>
      <w:r>
        <w:rPr/>
        <w:t>for</w:t>
      </w:r>
      <w:r>
        <w:rPr>
          <w:spacing w:val="-9"/>
        </w:rPr>
        <w:t> </w:t>
      </w:r>
      <w:r>
        <w:rPr/>
        <w:t>new</w:t>
      </w:r>
      <w:r>
        <w:rPr>
          <w:spacing w:val="-12"/>
        </w:rPr>
        <w:t> </w:t>
      </w:r>
      <w:r>
        <w:rPr/>
        <w:t>construction</w:t>
      </w:r>
      <w:r>
        <w:rPr>
          <w:spacing w:val="-10"/>
        </w:rPr>
        <w:t> </w:t>
      </w:r>
      <w:r>
        <w:rPr/>
        <w:t>projects.</w:t>
      </w:r>
      <w:r>
        <w:rPr>
          <w:spacing w:val="-10"/>
        </w:rPr>
        <w:t> </w:t>
      </w:r>
      <w:r>
        <w:rPr/>
        <w:t>In</w:t>
      </w:r>
      <w:r>
        <w:rPr>
          <w:spacing w:val="-11"/>
        </w:rPr>
        <w:t> </w:t>
      </w:r>
      <w:r>
        <w:rPr/>
        <w:t>general,</w:t>
      </w:r>
      <w:r>
        <w:rPr>
          <w:spacing w:val="-10"/>
        </w:rPr>
        <w:t> </w:t>
      </w:r>
      <w:r>
        <w:rPr/>
        <w:t>the</w:t>
      </w:r>
      <w:r>
        <w:rPr>
          <w:spacing w:val="-10"/>
        </w:rPr>
        <w:t> </w:t>
      </w:r>
      <w:r>
        <w:rPr/>
        <w:t>City</w:t>
      </w:r>
      <w:r>
        <w:rPr>
          <w:spacing w:val="-11"/>
        </w:rPr>
        <w:t> </w:t>
      </w:r>
      <w:r>
        <w:rPr/>
        <w:t>of</w:t>
      </w:r>
      <w:r>
        <w:rPr>
          <w:spacing w:val="-10"/>
        </w:rPr>
        <w:t> </w:t>
      </w:r>
      <w:r>
        <w:rPr/>
        <w:t>Dallas</w:t>
      </w:r>
      <w:r>
        <w:rPr>
          <w:spacing w:val="-9"/>
        </w:rPr>
        <w:t> </w:t>
      </w:r>
      <w:r>
        <w:rPr/>
        <w:t>will</w:t>
      </w:r>
      <w:r>
        <w:rPr>
          <w:spacing w:val="-10"/>
        </w:rPr>
        <w:t> </w:t>
      </w:r>
      <w:r>
        <w:rPr/>
        <w:t>require</w:t>
      </w:r>
      <w:r>
        <w:rPr>
          <w:spacing w:val="-10"/>
        </w:rPr>
        <w:t> </w:t>
      </w:r>
      <w:r>
        <w:rPr/>
        <w:t>that all homes constructed have a minimum square footage of 1,200 square ft, at least 3 bedrooms, and at least 1.5 bathrooms. RFPs issued by the City of Dallas may further specify or provide priority for eligible project types.</w:t>
      </w:r>
    </w:p>
    <w:p>
      <w:pPr>
        <w:pStyle w:val="BodyText"/>
        <w:spacing w:before="11"/>
        <w:rPr>
          <w:sz w:val="21"/>
        </w:rPr>
      </w:pPr>
    </w:p>
    <w:p>
      <w:pPr>
        <w:pStyle w:val="BodyText"/>
        <w:spacing w:line="252" w:lineRule="exact"/>
        <w:ind w:left="119"/>
        <w:jc w:val="both"/>
      </w:pPr>
      <w:r>
        <w:rPr/>
        <w:t>Parameters</w:t>
      </w:r>
      <w:r>
        <w:rPr>
          <w:spacing w:val="-6"/>
        </w:rPr>
        <w:t> </w:t>
      </w:r>
      <w:r>
        <w:rPr/>
        <w:t>of</w:t>
      </w:r>
      <w:r>
        <w:rPr>
          <w:spacing w:val="-5"/>
        </w:rPr>
        <w:t> </w:t>
      </w:r>
      <w:r>
        <w:rPr/>
        <w:t>HOME</w:t>
      </w:r>
      <w:r>
        <w:rPr>
          <w:spacing w:val="-5"/>
        </w:rPr>
        <w:t> </w:t>
      </w:r>
      <w:r>
        <w:rPr>
          <w:spacing w:val="-2"/>
        </w:rPr>
        <w:t>Investment</w:t>
      </w:r>
    </w:p>
    <w:p>
      <w:pPr>
        <w:pStyle w:val="BodyText"/>
        <w:ind w:left="119" w:right="160"/>
        <w:jc w:val="both"/>
      </w:pPr>
      <w:r>
        <w:rPr/>
        <w:t>Applications</w:t>
      </w:r>
      <w:r>
        <w:rPr>
          <w:spacing w:val="-8"/>
        </w:rPr>
        <w:t> </w:t>
      </w:r>
      <w:r>
        <w:rPr/>
        <w:t>must</w:t>
      </w:r>
      <w:r>
        <w:rPr>
          <w:spacing w:val="-10"/>
        </w:rPr>
        <w:t> </w:t>
      </w:r>
      <w:r>
        <w:rPr/>
        <w:t>include</w:t>
      </w:r>
      <w:r>
        <w:rPr>
          <w:spacing w:val="-9"/>
        </w:rPr>
        <w:t> </w:t>
      </w:r>
      <w:r>
        <w:rPr/>
        <w:t>an</w:t>
      </w:r>
      <w:r>
        <w:rPr>
          <w:spacing w:val="-9"/>
        </w:rPr>
        <w:t> </w:t>
      </w:r>
      <w:r>
        <w:rPr/>
        <w:t>investment</w:t>
      </w:r>
      <w:r>
        <w:rPr>
          <w:spacing w:val="-10"/>
        </w:rPr>
        <w:t> </w:t>
      </w:r>
      <w:r>
        <w:rPr/>
        <w:t>of</w:t>
      </w:r>
      <w:r>
        <w:rPr>
          <w:spacing w:val="-7"/>
        </w:rPr>
        <w:t> </w:t>
      </w:r>
      <w:r>
        <w:rPr/>
        <w:t>$1,000</w:t>
      </w:r>
      <w:r>
        <w:rPr>
          <w:spacing w:val="-9"/>
        </w:rPr>
        <w:t> </w:t>
      </w:r>
      <w:r>
        <w:rPr/>
        <w:t>in</w:t>
      </w:r>
      <w:r>
        <w:rPr>
          <w:spacing w:val="-9"/>
        </w:rPr>
        <w:t> </w:t>
      </w:r>
      <w:r>
        <w:rPr/>
        <w:t>HOME</w:t>
      </w:r>
      <w:r>
        <w:rPr>
          <w:spacing w:val="-12"/>
        </w:rPr>
        <w:t> </w:t>
      </w:r>
      <w:r>
        <w:rPr/>
        <w:t>funds</w:t>
      </w:r>
      <w:r>
        <w:rPr>
          <w:spacing w:val="-8"/>
        </w:rPr>
        <w:t> </w:t>
      </w:r>
      <w:r>
        <w:rPr/>
        <w:t>per</w:t>
      </w:r>
      <w:r>
        <w:rPr>
          <w:spacing w:val="-8"/>
        </w:rPr>
        <w:t> </w:t>
      </w:r>
      <w:r>
        <w:rPr/>
        <w:t>HOME</w:t>
      </w:r>
      <w:r>
        <w:rPr>
          <w:spacing w:val="-9"/>
        </w:rPr>
        <w:t> </w:t>
      </w:r>
      <w:r>
        <w:rPr/>
        <w:t>unit.</w:t>
      </w:r>
      <w:r>
        <w:rPr>
          <w:spacing w:val="-10"/>
        </w:rPr>
        <w:t> </w:t>
      </w:r>
      <w:r>
        <w:rPr/>
        <w:t>In</w:t>
      </w:r>
      <w:r>
        <w:rPr>
          <w:spacing w:val="-11"/>
        </w:rPr>
        <w:t> </w:t>
      </w:r>
      <w:r>
        <w:rPr/>
        <w:t>no</w:t>
      </w:r>
      <w:r>
        <w:rPr>
          <w:spacing w:val="-9"/>
        </w:rPr>
        <w:t> </w:t>
      </w:r>
      <w:r>
        <w:rPr/>
        <w:t>case</w:t>
      </w:r>
      <w:r>
        <w:rPr>
          <w:spacing w:val="-9"/>
        </w:rPr>
        <w:t> </w:t>
      </w:r>
      <w:r>
        <w:rPr/>
        <w:t>will the City of Dallas investment exceed the maximum HOME investment allowed under 24 CFR </w:t>
      </w:r>
      <w:r>
        <w:rPr>
          <w:spacing w:val="-2"/>
        </w:rPr>
        <w:t>92.250.</w:t>
      </w:r>
    </w:p>
    <w:p>
      <w:pPr>
        <w:pStyle w:val="BodyText"/>
      </w:pPr>
    </w:p>
    <w:p>
      <w:pPr>
        <w:pStyle w:val="BodyText"/>
        <w:ind w:left="119" w:right="157"/>
        <w:jc w:val="both"/>
      </w:pPr>
      <w:r>
        <w:rPr/>
        <w:t>Additionally, for projects involving both City of Dallas other HOME funds, the combined HOME funding</w:t>
      </w:r>
      <w:r>
        <w:rPr>
          <w:spacing w:val="-9"/>
        </w:rPr>
        <w:t> </w:t>
      </w:r>
      <w:r>
        <w:rPr/>
        <w:t>investment</w:t>
      </w:r>
      <w:r>
        <w:rPr>
          <w:spacing w:val="-10"/>
        </w:rPr>
        <w:t> </w:t>
      </w:r>
      <w:r>
        <w:rPr/>
        <w:t>shall</w:t>
      </w:r>
      <w:r>
        <w:rPr>
          <w:spacing w:val="-12"/>
        </w:rPr>
        <w:t> </w:t>
      </w:r>
      <w:r>
        <w:rPr/>
        <w:t>not</w:t>
      </w:r>
      <w:r>
        <w:rPr>
          <w:spacing w:val="-7"/>
        </w:rPr>
        <w:t> </w:t>
      </w:r>
      <w:r>
        <w:rPr/>
        <w:t>exceed</w:t>
      </w:r>
      <w:r>
        <w:rPr>
          <w:spacing w:val="-11"/>
        </w:rPr>
        <w:t> </w:t>
      </w:r>
      <w:r>
        <w:rPr/>
        <w:t>the</w:t>
      </w:r>
      <w:r>
        <w:rPr>
          <w:spacing w:val="-14"/>
        </w:rPr>
        <w:t> </w:t>
      </w:r>
      <w:r>
        <w:rPr/>
        <w:t>total</w:t>
      </w:r>
      <w:r>
        <w:rPr>
          <w:spacing w:val="-12"/>
        </w:rPr>
        <w:t> </w:t>
      </w:r>
      <w:r>
        <w:rPr/>
        <w:t>maximum</w:t>
      </w:r>
      <w:r>
        <w:rPr>
          <w:spacing w:val="-10"/>
        </w:rPr>
        <w:t> </w:t>
      </w:r>
      <w:r>
        <w:rPr/>
        <w:t>HOME</w:t>
      </w:r>
      <w:r>
        <w:rPr>
          <w:spacing w:val="-9"/>
        </w:rPr>
        <w:t> </w:t>
      </w:r>
      <w:r>
        <w:rPr/>
        <w:t>investment</w:t>
      </w:r>
      <w:r>
        <w:rPr>
          <w:spacing w:val="-10"/>
        </w:rPr>
        <w:t> </w:t>
      </w:r>
      <w:r>
        <w:rPr/>
        <w:t>allowed</w:t>
      </w:r>
      <w:r>
        <w:rPr>
          <w:spacing w:val="-9"/>
        </w:rPr>
        <w:t> </w:t>
      </w:r>
      <w:r>
        <w:rPr/>
        <w:t>under</w:t>
      </w:r>
      <w:r>
        <w:rPr>
          <w:spacing w:val="-8"/>
        </w:rPr>
        <w:t> </w:t>
      </w:r>
      <w:r>
        <w:rPr/>
        <w:t>24</w:t>
      </w:r>
      <w:r>
        <w:rPr>
          <w:spacing w:val="-9"/>
        </w:rPr>
        <w:t> </w:t>
      </w:r>
      <w:r>
        <w:rPr/>
        <w:t>CFR </w:t>
      </w:r>
      <w:r>
        <w:rPr>
          <w:spacing w:val="-2"/>
        </w:rPr>
        <w:t>92.250.</w:t>
      </w:r>
    </w:p>
    <w:p>
      <w:pPr>
        <w:pStyle w:val="BodyText"/>
        <w:spacing w:before="9"/>
        <w:rPr>
          <w:sz w:val="21"/>
        </w:rPr>
      </w:pPr>
    </w:p>
    <w:p>
      <w:pPr>
        <w:pStyle w:val="BodyText"/>
        <w:spacing w:before="1"/>
        <w:ind w:left="119" w:right="158"/>
        <w:jc w:val="both"/>
      </w:pPr>
      <w:r>
        <w:rPr/>
        <w:t>Typically,</w:t>
      </w:r>
      <w:r>
        <w:rPr>
          <w:spacing w:val="-6"/>
        </w:rPr>
        <w:t> </w:t>
      </w:r>
      <w:r>
        <w:rPr/>
        <w:t>the</w:t>
      </w:r>
      <w:r>
        <w:rPr>
          <w:spacing w:val="-10"/>
        </w:rPr>
        <w:t> </w:t>
      </w:r>
      <w:r>
        <w:rPr/>
        <w:t>City</w:t>
      </w:r>
      <w:r>
        <w:rPr>
          <w:spacing w:val="-9"/>
        </w:rPr>
        <w:t> </w:t>
      </w:r>
      <w:r>
        <w:rPr/>
        <w:t>of</w:t>
      </w:r>
      <w:r>
        <w:rPr>
          <w:spacing w:val="-6"/>
        </w:rPr>
        <w:t> </w:t>
      </w:r>
      <w:r>
        <w:rPr/>
        <w:t>Dallas</w:t>
      </w:r>
      <w:r>
        <w:rPr>
          <w:spacing w:val="-7"/>
        </w:rPr>
        <w:t> </w:t>
      </w:r>
      <w:r>
        <w:rPr/>
        <w:t>will</w:t>
      </w:r>
      <w:r>
        <w:rPr>
          <w:spacing w:val="-8"/>
        </w:rPr>
        <w:t> </w:t>
      </w:r>
      <w:r>
        <w:rPr/>
        <w:t>also</w:t>
      </w:r>
      <w:r>
        <w:rPr>
          <w:spacing w:val="-7"/>
        </w:rPr>
        <w:t> </w:t>
      </w:r>
      <w:r>
        <w:rPr/>
        <w:t>establish</w:t>
      </w:r>
      <w:r>
        <w:rPr>
          <w:spacing w:val="-7"/>
        </w:rPr>
        <w:t> </w:t>
      </w:r>
      <w:r>
        <w:rPr/>
        <w:t>a</w:t>
      </w:r>
      <w:r>
        <w:rPr>
          <w:spacing w:val="-10"/>
        </w:rPr>
        <w:t> </w:t>
      </w:r>
      <w:r>
        <w:rPr/>
        <w:t>maximum</w:t>
      </w:r>
      <w:r>
        <w:rPr>
          <w:spacing w:val="-9"/>
        </w:rPr>
        <w:t> </w:t>
      </w:r>
      <w:r>
        <w:rPr/>
        <w:t>cap</w:t>
      </w:r>
      <w:r>
        <w:rPr>
          <w:spacing w:val="-10"/>
        </w:rPr>
        <w:t> </w:t>
      </w:r>
      <w:r>
        <w:rPr/>
        <w:t>on</w:t>
      </w:r>
      <w:r>
        <w:rPr>
          <w:spacing w:val="-10"/>
        </w:rPr>
        <w:t> </w:t>
      </w:r>
      <w:r>
        <w:rPr/>
        <w:t>its</w:t>
      </w:r>
      <w:r>
        <w:rPr>
          <w:spacing w:val="-9"/>
        </w:rPr>
        <w:t> </w:t>
      </w:r>
      <w:r>
        <w:rPr/>
        <w:t>investment</w:t>
      </w:r>
      <w:r>
        <w:rPr>
          <w:spacing w:val="-8"/>
        </w:rPr>
        <w:t> </w:t>
      </w:r>
      <w:r>
        <w:rPr/>
        <w:t>in</w:t>
      </w:r>
      <w:r>
        <w:rPr>
          <w:spacing w:val="-7"/>
        </w:rPr>
        <w:t> </w:t>
      </w:r>
      <w:r>
        <w:rPr/>
        <w:t>a</w:t>
      </w:r>
      <w:r>
        <w:rPr>
          <w:spacing w:val="-10"/>
        </w:rPr>
        <w:t> </w:t>
      </w:r>
      <w:r>
        <w:rPr/>
        <w:t>single</w:t>
      </w:r>
      <w:r>
        <w:rPr>
          <w:spacing w:val="-7"/>
        </w:rPr>
        <w:t> </w:t>
      </w:r>
      <w:r>
        <w:rPr/>
        <w:t>home. Such a limit will be based on the availability of funding and other City of Dallas priorities and will be addressed in any NOFA or Request for Applications (RFA) process issued by the City of </w:t>
      </w:r>
      <w:r>
        <w:rPr>
          <w:spacing w:val="-2"/>
        </w:rPr>
        <w:t>Dallas.</w:t>
      </w:r>
    </w:p>
    <w:p>
      <w:pPr>
        <w:pStyle w:val="BodyText"/>
        <w:spacing w:before="11"/>
        <w:rPr>
          <w:sz w:val="21"/>
        </w:rPr>
      </w:pPr>
    </w:p>
    <w:p>
      <w:pPr>
        <w:pStyle w:val="ListParagraph"/>
        <w:numPr>
          <w:ilvl w:val="0"/>
          <w:numId w:val="26"/>
        </w:numPr>
        <w:tabs>
          <w:tab w:pos="392" w:val="left" w:leader="none"/>
        </w:tabs>
        <w:spacing w:line="240" w:lineRule="auto" w:before="0" w:after="0"/>
        <w:ind w:left="391" w:right="0" w:hanging="273"/>
        <w:jc w:val="left"/>
        <w:rPr>
          <w:sz w:val="22"/>
        </w:rPr>
      </w:pPr>
      <w:r>
        <w:rPr>
          <w:sz w:val="22"/>
        </w:rPr>
        <w:t>Eligible</w:t>
      </w:r>
      <w:r>
        <w:rPr>
          <w:spacing w:val="-13"/>
          <w:sz w:val="22"/>
        </w:rPr>
        <w:t> </w:t>
      </w:r>
      <w:r>
        <w:rPr>
          <w:spacing w:val="-2"/>
          <w:sz w:val="22"/>
        </w:rPr>
        <w:t>Costs</w:t>
      </w:r>
    </w:p>
    <w:p>
      <w:pPr>
        <w:pStyle w:val="BodyText"/>
        <w:spacing w:before="1"/>
        <w:ind w:left="119" w:right="159"/>
        <w:jc w:val="both"/>
      </w:pPr>
      <w:r>
        <w:rPr/>
        <w:t>Costs</w:t>
      </w:r>
      <w:r>
        <w:rPr>
          <w:spacing w:val="-7"/>
        </w:rPr>
        <w:t> </w:t>
      </w:r>
      <w:r>
        <w:rPr/>
        <w:t>funded</w:t>
      </w:r>
      <w:r>
        <w:rPr>
          <w:spacing w:val="-7"/>
        </w:rPr>
        <w:t> </w:t>
      </w:r>
      <w:r>
        <w:rPr/>
        <w:t>with</w:t>
      </w:r>
      <w:r>
        <w:rPr>
          <w:spacing w:val="-9"/>
        </w:rPr>
        <w:t> </w:t>
      </w:r>
      <w:r>
        <w:rPr/>
        <w:t>the</w:t>
      </w:r>
      <w:r>
        <w:rPr>
          <w:spacing w:val="-7"/>
        </w:rPr>
        <w:t> </w:t>
      </w:r>
      <w:r>
        <w:rPr/>
        <w:t>City</w:t>
      </w:r>
      <w:r>
        <w:rPr>
          <w:spacing w:val="-5"/>
        </w:rPr>
        <w:t> </w:t>
      </w:r>
      <w:r>
        <w:rPr/>
        <w:t>of</w:t>
      </w:r>
      <w:r>
        <w:rPr>
          <w:spacing w:val="-6"/>
        </w:rPr>
        <w:t> </w:t>
      </w:r>
      <w:r>
        <w:rPr/>
        <w:t>Dallas</w:t>
      </w:r>
      <w:r>
        <w:rPr>
          <w:spacing w:val="-5"/>
        </w:rPr>
        <w:t> </w:t>
      </w:r>
      <w:r>
        <w:rPr/>
        <w:t>HOME</w:t>
      </w:r>
      <w:r>
        <w:rPr>
          <w:spacing w:val="-8"/>
        </w:rPr>
        <w:t> </w:t>
      </w:r>
      <w:r>
        <w:rPr/>
        <w:t>funds</w:t>
      </w:r>
      <w:r>
        <w:rPr>
          <w:spacing w:val="-8"/>
        </w:rPr>
        <w:t> </w:t>
      </w:r>
      <w:r>
        <w:rPr/>
        <w:t>must</w:t>
      </w:r>
      <w:r>
        <w:rPr>
          <w:spacing w:val="-6"/>
        </w:rPr>
        <w:t> </w:t>
      </w:r>
      <w:r>
        <w:rPr/>
        <w:t>be</w:t>
      </w:r>
      <w:r>
        <w:rPr>
          <w:spacing w:val="-7"/>
        </w:rPr>
        <w:t> </w:t>
      </w:r>
      <w:r>
        <w:rPr/>
        <w:t>eligible</w:t>
      </w:r>
      <w:r>
        <w:rPr>
          <w:spacing w:val="-5"/>
        </w:rPr>
        <w:t> </w:t>
      </w:r>
      <w:r>
        <w:rPr/>
        <w:t>according</w:t>
      </w:r>
      <w:r>
        <w:rPr>
          <w:spacing w:val="-8"/>
        </w:rPr>
        <w:t> </w:t>
      </w:r>
      <w:r>
        <w:rPr/>
        <w:t>to</w:t>
      </w:r>
      <w:r>
        <w:rPr>
          <w:spacing w:val="-5"/>
        </w:rPr>
        <w:t> </w:t>
      </w:r>
      <w:r>
        <w:rPr/>
        <w:t>HOME</w:t>
      </w:r>
      <w:r>
        <w:rPr>
          <w:spacing w:val="-5"/>
        </w:rPr>
        <w:t> </w:t>
      </w:r>
      <w:r>
        <w:rPr/>
        <w:t>Final</w:t>
      </w:r>
      <w:r>
        <w:rPr>
          <w:spacing w:val="-8"/>
        </w:rPr>
        <w:t> </w:t>
      </w:r>
      <w:r>
        <w:rPr/>
        <w:t>Rule 24 CFR 92.206. The following additional limitations also apply:</w:t>
      </w:r>
    </w:p>
    <w:p>
      <w:pPr>
        <w:pStyle w:val="BodyText"/>
        <w:spacing w:before="1"/>
      </w:pPr>
    </w:p>
    <w:p>
      <w:pPr>
        <w:pStyle w:val="ListParagraph"/>
        <w:numPr>
          <w:ilvl w:val="1"/>
          <w:numId w:val="26"/>
        </w:numPr>
        <w:tabs>
          <w:tab w:pos="840" w:val="left" w:leader="none"/>
        </w:tabs>
        <w:spacing w:line="268" w:lineRule="exact" w:before="0" w:after="0"/>
        <w:ind w:left="839" w:right="0" w:hanging="361"/>
        <w:jc w:val="both"/>
        <w:rPr>
          <w:sz w:val="22"/>
        </w:rPr>
      </w:pPr>
      <w:r>
        <w:rPr>
          <w:sz w:val="22"/>
        </w:rPr>
        <w:t>HOME</w:t>
      </w:r>
      <w:r>
        <w:rPr>
          <w:spacing w:val="-8"/>
          <w:sz w:val="22"/>
        </w:rPr>
        <w:t> </w:t>
      </w:r>
      <w:r>
        <w:rPr>
          <w:sz w:val="22"/>
        </w:rPr>
        <w:t>funds</w:t>
      </w:r>
      <w:r>
        <w:rPr>
          <w:spacing w:val="-5"/>
          <w:sz w:val="22"/>
        </w:rPr>
        <w:t> </w:t>
      </w:r>
      <w:r>
        <w:rPr>
          <w:sz w:val="22"/>
        </w:rPr>
        <w:t>shall</w:t>
      </w:r>
      <w:r>
        <w:rPr>
          <w:spacing w:val="-3"/>
          <w:sz w:val="22"/>
        </w:rPr>
        <w:t> </w:t>
      </w:r>
      <w:r>
        <w:rPr>
          <w:sz w:val="22"/>
        </w:rPr>
        <w:t>not</w:t>
      </w:r>
      <w:r>
        <w:rPr>
          <w:spacing w:val="-5"/>
          <w:sz w:val="22"/>
        </w:rPr>
        <w:t> </w:t>
      </w:r>
      <w:r>
        <w:rPr>
          <w:sz w:val="22"/>
        </w:rPr>
        <w:t>be</w:t>
      </w:r>
      <w:r>
        <w:rPr>
          <w:spacing w:val="-5"/>
          <w:sz w:val="22"/>
        </w:rPr>
        <w:t> </w:t>
      </w:r>
      <w:r>
        <w:rPr>
          <w:sz w:val="22"/>
        </w:rPr>
        <w:t>used</w:t>
      </w:r>
      <w:r>
        <w:rPr>
          <w:spacing w:val="-5"/>
          <w:sz w:val="22"/>
        </w:rPr>
        <w:t> </w:t>
      </w:r>
      <w:r>
        <w:rPr>
          <w:sz w:val="22"/>
        </w:rPr>
        <w:t>for</w:t>
      </w:r>
      <w:r>
        <w:rPr>
          <w:spacing w:val="-5"/>
          <w:sz w:val="22"/>
        </w:rPr>
        <w:t> </w:t>
      </w:r>
      <w:r>
        <w:rPr>
          <w:sz w:val="22"/>
        </w:rPr>
        <w:t>luxury</w:t>
      </w:r>
      <w:r>
        <w:rPr>
          <w:spacing w:val="-5"/>
          <w:sz w:val="22"/>
        </w:rPr>
        <w:t> </w:t>
      </w:r>
      <w:r>
        <w:rPr>
          <w:sz w:val="22"/>
        </w:rPr>
        <w:t>improvements</w:t>
      </w:r>
      <w:r>
        <w:rPr>
          <w:spacing w:val="-5"/>
          <w:sz w:val="22"/>
        </w:rPr>
        <w:t> </w:t>
      </w:r>
      <w:r>
        <w:rPr>
          <w:sz w:val="22"/>
        </w:rPr>
        <w:t>according</w:t>
      </w:r>
      <w:r>
        <w:rPr>
          <w:spacing w:val="-4"/>
          <w:sz w:val="22"/>
        </w:rPr>
        <w:t> </w:t>
      </w:r>
      <w:r>
        <w:rPr>
          <w:sz w:val="22"/>
        </w:rPr>
        <w:t>to</w:t>
      </w:r>
      <w:r>
        <w:rPr>
          <w:spacing w:val="-5"/>
          <w:sz w:val="22"/>
        </w:rPr>
        <w:t> </w:t>
      </w:r>
      <w:r>
        <w:rPr>
          <w:sz w:val="22"/>
        </w:rPr>
        <w:t>24</w:t>
      </w:r>
      <w:r>
        <w:rPr>
          <w:spacing w:val="-5"/>
          <w:sz w:val="22"/>
        </w:rPr>
        <w:t> </w:t>
      </w:r>
      <w:r>
        <w:rPr>
          <w:sz w:val="22"/>
        </w:rPr>
        <w:t>CFR</w:t>
      </w:r>
      <w:r>
        <w:rPr>
          <w:spacing w:val="-3"/>
          <w:sz w:val="22"/>
        </w:rPr>
        <w:t> </w:t>
      </w:r>
      <w:r>
        <w:rPr>
          <w:spacing w:val="-2"/>
          <w:sz w:val="22"/>
        </w:rPr>
        <w:t>92.205.</w:t>
      </w:r>
    </w:p>
    <w:p>
      <w:pPr>
        <w:pStyle w:val="ListParagraph"/>
        <w:numPr>
          <w:ilvl w:val="1"/>
          <w:numId w:val="26"/>
        </w:numPr>
        <w:tabs>
          <w:tab w:pos="841" w:val="left" w:leader="none"/>
        </w:tabs>
        <w:spacing w:line="240" w:lineRule="auto" w:before="0" w:after="0"/>
        <w:ind w:left="840" w:right="158" w:hanging="361"/>
        <w:jc w:val="both"/>
        <w:rPr>
          <w:sz w:val="22"/>
        </w:rPr>
      </w:pPr>
      <w:r>
        <w:rPr>
          <w:sz w:val="22"/>
        </w:rPr>
        <w:t>Acquisition costs shall be supported by an independent appraisal of the property. Acquisition</w:t>
      </w:r>
      <w:r>
        <w:rPr>
          <w:spacing w:val="-16"/>
          <w:sz w:val="22"/>
        </w:rPr>
        <w:t> </w:t>
      </w:r>
      <w:r>
        <w:rPr>
          <w:sz w:val="22"/>
        </w:rPr>
        <w:t>costs</w:t>
      </w:r>
      <w:r>
        <w:rPr>
          <w:spacing w:val="-15"/>
          <w:sz w:val="22"/>
        </w:rPr>
        <w:t> </w:t>
      </w:r>
      <w:r>
        <w:rPr>
          <w:sz w:val="22"/>
        </w:rPr>
        <w:t>exceeding</w:t>
      </w:r>
      <w:r>
        <w:rPr>
          <w:spacing w:val="-15"/>
          <w:sz w:val="22"/>
        </w:rPr>
        <w:t> </w:t>
      </w:r>
      <w:r>
        <w:rPr>
          <w:sz w:val="22"/>
        </w:rPr>
        <w:t>the</w:t>
      </w:r>
      <w:r>
        <w:rPr>
          <w:spacing w:val="-15"/>
          <w:sz w:val="22"/>
        </w:rPr>
        <w:t> </w:t>
      </w:r>
      <w:r>
        <w:rPr>
          <w:sz w:val="22"/>
        </w:rPr>
        <w:t>appraised</w:t>
      </w:r>
      <w:r>
        <w:rPr>
          <w:spacing w:val="-15"/>
          <w:sz w:val="22"/>
        </w:rPr>
        <w:t> </w:t>
      </w:r>
      <w:r>
        <w:rPr>
          <w:sz w:val="22"/>
        </w:rPr>
        <w:t>value</w:t>
      </w:r>
      <w:r>
        <w:rPr>
          <w:spacing w:val="-15"/>
          <w:sz w:val="22"/>
        </w:rPr>
        <w:t> </w:t>
      </w:r>
      <w:r>
        <w:rPr>
          <w:sz w:val="22"/>
        </w:rPr>
        <w:t>of</w:t>
      </w:r>
      <w:r>
        <w:rPr>
          <w:spacing w:val="-16"/>
          <w:sz w:val="22"/>
        </w:rPr>
        <w:t> </w:t>
      </w:r>
      <w:r>
        <w:rPr>
          <w:sz w:val="22"/>
        </w:rPr>
        <w:t>the</w:t>
      </w:r>
      <w:r>
        <w:rPr>
          <w:spacing w:val="-14"/>
          <w:sz w:val="22"/>
        </w:rPr>
        <w:t> </w:t>
      </w:r>
      <w:r>
        <w:rPr>
          <w:sz w:val="22"/>
        </w:rPr>
        <w:t>property</w:t>
      </w:r>
      <w:r>
        <w:rPr>
          <w:spacing w:val="-16"/>
          <w:sz w:val="22"/>
        </w:rPr>
        <w:t> </w:t>
      </w:r>
      <w:r>
        <w:rPr>
          <w:sz w:val="22"/>
        </w:rPr>
        <w:t>will</w:t>
      </w:r>
      <w:r>
        <w:rPr>
          <w:spacing w:val="-14"/>
          <w:sz w:val="22"/>
        </w:rPr>
        <w:t> </w:t>
      </w:r>
      <w:r>
        <w:rPr>
          <w:sz w:val="22"/>
        </w:rPr>
        <w:t>be</w:t>
      </w:r>
      <w:r>
        <w:rPr>
          <w:spacing w:val="-15"/>
          <w:sz w:val="22"/>
        </w:rPr>
        <w:t> </w:t>
      </w:r>
      <w:r>
        <w:rPr>
          <w:sz w:val="22"/>
        </w:rPr>
        <w:t>ineligible</w:t>
      </w:r>
      <w:r>
        <w:rPr>
          <w:spacing w:val="-15"/>
          <w:sz w:val="22"/>
        </w:rPr>
        <w:t> </w:t>
      </w:r>
      <w:r>
        <w:rPr>
          <w:sz w:val="22"/>
        </w:rPr>
        <w:t>for</w:t>
      </w:r>
      <w:r>
        <w:rPr>
          <w:spacing w:val="-13"/>
          <w:sz w:val="22"/>
        </w:rPr>
        <w:t> </w:t>
      </w:r>
      <w:r>
        <w:rPr>
          <w:sz w:val="22"/>
        </w:rPr>
        <w:t>HOME funding reimbursement.</w:t>
      </w:r>
    </w:p>
    <w:p>
      <w:pPr>
        <w:pStyle w:val="ListParagraph"/>
        <w:numPr>
          <w:ilvl w:val="1"/>
          <w:numId w:val="26"/>
        </w:numPr>
        <w:tabs>
          <w:tab w:pos="841" w:val="left" w:leader="none"/>
        </w:tabs>
        <w:spacing w:line="237" w:lineRule="auto" w:before="1" w:after="0"/>
        <w:ind w:left="840" w:right="153" w:hanging="361"/>
        <w:jc w:val="both"/>
        <w:rPr>
          <w:sz w:val="22"/>
        </w:rPr>
      </w:pPr>
      <w:r>
        <w:rPr>
          <w:sz w:val="22"/>
        </w:rPr>
        <w:t>HOME funds shall not be used for non-residential accessory structures such as free- standing</w:t>
      </w:r>
      <w:r>
        <w:rPr>
          <w:spacing w:val="-6"/>
          <w:sz w:val="22"/>
        </w:rPr>
        <w:t> </w:t>
      </w:r>
      <w:r>
        <w:rPr>
          <w:sz w:val="22"/>
        </w:rPr>
        <w:t>garages,</w:t>
      </w:r>
      <w:r>
        <w:rPr>
          <w:spacing w:val="-7"/>
          <w:sz w:val="22"/>
        </w:rPr>
        <w:t> </w:t>
      </w:r>
      <w:r>
        <w:rPr>
          <w:sz w:val="22"/>
        </w:rPr>
        <w:t>carports,</w:t>
      </w:r>
      <w:r>
        <w:rPr>
          <w:spacing w:val="-7"/>
          <w:sz w:val="22"/>
        </w:rPr>
        <w:t> </w:t>
      </w:r>
      <w:r>
        <w:rPr>
          <w:sz w:val="22"/>
        </w:rPr>
        <w:t>or</w:t>
      </w:r>
      <w:r>
        <w:rPr>
          <w:spacing w:val="-7"/>
          <w:sz w:val="22"/>
        </w:rPr>
        <w:t> </w:t>
      </w:r>
      <w:r>
        <w:rPr>
          <w:sz w:val="22"/>
        </w:rPr>
        <w:t>storage</w:t>
      </w:r>
      <w:r>
        <w:rPr>
          <w:spacing w:val="-8"/>
          <w:sz w:val="22"/>
        </w:rPr>
        <w:t> </w:t>
      </w:r>
      <w:r>
        <w:rPr>
          <w:sz w:val="22"/>
        </w:rPr>
        <w:t>structures.</w:t>
      </w:r>
      <w:r>
        <w:rPr>
          <w:spacing w:val="-8"/>
          <w:sz w:val="22"/>
        </w:rPr>
        <w:t> </w:t>
      </w:r>
      <w:r>
        <w:rPr>
          <w:sz w:val="22"/>
        </w:rPr>
        <w:t>Applicants</w:t>
      </w:r>
      <w:r>
        <w:rPr>
          <w:spacing w:val="-6"/>
          <w:sz w:val="22"/>
        </w:rPr>
        <w:t> </w:t>
      </w:r>
      <w:r>
        <w:rPr>
          <w:sz w:val="22"/>
        </w:rPr>
        <w:t>must</w:t>
      </w:r>
      <w:r>
        <w:rPr>
          <w:spacing w:val="-7"/>
          <w:sz w:val="22"/>
        </w:rPr>
        <w:t> </w:t>
      </w:r>
      <w:r>
        <w:rPr>
          <w:sz w:val="22"/>
        </w:rPr>
        <w:t>delineate</w:t>
      </w:r>
      <w:r>
        <w:rPr>
          <w:spacing w:val="-6"/>
          <w:sz w:val="22"/>
        </w:rPr>
        <w:t> </w:t>
      </w:r>
      <w:r>
        <w:rPr>
          <w:sz w:val="22"/>
        </w:rPr>
        <w:t>project</w:t>
      </w:r>
      <w:r>
        <w:rPr>
          <w:spacing w:val="-7"/>
          <w:sz w:val="22"/>
        </w:rPr>
        <w:t> </w:t>
      </w:r>
      <w:r>
        <w:rPr>
          <w:sz w:val="22"/>
        </w:rPr>
        <w:t>costs in a manner that allows free-standing structures to be clearly paid for using other project </w:t>
      </w:r>
      <w:r>
        <w:rPr>
          <w:spacing w:val="-2"/>
          <w:sz w:val="22"/>
        </w:rPr>
        <w:t>funds.</w:t>
      </w:r>
    </w:p>
    <w:p>
      <w:pPr>
        <w:pStyle w:val="BodyText"/>
        <w:spacing w:before="3"/>
      </w:pPr>
    </w:p>
    <w:p>
      <w:pPr>
        <w:pStyle w:val="BodyText"/>
        <w:ind w:left="120"/>
        <w:jc w:val="both"/>
      </w:pPr>
      <w:r>
        <w:rPr/>
        <w:t>City</w:t>
      </w:r>
      <w:r>
        <w:rPr>
          <w:spacing w:val="-5"/>
        </w:rPr>
        <w:t> </w:t>
      </w:r>
      <w:r>
        <w:rPr/>
        <w:t>of</w:t>
      </w:r>
      <w:r>
        <w:rPr>
          <w:spacing w:val="-4"/>
        </w:rPr>
        <w:t> </w:t>
      </w:r>
      <w:r>
        <w:rPr/>
        <w:t>Dallas</w:t>
      </w:r>
      <w:r>
        <w:rPr>
          <w:spacing w:val="-4"/>
        </w:rPr>
        <w:t> </w:t>
      </w:r>
      <w:r>
        <w:rPr/>
        <w:t>Eligible</w:t>
      </w:r>
      <w:r>
        <w:rPr>
          <w:spacing w:val="-5"/>
        </w:rPr>
        <w:t> </w:t>
      </w:r>
      <w:r>
        <w:rPr/>
        <w:t>Project</w:t>
      </w:r>
      <w:r>
        <w:rPr>
          <w:spacing w:val="-5"/>
        </w:rPr>
        <w:t> </w:t>
      </w:r>
      <w:r>
        <w:rPr/>
        <w:t>Soft</w:t>
      </w:r>
      <w:r>
        <w:rPr>
          <w:spacing w:val="-3"/>
        </w:rPr>
        <w:t> </w:t>
      </w:r>
      <w:r>
        <w:rPr>
          <w:spacing w:val="-4"/>
        </w:rPr>
        <w:t>Costs</w:t>
      </w:r>
    </w:p>
    <w:p>
      <w:pPr>
        <w:spacing w:after="0"/>
        <w:jc w:val="both"/>
        <w:sectPr>
          <w:pgSz w:w="12240" w:h="15840"/>
          <w:pgMar w:header="0" w:footer="1176" w:top="1380" w:bottom="1420" w:left="1320" w:right="1280"/>
        </w:sectPr>
      </w:pPr>
    </w:p>
    <w:p>
      <w:pPr>
        <w:pStyle w:val="BodyText"/>
        <w:spacing w:before="80"/>
        <w:ind w:left="119" w:right="156"/>
        <w:jc w:val="both"/>
      </w:pPr>
      <w:r>
        <w:rPr/>
        <w:t>The HOME program allows the City of Dallas to include, as project costs, its internal soft costs specifically attributable to a HOME project. These may include consulting, legal, inspection, and staff costs associated with reviewing, processing, and overseeing the award of funds to the project.</w:t>
      </w:r>
      <w:r>
        <w:rPr>
          <w:spacing w:val="-16"/>
        </w:rPr>
        <w:t> </w:t>
      </w:r>
      <w:r>
        <w:rPr/>
        <w:t>Projects</w:t>
      </w:r>
      <w:r>
        <w:rPr>
          <w:spacing w:val="-15"/>
        </w:rPr>
        <w:t> </w:t>
      </w:r>
      <w:r>
        <w:rPr/>
        <w:t>must</w:t>
      </w:r>
      <w:r>
        <w:rPr>
          <w:spacing w:val="-15"/>
        </w:rPr>
        <w:t> </w:t>
      </w:r>
      <w:r>
        <w:rPr/>
        <w:t>provide</w:t>
      </w:r>
      <w:r>
        <w:rPr>
          <w:spacing w:val="-16"/>
        </w:rPr>
        <w:t> </w:t>
      </w:r>
      <w:r>
        <w:rPr/>
        <w:t>budget</w:t>
      </w:r>
      <w:r>
        <w:rPr>
          <w:spacing w:val="-15"/>
        </w:rPr>
        <w:t> </w:t>
      </w:r>
      <w:r>
        <w:rPr/>
        <w:t>allowances</w:t>
      </w:r>
      <w:r>
        <w:rPr>
          <w:spacing w:val="-15"/>
        </w:rPr>
        <w:t> </w:t>
      </w:r>
      <w:r>
        <w:rPr/>
        <w:t>for</w:t>
      </w:r>
      <w:r>
        <w:rPr>
          <w:spacing w:val="-15"/>
        </w:rPr>
        <w:t> </w:t>
      </w:r>
      <w:r>
        <w:rPr/>
        <w:t>“City</w:t>
      </w:r>
      <w:r>
        <w:rPr>
          <w:spacing w:val="-16"/>
        </w:rPr>
        <w:t> </w:t>
      </w:r>
      <w:r>
        <w:rPr/>
        <w:t>of</w:t>
      </w:r>
      <w:r>
        <w:rPr>
          <w:spacing w:val="-15"/>
        </w:rPr>
        <w:t> </w:t>
      </w:r>
      <w:r>
        <w:rPr/>
        <w:t>Dallas-Lender</w:t>
      </w:r>
      <w:r>
        <w:rPr>
          <w:spacing w:val="-15"/>
        </w:rPr>
        <w:t> </w:t>
      </w:r>
      <w:r>
        <w:rPr/>
        <w:t>Due</w:t>
      </w:r>
      <w:r>
        <w:rPr>
          <w:spacing w:val="-16"/>
        </w:rPr>
        <w:t> </w:t>
      </w:r>
      <w:r>
        <w:rPr/>
        <w:t>Diligence</w:t>
      </w:r>
      <w:r>
        <w:rPr>
          <w:spacing w:val="-15"/>
        </w:rPr>
        <w:t> </w:t>
      </w:r>
      <w:r>
        <w:rPr/>
        <w:t>&amp;</w:t>
      </w:r>
      <w:r>
        <w:rPr>
          <w:spacing w:val="-15"/>
        </w:rPr>
        <w:t> </w:t>
      </w:r>
      <w:r>
        <w:rPr/>
        <w:t>Legal Costs” in the project’s sources and uses.</w:t>
      </w:r>
    </w:p>
    <w:p>
      <w:pPr>
        <w:pStyle w:val="BodyText"/>
        <w:spacing w:before="10"/>
        <w:rPr>
          <w:sz w:val="21"/>
        </w:rPr>
      </w:pPr>
    </w:p>
    <w:p>
      <w:pPr>
        <w:pStyle w:val="BodyText"/>
        <w:ind w:left="119"/>
        <w:jc w:val="both"/>
      </w:pPr>
      <w:r>
        <w:rPr/>
        <w:t>Cost</w:t>
      </w:r>
      <w:r>
        <w:rPr>
          <w:spacing w:val="-1"/>
        </w:rPr>
        <w:t> </w:t>
      </w:r>
      <w:r>
        <w:rPr>
          <w:spacing w:val="-2"/>
        </w:rPr>
        <w:t>Reasonableness</w:t>
      </w:r>
    </w:p>
    <w:p>
      <w:pPr>
        <w:pStyle w:val="BodyText"/>
        <w:spacing w:before="1"/>
        <w:ind w:left="119" w:right="155"/>
        <w:jc w:val="both"/>
      </w:pPr>
      <w:r>
        <w:rPr/>
        <w:pict>
          <v:shape style="position:absolute;margin-left:90.065002pt;margin-top:25.971909pt;width:395.3pt;height:419pt;mso-position-horizontal-relative:page;mso-position-vertical-relative:paragraph;z-index:-17685504" id="docshape116" coordorigin="1801,519" coordsize="7906,8380" path="m4498,7783l4492,7710,4477,7632,4455,7549,4432,7480,4403,7408,4367,7333,4325,7255,4276,7174,4237,7115,4200,7064,4200,7750,4197,7806,4186,7863,4167,7920,4138,7980,4097,8043,4044,8109,3979,8178,3674,8484,2216,7026,2517,6725,2598,6649,2672,6589,2740,6546,2801,6519,2868,6505,2941,6501,3020,6507,3105,6525,3195,6554,3255,6580,3317,6612,3380,6651,3446,6696,3514,6748,3584,6806,3656,6870,3729,6942,3789,7003,3845,7063,3896,7122,3943,7180,3986,7237,4025,7292,4059,7346,4101,7421,4136,7493,4163,7563,4183,7629,4196,7694,4200,7750,4200,7064,4194,7055,4148,6995,4098,6935,4045,6874,3989,6812,3929,6751,3865,6688,3801,6630,3737,6575,3673,6523,3643,6501,3609,6475,3546,6431,3482,6390,3419,6352,3346,6314,3274,6282,3203,6255,3132,6233,3062,6216,2992,6204,2923,6196,2850,6195,2779,6202,2709,6216,2642,6239,2577,6270,2528,6298,2476,6335,2420,6381,2359,6435,2294,6497,1801,6990,3710,8899,4124,8484,4226,8382,4287,8317,4341,8252,4386,8186,4424,8119,4454,8053,4476,7986,4491,7919,4498,7852,4498,7783xm6418,6190l6056,6062,5650,5920,5561,5890,5475,5866,5393,5847,5365,5842,5314,5833,5239,5823,5193,5821,5143,5824,5089,5831,5030,5842,5073,5772,5109,5703,5136,5634,5154,5565,5164,5496,5165,5428,5157,5360,5139,5282,5111,5206,5075,5132,5030,5059,4976,4988,4956,4965,4913,4919,4872,4881,4872,5439,4868,5494,4854,5549,4830,5606,4794,5664,4747,5725,4687,5789,4280,6196,3649,5565,4102,5112,4166,5055,4229,5011,4293,4982,4358,4967,4422,4965,4501,4981,4577,5010,4649,5055,4718,5115,4761,5162,4797,5213,4827,5267,4851,5323,4867,5382,4872,5439,4872,4881,4849,4860,4782,4807,4713,4762,4641,4723,4566,4691,4474,4663,4386,4650,4303,4652,4225,4668,4163,4693,4098,4730,4030,4778,3958,4837,3883,4909,3248,5543,5157,7451,5346,7262,4499,6415,4718,6196,4753,6161,4783,6134,4810,6113,4833,6099,4863,6085,4896,6074,4932,6067,4971,6062,5014,6062,5066,6068,5125,6078,5194,6094,5256,6112,5328,6133,5407,6158,5496,6187,6180,6428,6418,6190xm7780,4828l7415,4633,6555,4179,6555,4486,6070,4971,6030,4899,5989,4828,5748,4397,5708,4325,5668,4254,5629,4188,5590,4124,5550,4060,5509,3997,5467,3934,5424,3873,5380,3812,5436,3848,5498,3886,5564,3926,5635,3968,5792,4058,6555,4486,6555,4179,5862,3812,5286,3505,5082,3709,5277,4060,5316,4130,5701,4828,6207,5747,6441,6167,6642,5966,6565,5833,6298,5365,6221,5231,6481,4971,6820,4633,7173,4828,7565,5044,7780,4828xm8131,4477l7264,3610,7936,2939,7711,2713,7039,3385,6448,2794,7224,2018,6999,1793,6033,2758,7941,4667,8131,4477xm9707,2901l8024,1218,8497,745,8272,519,7138,1654,7363,1879,7834,1408,9517,3091,9707,2901xe" filled="true" fillcolor="#c0c0c0" stroked="false">
            <v:path arrowok="t"/>
            <v:fill opacity="32896f" type="solid"/>
            <w10:wrap type="none"/>
          </v:shape>
        </w:pict>
      </w:r>
      <w:r>
        <w:rPr/>
        <w:t>Per the requirements of 92.250(b) and 2 CFR 200 Subpart E (formerly known as OMB Circular A-87), all project costs must be reasonable, whether paid directly with HOME funds or not. The City of Dallas will review project costs, including hard and soft costs, to evaluate their reasonableness and may, at its option, require applicants to obtain additional quotes, bids, or estimates of costs.</w:t>
      </w:r>
    </w:p>
    <w:p>
      <w:pPr>
        <w:pStyle w:val="BodyText"/>
        <w:spacing w:before="10"/>
        <w:rPr>
          <w:sz w:val="21"/>
        </w:rPr>
      </w:pPr>
    </w:p>
    <w:p>
      <w:pPr>
        <w:pStyle w:val="BodyText"/>
        <w:ind w:left="119"/>
        <w:jc w:val="both"/>
      </w:pPr>
      <w:r>
        <w:rPr/>
        <w:t>Identity</w:t>
      </w:r>
      <w:r>
        <w:rPr>
          <w:spacing w:val="-4"/>
        </w:rPr>
        <w:t> </w:t>
      </w:r>
      <w:r>
        <w:rPr/>
        <w:t>of</w:t>
      </w:r>
      <w:r>
        <w:rPr>
          <w:spacing w:val="-2"/>
        </w:rPr>
        <w:t> Interest</w:t>
      </w:r>
    </w:p>
    <w:p>
      <w:pPr>
        <w:pStyle w:val="BodyText"/>
        <w:spacing w:before="2"/>
        <w:ind w:left="119" w:right="155"/>
        <w:jc w:val="both"/>
      </w:pPr>
      <w:r>
        <w:rPr/>
        <w:t>Developers</w:t>
      </w:r>
      <w:r>
        <w:rPr>
          <w:spacing w:val="-5"/>
        </w:rPr>
        <w:t> </w:t>
      </w:r>
      <w:r>
        <w:rPr/>
        <w:t>must</w:t>
      </w:r>
      <w:r>
        <w:rPr>
          <w:spacing w:val="-4"/>
        </w:rPr>
        <w:t> </w:t>
      </w:r>
      <w:r>
        <w:rPr/>
        <w:t>disclose</w:t>
      </w:r>
      <w:r>
        <w:rPr>
          <w:spacing w:val="-5"/>
        </w:rPr>
        <w:t> </w:t>
      </w:r>
      <w:r>
        <w:rPr/>
        <w:t>any</w:t>
      </w:r>
      <w:r>
        <w:rPr>
          <w:spacing w:val="-5"/>
        </w:rPr>
        <w:t> </w:t>
      </w:r>
      <w:r>
        <w:rPr/>
        <w:t>identity</w:t>
      </w:r>
      <w:r>
        <w:rPr>
          <w:spacing w:val="-5"/>
        </w:rPr>
        <w:t> </w:t>
      </w:r>
      <w:r>
        <w:rPr/>
        <w:t>of</w:t>
      </w:r>
      <w:r>
        <w:rPr>
          <w:spacing w:val="-3"/>
        </w:rPr>
        <w:t> </w:t>
      </w:r>
      <w:r>
        <w:rPr/>
        <w:t>interest</w:t>
      </w:r>
      <w:r>
        <w:rPr>
          <w:spacing w:val="-6"/>
        </w:rPr>
        <w:t> </w:t>
      </w:r>
      <w:r>
        <w:rPr/>
        <w:t>situations</w:t>
      </w:r>
      <w:r>
        <w:rPr>
          <w:spacing w:val="-5"/>
        </w:rPr>
        <w:t> </w:t>
      </w:r>
      <w:r>
        <w:rPr/>
        <w:t>that</w:t>
      </w:r>
      <w:r>
        <w:rPr>
          <w:spacing w:val="-6"/>
        </w:rPr>
        <w:t> </w:t>
      </w:r>
      <w:r>
        <w:rPr/>
        <w:t>may</w:t>
      </w:r>
      <w:r>
        <w:rPr>
          <w:spacing w:val="-5"/>
        </w:rPr>
        <w:t> </w:t>
      </w:r>
      <w:r>
        <w:rPr/>
        <w:t>occur</w:t>
      </w:r>
      <w:r>
        <w:rPr>
          <w:spacing w:val="-6"/>
        </w:rPr>
        <w:t> </w:t>
      </w:r>
      <w:r>
        <w:rPr/>
        <w:t>when</w:t>
      </w:r>
      <w:r>
        <w:rPr>
          <w:spacing w:val="-5"/>
        </w:rPr>
        <w:t> </w:t>
      </w:r>
      <w:r>
        <w:rPr/>
        <w:t>contracting</w:t>
      </w:r>
      <w:r>
        <w:rPr>
          <w:spacing w:val="-5"/>
        </w:rPr>
        <w:t> </w:t>
      </w:r>
      <w:r>
        <w:rPr/>
        <w:t>with related companies during either the development or ongoing operation of the project. City of Dallas staff must be allowed the opportunity to conduct a cost analysis to determine costs reasonableness. Applications may be determined ineligible if access is not granted or costs are determined to be unreasonable.</w:t>
      </w:r>
    </w:p>
    <w:p>
      <w:pPr>
        <w:pStyle w:val="BodyText"/>
        <w:spacing w:before="9"/>
        <w:rPr>
          <w:sz w:val="21"/>
        </w:rPr>
      </w:pPr>
    </w:p>
    <w:p>
      <w:pPr>
        <w:pStyle w:val="ListParagraph"/>
        <w:numPr>
          <w:ilvl w:val="0"/>
          <w:numId w:val="26"/>
        </w:numPr>
        <w:tabs>
          <w:tab w:pos="404" w:val="left" w:leader="none"/>
        </w:tabs>
        <w:spacing w:line="240" w:lineRule="auto" w:before="1" w:after="0"/>
        <w:ind w:left="403" w:right="0" w:hanging="285"/>
        <w:jc w:val="both"/>
        <w:rPr>
          <w:sz w:val="22"/>
        </w:rPr>
      </w:pPr>
      <w:r>
        <w:rPr>
          <w:sz w:val="22"/>
        </w:rPr>
        <w:t>Property</w:t>
      </w:r>
      <w:r>
        <w:rPr>
          <w:spacing w:val="-7"/>
          <w:sz w:val="22"/>
        </w:rPr>
        <w:t> </w:t>
      </w:r>
      <w:r>
        <w:rPr>
          <w:spacing w:val="-2"/>
          <w:sz w:val="22"/>
        </w:rPr>
        <w:t>Standards</w:t>
      </w:r>
    </w:p>
    <w:p>
      <w:pPr>
        <w:pStyle w:val="BodyText"/>
        <w:spacing w:before="1"/>
        <w:ind w:left="119" w:right="156"/>
        <w:jc w:val="both"/>
      </w:pPr>
      <w:r>
        <w:rPr/>
        <w:t>To meet both HOME regulations and City of Dallas goals, all HOME-funded projects must meet certain physical standards intended to provide quality affordable housing that is durable and energy efficient.</w:t>
      </w:r>
    </w:p>
    <w:p>
      <w:pPr>
        <w:pStyle w:val="BodyText"/>
        <w:spacing w:before="10"/>
        <w:rPr>
          <w:sz w:val="21"/>
        </w:rPr>
      </w:pPr>
    </w:p>
    <w:p>
      <w:pPr>
        <w:pStyle w:val="BodyText"/>
        <w:ind w:left="119" w:right="157"/>
        <w:jc w:val="both"/>
      </w:pPr>
      <w:r>
        <w:rPr/>
        <w:t>Construction</w:t>
      </w:r>
      <w:r>
        <w:rPr>
          <w:spacing w:val="-3"/>
        </w:rPr>
        <w:t> </w:t>
      </w:r>
      <w:r>
        <w:rPr/>
        <w:t>must</w:t>
      </w:r>
      <w:r>
        <w:rPr>
          <w:spacing w:val="-4"/>
        </w:rPr>
        <w:t> </w:t>
      </w:r>
      <w:r>
        <w:rPr/>
        <w:t>meet</w:t>
      </w:r>
      <w:r>
        <w:rPr>
          <w:spacing w:val="-4"/>
        </w:rPr>
        <w:t> </w:t>
      </w:r>
      <w:r>
        <w:rPr/>
        <w:t>all</w:t>
      </w:r>
      <w:r>
        <w:rPr>
          <w:spacing w:val="-3"/>
        </w:rPr>
        <w:t> </w:t>
      </w:r>
      <w:r>
        <w:rPr/>
        <w:t>local</w:t>
      </w:r>
      <w:r>
        <w:rPr>
          <w:spacing w:val="-3"/>
        </w:rPr>
        <w:t> </w:t>
      </w:r>
      <w:r>
        <w:rPr/>
        <w:t>codes.</w:t>
      </w:r>
      <w:r>
        <w:rPr>
          <w:spacing w:val="-1"/>
        </w:rPr>
        <w:t> </w:t>
      </w:r>
      <w:r>
        <w:rPr/>
        <w:t>The</w:t>
      </w:r>
      <w:r>
        <w:rPr>
          <w:spacing w:val="-2"/>
        </w:rPr>
        <w:t> </w:t>
      </w:r>
      <w:r>
        <w:rPr/>
        <w:t>City</w:t>
      </w:r>
      <w:r>
        <w:rPr>
          <w:spacing w:val="-7"/>
        </w:rPr>
        <w:t> </w:t>
      </w:r>
      <w:r>
        <w:rPr/>
        <w:t>of</w:t>
      </w:r>
      <w:r>
        <w:rPr>
          <w:spacing w:val="-1"/>
        </w:rPr>
        <w:t> </w:t>
      </w:r>
      <w:r>
        <w:rPr/>
        <w:t>Dallas</w:t>
      </w:r>
      <w:r>
        <w:rPr>
          <w:spacing w:val="-2"/>
        </w:rPr>
        <w:t> </w:t>
      </w:r>
      <w:r>
        <w:rPr/>
        <w:t>regularly</w:t>
      </w:r>
      <w:r>
        <w:rPr>
          <w:spacing w:val="-2"/>
        </w:rPr>
        <w:t> </w:t>
      </w:r>
      <w:r>
        <w:rPr/>
        <w:t>adopts</w:t>
      </w:r>
      <w:r>
        <w:rPr>
          <w:spacing w:val="-2"/>
        </w:rPr>
        <w:t> </w:t>
      </w:r>
      <w:r>
        <w:rPr/>
        <w:t>and</w:t>
      </w:r>
      <w:r>
        <w:rPr>
          <w:spacing w:val="-3"/>
        </w:rPr>
        <w:t> </w:t>
      </w:r>
      <w:r>
        <w:rPr/>
        <w:t>enforces</w:t>
      </w:r>
      <w:r>
        <w:rPr>
          <w:spacing w:val="-5"/>
        </w:rPr>
        <w:t> </w:t>
      </w:r>
      <w:r>
        <w:rPr/>
        <w:t>various codes from the International Code Council, as amended. Applicants are responsible for maintaining familiarity with the City’s adopted building codes available here:</w:t>
      </w:r>
    </w:p>
    <w:p>
      <w:pPr>
        <w:pStyle w:val="BodyText"/>
        <w:spacing w:before="2"/>
      </w:pPr>
    </w:p>
    <w:p>
      <w:pPr>
        <w:pStyle w:val="BodyText"/>
        <w:ind w:left="120"/>
      </w:pPr>
      <w:hyperlink r:id="rId25">
        <w:r>
          <w:rPr>
            <w:color w:val="0000FF"/>
            <w:spacing w:val="-2"/>
            <w:u w:val="single" w:color="0000FF"/>
          </w:rPr>
          <w:t>https://dallascityhall.com/departments/sustainabledevelopment/buildinginspection/Pages/constr</w:t>
        </w:r>
      </w:hyperlink>
      <w:r>
        <w:rPr>
          <w:color w:val="0000FF"/>
          <w:spacing w:val="-2"/>
        </w:rPr>
        <w:t> </w:t>
      </w:r>
      <w:hyperlink r:id="rId25">
        <w:r>
          <w:rPr>
            <w:color w:val="0000FF"/>
            <w:spacing w:val="-2"/>
            <w:u w:val="single" w:color="0000FF"/>
          </w:rPr>
          <w:t>uction_codes.aspx</w:t>
        </w:r>
      </w:hyperlink>
    </w:p>
    <w:p>
      <w:pPr>
        <w:pStyle w:val="BodyText"/>
        <w:spacing w:before="9"/>
        <w:rPr>
          <w:sz w:val="13"/>
        </w:rPr>
      </w:pPr>
    </w:p>
    <w:p>
      <w:pPr>
        <w:pStyle w:val="BodyText"/>
        <w:spacing w:before="94"/>
        <w:ind w:left="119" w:right="155"/>
        <w:jc w:val="both"/>
      </w:pPr>
      <w:r>
        <w:rPr/>
        <w:t>All HOME projects must meet applicable Section 504/UFAS requirements. Pursuant to 24 CFR 8.29, single-family housing developed with Federal funds must be made accessible upon the request</w:t>
      </w:r>
      <w:r>
        <w:rPr>
          <w:spacing w:val="-5"/>
        </w:rPr>
        <w:t> </w:t>
      </w:r>
      <w:r>
        <w:rPr/>
        <w:t>of</w:t>
      </w:r>
      <w:r>
        <w:rPr>
          <w:spacing w:val="-5"/>
        </w:rPr>
        <w:t> </w:t>
      </w:r>
      <w:r>
        <w:rPr/>
        <w:t>the</w:t>
      </w:r>
      <w:r>
        <w:rPr>
          <w:spacing w:val="-6"/>
        </w:rPr>
        <w:t> </w:t>
      </w:r>
      <w:r>
        <w:rPr/>
        <w:t>prospective</w:t>
      </w:r>
      <w:r>
        <w:rPr>
          <w:spacing w:val="-4"/>
        </w:rPr>
        <w:t> </w:t>
      </w:r>
      <w:r>
        <w:rPr/>
        <w:t>buyer</w:t>
      </w:r>
      <w:r>
        <w:rPr>
          <w:spacing w:val="-5"/>
        </w:rPr>
        <w:t> </w:t>
      </w:r>
      <w:r>
        <w:rPr/>
        <w:t>if</w:t>
      </w:r>
      <w:r>
        <w:rPr>
          <w:spacing w:val="-5"/>
        </w:rPr>
        <w:t> </w:t>
      </w:r>
      <w:r>
        <w:rPr/>
        <w:t>the</w:t>
      </w:r>
      <w:r>
        <w:rPr>
          <w:spacing w:val="-4"/>
        </w:rPr>
        <w:t> </w:t>
      </w:r>
      <w:r>
        <w:rPr/>
        <w:t>nature</w:t>
      </w:r>
      <w:r>
        <w:rPr>
          <w:spacing w:val="-6"/>
        </w:rPr>
        <w:t> </w:t>
      </w:r>
      <w:r>
        <w:rPr/>
        <w:t>of</w:t>
      </w:r>
      <w:r>
        <w:rPr>
          <w:spacing w:val="-5"/>
        </w:rPr>
        <w:t> </w:t>
      </w:r>
      <w:r>
        <w:rPr/>
        <w:t>the</w:t>
      </w:r>
      <w:r>
        <w:rPr>
          <w:spacing w:val="-4"/>
        </w:rPr>
        <w:t> </w:t>
      </w:r>
      <w:r>
        <w:rPr/>
        <w:t>prospective</w:t>
      </w:r>
      <w:r>
        <w:rPr>
          <w:spacing w:val="-4"/>
        </w:rPr>
        <w:t> </w:t>
      </w:r>
      <w:r>
        <w:rPr/>
        <w:t>occupant’s</w:t>
      </w:r>
      <w:r>
        <w:rPr>
          <w:spacing w:val="-6"/>
        </w:rPr>
        <w:t> </w:t>
      </w:r>
      <w:r>
        <w:rPr/>
        <w:t>disability</w:t>
      </w:r>
      <w:r>
        <w:rPr>
          <w:spacing w:val="-4"/>
        </w:rPr>
        <w:t> </w:t>
      </w:r>
      <w:r>
        <w:rPr/>
        <w:t>so</w:t>
      </w:r>
      <w:r>
        <w:rPr>
          <w:spacing w:val="-7"/>
        </w:rPr>
        <w:t> </w:t>
      </w:r>
      <w:r>
        <w:rPr/>
        <w:t>requires. Developers must ensure that projects are designed in a way that can accommodate such a request.</w:t>
      </w:r>
      <w:r>
        <w:rPr>
          <w:spacing w:val="-4"/>
        </w:rPr>
        <w:t> </w:t>
      </w:r>
      <w:r>
        <w:rPr/>
        <w:t>Should</w:t>
      </w:r>
      <w:r>
        <w:rPr>
          <w:spacing w:val="-5"/>
        </w:rPr>
        <w:t> </w:t>
      </w:r>
      <w:r>
        <w:rPr/>
        <w:t>a</w:t>
      </w:r>
      <w:r>
        <w:rPr>
          <w:spacing w:val="-7"/>
        </w:rPr>
        <w:t> </w:t>
      </w:r>
      <w:r>
        <w:rPr/>
        <w:t>prospective</w:t>
      </w:r>
      <w:r>
        <w:rPr>
          <w:spacing w:val="-5"/>
        </w:rPr>
        <w:t> </w:t>
      </w:r>
      <w:r>
        <w:rPr/>
        <w:t>buyer</w:t>
      </w:r>
      <w:r>
        <w:rPr>
          <w:spacing w:val="-6"/>
        </w:rPr>
        <w:t> </w:t>
      </w:r>
      <w:r>
        <w:rPr/>
        <w:t>request</w:t>
      </w:r>
      <w:r>
        <w:rPr>
          <w:spacing w:val="-4"/>
        </w:rPr>
        <w:t> </w:t>
      </w:r>
      <w:r>
        <w:rPr/>
        <w:t>a</w:t>
      </w:r>
      <w:r>
        <w:rPr>
          <w:spacing w:val="-7"/>
        </w:rPr>
        <w:t> </w:t>
      </w:r>
      <w:r>
        <w:rPr/>
        <w:t>modification</w:t>
      </w:r>
      <w:r>
        <w:rPr>
          <w:spacing w:val="-5"/>
        </w:rPr>
        <w:t> </w:t>
      </w:r>
      <w:r>
        <w:rPr/>
        <w:t>to</w:t>
      </w:r>
      <w:r>
        <w:rPr>
          <w:spacing w:val="-7"/>
        </w:rPr>
        <w:t> </w:t>
      </w:r>
      <w:r>
        <w:rPr/>
        <w:t>make</w:t>
      </w:r>
      <w:r>
        <w:rPr>
          <w:spacing w:val="-5"/>
        </w:rPr>
        <w:t> </w:t>
      </w:r>
      <w:r>
        <w:rPr/>
        <w:t>a</w:t>
      </w:r>
      <w:r>
        <w:rPr>
          <w:spacing w:val="-7"/>
        </w:rPr>
        <w:t> </w:t>
      </w:r>
      <w:r>
        <w:rPr/>
        <w:t>unit</w:t>
      </w:r>
      <w:r>
        <w:rPr>
          <w:spacing w:val="-8"/>
        </w:rPr>
        <w:t> </w:t>
      </w:r>
      <w:r>
        <w:rPr/>
        <w:t>accessible,</w:t>
      </w:r>
      <w:r>
        <w:rPr>
          <w:spacing w:val="-4"/>
        </w:rPr>
        <w:t> </w:t>
      </w:r>
      <w:r>
        <w:rPr/>
        <w:t>Developer must work with the homebuyer to provide the specific features that meet the need(s) of the prospective homebuyer or occupant. If the design features that are needed for the buyer are design features that are covered in UFAS, those features must comply with the UFAS standard. Developers shall be permitted to depart from the standard in order to have the homebuyer/occupant’s needs met.</w:t>
      </w:r>
    </w:p>
    <w:p>
      <w:pPr>
        <w:pStyle w:val="BodyText"/>
        <w:spacing w:before="1"/>
      </w:pPr>
    </w:p>
    <w:p>
      <w:pPr>
        <w:pStyle w:val="BodyText"/>
        <w:ind w:left="120" w:right="152"/>
        <w:jc w:val="both"/>
      </w:pPr>
      <w:r>
        <w:rPr/>
        <w:t>Site shall be served by public sewer, public water, and public road. Sites should have ready access to recreational opportunities such as parks, playgrounds, etc., nearby shopping and services including transportation, grocery, banking, and medical facilities, and otherwise be located in neighborhoods that provide amenities that support residential development. The City of</w:t>
      </w:r>
      <w:r>
        <w:rPr>
          <w:spacing w:val="-16"/>
        </w:rPr>
        <w:t> </w:t>
      </w:r>
      <w:r>
        <w:rPr/>
        <w:t>Dallas</w:t>
      </w:r>
      <w:r>
        <w:rPr>
          <w:spacing w:val="-15"/>
        </w:rPr>
        <w:t> </w:t>
      </w:r>
      <w:r>
        <w:rPr/>
        <w:t>also</w:t>
      </w:r>
      <w:r>
        <w:rPr>
          <w:spacing w:val="-15"/>
        </w:rPr>
        <w:t> </w:t>
      </w:r>
      <w:r>
        <w:rPr/>
        <w:t>generally</w:t>
      </w:r>
      <w:r>
        <w:rPr>
          <w:spacing w:val="-16"/>
        </w:rPr>
        <w:t> </w:t>
      </w:r>
      <w:r>
        <w:rPr/>
        <w:t>prefers</w:t>
      </w:r>
      <w:r>
        <w:rPr>
          <w:spacing w:val="-15"/>
        </w:rPr>
        <w:t> </w:t>
      </w:r>
      <w:r>
        <w:rPr/>
        <w:t>that</w:t>
      </w:r>
      <w:r>
        <w:rPr>
          <w:spacing w:val="-15"/>
        </w:rPr>
        <w:t> </w:t>
      </w:r>
      <w:r>
        <w:rPr/>
        <w:t>sites</w:t>
      </w:r>
      <w:r>
        <w:rPr>
          <w:spacing w:val="-15"/>
        </w:rPr>
        <w:t> </w:t>
      </w:r>
      <w:r>
        <w:rPr/>
        <w:t>have</w:t>
      </w:r>
      <w:r>
        <w:rPr>
          <w:spacing w:val="-16"/>
        </w:rPr>
        <w:t> </w:t>
      </w:r>
      <w:r>
        <w:rPr/>
        <w:t>safe,</w:t>
      </w:r>
      <w:r>
        <w:rPr>
          <w:spacing w:val="-15"/>
        </w:rPr>
        <w:t> </w:t>
      </w:r>
      <w:r>
        <w:rPr/>
        <w:t>walkable</w:t>
      </w:r>
      <w:r>
        <w:rPr>
          <w:spacing w:val="-15"/>
        </w:rPr>
        <w:t> </w:t>
      </w:r>
      <w:r>
        <w:rPr/>
        <w:t>connections—including</w:t>
      </w:r>
      <w:r>
        <w:rPr>
          <w:spacing w:val="-16"/>
        </w:rPr>
        <w:t> </w:t>
      </w:r>
      <w:r>
        <w:rPr/>
        <w:t>sidewalks— to the surrounding neighborhood.</w:t>
      </w:r>
    </w:p>
    <w:p>
      <w:pPr>
        <w:pStyle w:val="BodyText"/>
        <w:spacing w:before="9"/>
        <w:rPr>
          <w:sz w:val="21"/>
        </w:rPr>
      </w:pPr>
    </w:p>
    <w:p>
      <w:pPr>
        <w:pStyle w:val="BodyText"/>
        <w:ind w:left="120"/>
        <w:jc w:val="both"/>
      </w:pPr>
      <w:r>
        <w:rPr/>
        <w:t>Site</w:t>
      </w:r>
      <w:r>
        <w:rPr>
          <w:spacing w:val="-6"/>
        </w:rPr>
        <w:t> </w:t>
      </w:r>
      <w:r>
        <w:rPr/>
        <w:t>shall</w:t>
      </w:r>
      <w:r>
        <w:rPr>
          <w:spacing w:val="-3"/>
        </w:rPr>
        <w:t> </w:t>
      </w:r>
      <w:r>
        <w:rPr/>
        <w:t>be</w:t>
      </w:r>
      <w:r>
        <w:rPr>
          <w:spacing w:val="-3"/>
        </w:rPr>
        <w:t> </w:t>
      </w:r>
      <w:r>
        <w:rPr/>
        <w:t>in</w:t>
      </w:r>
      <w:r>
        <w:rPr>
          <w:spacing w:val="-3"/>
        </w:rPr>
        <w:t> </w:t>
      </w:r>
      <w:r>
        <w:rPr/>
        <w:t>a</w:t>
      </w:r>
      <w:r>
        <w:rPr>
          <w:spacing w:val="-6"/>
        </w:rPr>
        <w:t> </w:t>
      </w:r>
      <w:r>
        <w:rPr/>
        <w:t>designated</w:t>
      </w:r>
      <w:r>
        <w:rPr>
          <w:spacing w:val="-3"/>
        </w:rPr>
        <w:t> </w:t>
      </w:r>
      <w:r>
        <w:rPr/>
        <w:t>Fire</w:t>
      </w:r>
      <w:r>
        <w:rPr>
          <w:spacing w:val="-5"/>
        </w:rPr>
        <w:t> </w:t>
      </w:r>
      <w:r>
        <w:rPr/>
        <w:t>District</w:t>
      </w:r>
      <w:r>
        <w:rPr>
          <w:spacing w:val="-1"/>
        </w:rPr>
        <w:t> </w:t>
      </w:r>
      <w:r>
        <w:rPr/>
        <w:t>or</w:t>
      </w:r>
      <w:r>
        <w:rPr>
          <w:spacing w:val="-2"/>
        </w:rPr>
        <w:t> </w:t>
      </w:r>
      <w:r>
        <w:rPr/>
        <w:t>served</w:t>
      </w:r>
      <w:r>
        <w:rPr>
          <w:spacing w:val="-3"/>
        </w:rPr>
        <w:t> </w:t>
      </w:r>
      <w:r>
        <w:rPr/>
        <w:t>by</w:t>
      </w:r>
      <w:r>
        <w:rPr>
          <w:spacing w:val="-2"/>
        </w:rPr>
        <w:t> </w:t>
      </w:r>
      <w:r>
        <w:rPr/>
        <w:t>a</w:t>
      </w:r>
      <w:r>
        <w:rPr>
          <w:spacing w:val="-5"/>
        </w:rPr>
        <w:t> </w:t>
      </w:r>
      <w:r>
        <w:rPr/>
        <w:t>Fire</w:t>
      </w:r>
      <w:r>
        <w:rPr>
          <w:spacing w:val="-3"/>
        </w:rPr>
        <w:t> </w:t>
      </w:r>
      <w:r>
        <w:rPr>
          <w:spacing w:val="-2"/>
        </w:rPr>
        <w:t>Department.</w:t>
      </w:r>
    </w:p>
    <w:p>
      <w:pPr>
        <w:spacing w:after="0"/>
        <w:jc w:val="both"/>
        <w:sectPr>
          <w:pgSz w:w="12240" w:h="15840"/>
          <w:pgMar w:header="0" w:footer="1176" w:top="1360" w:bottom="1400" w:left="1320" w:right="1280"/>
        </w:sectPr>
      </w:pPr>
    </w:p>
    <w:p>
      <w:pPr>
        <w:pStyle w:val="BodyText"/>
        <w:spacing w:before="72"/>
        <w:ind w:left="119" w:right="154"/>
        <w:jc w:val="both"/>
      </w:pPr>
      <w:r>
        <w:rPr/>
        <w:t>Units</w:t>
      </w:r>
      <w:r>
        <w:rPr>
          <w:spacing w:val="-7"/>
        </w:rPr>
        <w:t> </w:t>
      </w:r>
      <w:r>
        <w:rPr/>
        <w:t>must</w:t>
      </w:r>
      <w:r>
        <w:rPr>
          <w:spacing w:val="-6"/>
        </w:rPr>
        <w:t> </w:t>
      </w:r>
      <w:r>
        <w:rPr/>
        <w:t>be</w:t>
      </w:r>
      <w:r>
        <w:rPr>
          <w:spacing w:val="-7"/>
        </w:rPr>
        <w:t> </w:t>
      </w:r>
      <w:r>
        <w:rPr/>
        <w:t>equipped</w:t>
      </w:r>
      <w:r>
        <w:rPr>
          <w:spacing w:val="-8"/>
        </w:rPr>
        <w:t> </w:t>
      </w:r>
      <w:r>
        <w:rPr/>
        <w:t>with</w:t>
      </w:r>
      <w:r>
        <w:rPr>
          <w:spacing w:val="-5"/>
        </w:rPr>
        <w:t> </w:t>
      </w:r>
      <w:r>
        <w:rPr/>
        <w:t>the</w:t>
      </w:r>
      <w:r>
        <w:rPr>
          <w:spacing w:val="-10"/>
        </w:rPr>
        <w:t> </w:t>
      </w:r>
      <w:r>
        <w:rPr/>
        <w:t>following</w:t>
      </w:r>
      <w:r>
        <w:rPr>
          <w:spacing w:val="-5"/>
        </w:rPr>
        <w:t> </w:t>
      </w:r>
      <w:r>
        <w:rPr/>
        <w:t>appliances:</w:t>
      </w:r>
      <w:r>
        <w:rPr>
          <w:spacing w:val="-4"/>
        </w:rPr>
        <w:t> </w:t>
      </w:r>
      <w:r>
        <w:rPr/>
        <w:t>Refrigerator,</w:t>
      </w:r>
      <w:r>
        <w:rPr>
          <w:spacing w:val="-6"/>
        </w:rPr>
        <w:t> </w:t>
      </w:r>
      <w:r>
        <w:rPr/>
        <w:t>range/oven,</w:t>
      </w:r>
      <w:r>
        <w:rPr>
          <w:spacing w:val="-6"/>
        </w:rPr>
        <w:t> </w:t>
      </w:r>
      <w:r>
        <w:rPr/>
        <w:t>dishwasher,</w:t>
      </w:r>
      <w:r>
        <w:rPr>
          <w:spacing w:val="-6"/>
        </w:rPr>
        <w:t> </w:t>
      </w:r>
      <w:r>
        <w:rPr/>
        <w:t>and garbage disposal. Developers may also propose to include in-unit clothes washers and dryers, microwave/vent fan combination units, as appropriate. If the Energy Star</w:t>
      </w:r>
      <w:r>
        <w:rPr>
          <w:spacing w:val="-1"/>
        </w:rPr>
        <w:t> </w:t>
      </w:r>
      <w:r>
        <w:rPr/>
        <w:t>program rates the type of appliances being installed, the developer must furnish the units with Energy Star rated appliances. Note however that not all appliances are rated by the Energy Star program.</w:t>
      </w:r>
    </w:p>
    <w:p>
      <w:pPr>
        <w:pStyle w:val="BodyText"/>
      </w:pPr>
    </w:p>
    <w:p>
      <w:pPr>
        <w:pStyle w:val="ListParagraph"/>
        <w:numPr>
          <w:ilvl w:val="0"/>
          <w:numId w:val="26"/>
        </w:numPr>
        <w:tabs>
          <w:tab w:pos="403" w:val="left" w:leader="none"/>
        </w:tabs>
        <w:spacing w:line="252" w:lineRule="exact" w:before="1" w:after="0"/>
        <w:ind w:left="402" w:right="0" w:hanging="284"/>
        <w:jc w:val="both"/>
        <w:rPr>
          <w:sz w:val="22"/>
        </w:rPr>
      </w:pPr>
      <w:r>
        <w:rPr>
          <w:sz w:val="22"/>
        </w:rPr>
        <w:t>Sales</w:t>
      </w:r>
      <w:r>
        <w:rPr>
          <w:spacing w:val="-4"/>
          <w:sz w:val="22"/>
        </w:rPr>
        <w:t> </w:t>
      </w:r>
      <w:r>
        <w:rPr>
          <w:spacing w:val="-2"/>
          <w:sz w:val="22"/>
        </w:rPr>
        <w:t>Price</w:t>
      </w:r>
    </w:p>
    <w:p>
      <w:pPr>
        <w:pStyle w:val="BodyText"/>
        <w:ind w:left="119" w:right="156"/>
        <w:jc w:val="both"/>
      </w:pPr>
      <w:r>
        <w:rPr/>
        <w:pict>
          <v:shape style="position:absolute;margin-left:90.065002pt;margin-top:13.325229pt;width:395.3pt;height:419pt;mso-position-horizontal-relative:page;mso-position-vertical-relative:paragraph;z-index:-17684992" id="docshape117" coordorigin="1801,267" coordsize="7906,8380" path="m4498,7530l4492,7457,4477,7379,4455,7296,4432,7227,4403,7155,4367,7080,4325,7002,4276,6921,4237,6862,4200,6811,4200,7497,4197,7553,4186,7610,4167,7668,4138,7727,4097,7790,4044,7856,3979,7925,3674,8231,2216,6773,2517,6472,2598,6396,2672,6336,2740,6293,2801,6266,2868,6252,2941,6248,3020,6254,3105,6272,3195,6301,3255,6327,3317,6359,3380,6398,3446,6443,3514,6495,3584,6553,3656,6618,3729,6689,3789,6750,3845,6811,3896,6870,3943,6927,3986,6984,4025,7039,4059,7093,4101,7168,4136,7240,4163,7310,4183,7377,4196,7441,4200,7497,4200,6811,4194,6802,4148,6742,4098,6682,4045,6621,3989,6559,3929,6498,3865,6435,3801,6377,3737,6322,3673,6271,3643,6248,3609,6223,3546,6178,3482,6137,3419,6099,3346,6061,3274,6029,3203,6002,3132,5980,3062,5963,2992,5951,2923,5943,2850,5942,2779,5949,2709,5964,2642,5986,2577,6017,2528,6045,2476,6082,2420,6128,2359,6182,2294,6244,1801,6737,3710,8646,4124,8231,4226,8129,4287,8064,4341,7999,4386,7933,4424,7866,4454,7800,4476,7733,4491,7666,4498,7599,4498,7530xm6418,5937l6056,5809,5650,5667,5561,5637,5475,5613,5393,5594,5365,5589,5314,5580,5239,5570,5193,5568,5143,5571,5089,5578,5030,5589,5073,5520,5109,5450,5136,5381,5154,5312,5164,5243,5165,5175,5157,5107,5139,5029,5111,4953,5075,4879,5030,4806,4976,4735,4956,4713,4913,4667,4872,4628,4872,5186,4868,5241,4854,5296,4830,5353,4794,5411,4747,5472,4687,5536,4280,5943,3649,5312,4102,4859,4166,4802,4229,4758,4293,4729,4358,4714,4422,4713,4501,4728,4577,4758,4649,4802,4718,4862,4761,4909,4797,4960,4827,5014,4851,5070,4867,5129,4872,5186,4872,4628,4849,4607,4782,4555,4713,4509,4641,4471,4566,4438,4474,4410,4386,4397,4303,4399,4225,4415,4163,4440,4098,4477,4030,4525,3958,4585,3883,4656,3248,5290,5157,7199,5346,7009,4499,6162,4718,5943,4753,5908,4783,5881,4810,5860,4833,5846,4863,5832,4896,5821,4932,5814,4971,5809,5014,5810,5066,5815,5125,5825,5194,5841,5256,5859,5328,5880,5407,5905,5496,5934,6180,6175,6418,5937xm7780,4575l7415,4380,6555,3926,6555,4233,6070,4718,6030,4646,5989,4575,5748,4144,5708,4072,5668,4001,5629,3935,5590,3871,5550,3807,5509,3744,5467,3681,5424,3620,5380,3559,5436,3595,5498,3633,5564,3673,5635,3715,5792,3805,6555,4233,6555,3926,5862,3559,5286,3252,5082,3457,5277,3807,5316,3877,5701,4575,6207,5494,6441,5915,6642,5713,6565,5580,6298,5112,6221,4978,6481,4718,6820,4380,7173,4575,7565,4791,7780,4575xm8131,4224l7264,3357,7936,2686,7711,2460,7039,3132,6448,2541,7224,1765,6999,1540,6033,2505,7941,4414,8131,4224xm9707,2648l8024,965,8497,492,8272,267,7138,1401,7363,1626,7834,1155,9517,2838,9707,2648xe" filled="true" fillcolor="#c0c0c0" stroked="false">
            <v:path arrowok="t"/>
            <v:fill opacity="32896f" type="solid"/>
            <w10:wrap type="none"/>
          </v:shape>
        </w:pict>
      </w:r>
      <w:r>
        <w:rPr/>
        <w:t>The sales/purchase prices for homes developed under this program cannot exceed the HOME Homeownership Value Limits</w:t>
      </w:r>
      <w:r>
        <w:rPr>
          <w:spacing w:val="-2"/>
        </w:rPr>
        <w:t> </w:t>
      </w:r>
      <w:r>
        <w:rPr/>
        <w:t>published by</w:t>
      </w:r>
      <w:r>
        <w:rPr>
          <w:spacing w:val="-2"/>
        </w:rPr>
        <w:t> </w:t>
      </w:r>
      <w:r>
        <w:rPr/>
        <w:t>HUD</w:t>
      </w:r>
      <w:r>
        <w:rPr>
          <w:spacing w:val="-1"/>
        </w:rPr>
        <w:t> </w:t>
      </w:r>
      <w:r>
        <w:rPr/>
        <w:t>in effect</w:t>
      </w:r>
      <w:r>
        <w:rPr>
          <w:spacing w:val="-1"/>
        </w:rPr>
        <w:t> </w:t>
      </w:r>
      <w:r>
        <w:rPr/>
        <w:t>at</w:t>
      </w:r>
      <w:r>
        <w:rPr>
          <w:spacing w:val="-1"/>
        </w:rPr>
        <w:t> </w:t>
      </w:r>
      <w:r>
        <w:rPr/>
        <w:t>the</w:t>
      </w:r>
      <w:r>
        <w:rPr>
          <w:spacing w:val="-3"/>
        </w:rPr>
        <w:t> </w:t>
      </w:r>
      <w:r>
        <w:rPr/>
        <w:t>time</w:t>
      </w:r>
      <w:r>
        <w:rPr>
          <w:spacing w:val="-3"/>
        </w:rPr>
        <w:t> </w:t>
      </w:r>
      <w:r>
        <w:rPr/>
        <w:t>of</w:t>
      </w:r>
      <w:r>
        <w:rPr>
          <w:spacing w:val="-1"/>
        </w:rPr>
        <w:t> </w:t>
      </w:r>
      <w:r>
        <w:rPr/>
        <w:t>project</w:t>
      </w:r>
      <w:r>
        <w:rPr>
          <w:spacing w:val="-1"/>
        </w:rPr>
        <w:t> </w:t>
      </w:r>
      <w:r>
        <w:rPr/>
        <w:t>commitment. The City of Dallas will identify the applicable limits in any NOFA or Request for Applications (RFA) process issued.</w:t>
      </w:r>
    </w:p>
    <w:p>
      <w:pPr>
        <w:pStyle w:val="BodyText"/>
        <w:spacing w:before="10"/>
        <w:rPr>
          <w:sz w:val="21"/>
        </w:rPr>
      </w:pPr>
    </w:p>
    <w:p>
      <w:pPr>
        <w:pStyle w:val="BodyText"/>
        <w:ind w:left="118" w:right="156"/>
        <w:jc w:val="both"/>
      </w:pPr>
      <w:r>
        <w:rPr/>
        <w:t>Units produced under the City of Dallas’ single-family development program must be sold at the fair market value as determined by an “as-completed” or “subject to completion” appraisal completed</w:t>
      </w:r>
      <w:r>
        <w:rPr>
          <w:spacing w:val="-16"/>
        </w:rPr>
        <w:t> </w:t>
      </w:r>
      <w:r>
        <w:rPr/>
        <w:t>by</w:t>
      </w:r>
      <w:r>
        <w:rPr>
          <w:spacing w:val="-15"/>
        </w:rPr>
        <w:t> </w:t>
      </w:r>
      <w:r>
        <w:rPr/>
        <w:t>an</w:t>
      </w:r>
      <w:r>
        <w:rPr>
          <w:spacing w:val="-15"/>
        </w:rPr>
        <w:t> </w:t>
      </w:r>
      <w:r>
        <w:rPr/>
        <w:t>independent</w:t>
      </w:r>
      <w:r>
        <w:rPr>
          <w:spacing w:val="-16"/>
        </w:rPr>
        <w:t> </w:t>
      </w:r>
      <w:r>
        <w:rPr/>
        <w:t>state</w:t>
      </w:r>
      <w:r>
        <w:rPr>
          <w:spacing w:val="-15"/>
        </w:rPr>
        <w:t> </w:t>
      </w:r>
      <w:r>
        <w:rPr/>
        <w:t>licensed</w:t>
      </w:r>
      <w:r>
        <w:rPr>
          <w:spacing w:val="-15"/>
        </w:rPr>
        <w:t> </w:t>
      </w:r>
      <w:r>
        <w:rPr/>
        <w:t>appraiser.</w:t>
      </w:r>
      <w:r>
        <w:rPr>
          <w:spacing w:val="-15"/>
        </w:rPr>
        <w:t> </w:t>
      </w:r>
      <w:r>
        <w:rPr/>
        <w:t>Developers</w:t>
      </w:r>
      <w:r>
        <w:rPr>
          <w:spacing w:val="-16"/>
        </w:rPr>
        <w:t> </w:t>
      </w:r>
      <w:r>
        <w:rPr/>
        <w:t>shall</w:t>
      </w:r>
      <w:r>
        <w:rPr>
          <w:spacing w:val="-15"/>
        </w:rPr>
        <w:t> </w:t>
      </w:r>
      <w:r>
        <w:rPr/>
        <w:t>submit</w:t>
      </w:r>
      <w:r>
        <w:rPr>
          <w:spacing w:val="-15"/>
        </w:rPr>
        <w:t> </w:t>
      </w:r>
      <w:r>
        <w:rPr/>
        <w:t>such</w:t>
      </w:r>
      <w:r>
        <w:rPr>
          <w:spacing w:val="-16"/>
        </w:rPr>
        <w:t> </w:t>
      </w:r>
      <w:r>
        <w:rPr/>
        <w:t>an</w:t>
      </w:r>
      <w:r>
        <w:rPr>
          <w:spacing w:val="-15"/>
        </w:rPr>
        <w:t> </w:t>
      </w:r>
      <w:r>
        <w:rPr/>
        <w:t>appraisal prior to project commitment, and the City of Dallas may require an updated appraisal prior to construction</w:t>
      </w:r>
      <w:r>
        <w:rPr>
          <w:spacing w:val="-6"/>
        </w:rPr>
        <w:t> </w:t>
      </w:r>
      <w:r>
        <w:rPr/>
        <w:t>completion</w:t>
      </w:r>
      <w:r>
        <w:rPr>
          <w:spacing w:val="-5"/>
        </w:rPr>
        <w:t> </w:t>
      </w:r>
      <w:r>
        <w:rPr/>
        <w:t>if</w:t>
      </w:r>
      <w:r>
        <w:rPr>
          <w:spacing w:val="-5"/>
        </w:rPr>
        <w:t> </w:t>
      </w:r>
      <w:r>
        <w:rPr/>
        <w:t>the</w:t>
      </w:r>
      <w:r>
        <w:rPr>
          <w:spacing w:val="-6"/>
        </w:rPr>
        <w:t> </w:t>
      </w:r>
      <w:r>
        <w:rPr/>
        <w:t>appraisal</w:t>
      </w:r>
      <w:r>
        <w:rPr>
          <w:spacing w:val="-5"/>
        </w:rPr>
        <w:t> </w:t>
      </w:r>
      <w:r>
        <w:rPr/>
        <w:t>is</w:t>
      </w:r>
      <w:r>
        <w:rPr>
          <w:spacing w:val="-6"/>
        </w:rPr>
        <w:t> </w:t>
      </w:r>
      <w:r>
        <w:rPr/>
        <w:t>more</w:t>
      </w:r>
      <w:r>
        <w:rPr>
          <w:spacing w:val="-9"/>
        </w:rPr>
        <w:t> </w:t>
      </w:r>
      <w:r>
        <w:rPr/>
        <w:t>than</w:t>
      </w:r>
      <w:r>
        <w:rPr>
          <w:spacing w:val="-5"/>
        </w:rPr>
        <w:t> </w:t>
      </w:r>
      <w:r>
        <w:rPr/>
        <w:t>9</w:t>
      </w:r>
      <w:r>
        <w:rPr>
          <w:spacing w:val="-9"/>
        </w:rPr>
        <w:t> </w:t>
      </w:r>
      <w:r>
        <w:rPr/>
        <w:t>months</w:t>
      </w:r>
      <w:r>
        <w:rPr>
          <w:spacing w:val="-6"/>
        </w:rPr>
        <w:t> </w:t>
      </w:r>
      <w:r>
        <w:rPr/>
        <w:t>old</w:t>
      </w:r>
      <w:r>
        <w:rPr>
          <w:spacing w:val="-6"/>
        </w:rPr>
        <w:t> </w:t>
      </w:r>
      <w:r>
        <w:rPr/>
        <w:t>at</w:t>
      </w:r>
      <w:r>
        <w:rPr>
          <w:spacing w:val="-5"/>
        </w:rPr>
        <w:t> </w:t>
      </w:r>
      <w:r>
        <w:rPr/>
        <w:t>that</w:t>
      </w:r>
      <w:r>
        <w:rPr>
          <w:spacing w:val="-5"/>
        </w:rPr>
        <w:t> </w:t>
      </w:r>
      <w:r>
        <w:rPr/>
        <w:t>point.</w:t>
      </w:r>
      <w:r>
        <w:rPr>
          <w:spacing w:val="-4"/>
        </w:rPr>
        <w:t> </w:t>
      </w:r>
      <w:r>
        <w:rPr/>
        <w:t>Any</w:t>
      </w:r>
      <w:r>
        <w:rPr>
          <w:spacing w:val="-6"/>
        </w:rPr>
        <w:t> </w:t>
      </w:r>
      <w:r>
        <w:rPr/>
        <w:t>reductions</w:t>
      </w:r>
      <w:r>
        <w:rPr>
          <w:spacing w:val="-6"/>
        </w:rPr>
        <w:t> </w:t>
      </w:r>
      <w:r>
        <w:rPr/>
        <w:t>in list or sales</w:t>
      </w:r>
      <w:r>
        <w:rPr>
          <w:spacing w:val="-4"/>
        </w:rPr>
        <w:t> </w:t>
      </w:r>
      <w:r>
        <w:rPr/>
        <w:t>price</w:t>
      </w:r>
      <w:r>
        <w:rPr>
          <w:spacing w:val="-2"/>
        </w:rPr>
        <w:t> </w:t>
      </w:r>
      <w:r>
        <w:rPr/>
        <w:t>below</w:t>
      </w:r>
      <w:r>
        <w:rPr>
          <w:spacing w:val="-5"/>
        </w:rPr>
        <w:t> </w:t>
      </w:r>
      <w:r>
        <w:rPr/>
        <w:t>the</w:t>
      </w:r>
      <w:r>
        <w:rPr>
          <w:spacing w:val="-2"/>
        </w:rPr>
        <w:t> </w:t>
      </w:r>
      <w:r>
        <w:rPr/>
        <w:t>City</w:t>
      </w:r>
      <w:r>
        <w:rPr>
          <w:spacing w:val="-1"/>
        </w:rPr>
        <w:t> </w:t>
      </w:r>
      <w:r>
        <w:rPr/>
        <w:t>of</w:t>
      </w:r>
      <w:r>
        <w:rPr>
          <w:spacing w:val="-2"/>
        </w:rPr>
        <w:t> </w:t>
      </w:r>
      <w:r>
        <w:rPr/>
        <w:t>Dallas-approved</w:t>
      </w:r>
      <w:r>
        <w:rPr>
          <w:spacing w:val="-2"/>
        </w:rPr>
        <w:t> </w:t>
      </w:r>
      <w:r>
        <w:rPr/>
        <w:t>appraised</w:t>
      </w:r>
      <w:r>
        <w:rPr>
          <w:spacing w:val="-2"/>
        </w:rPr>
        <w:t> </w:t>
      </w:r>
      <w:r>
        <w:rPr/>
        <w:t>value</w:t>
      </w:r>
      <w:r>
        <w:rPr>
          <w:spacing w:val="-4"/>
        </w:rPr>
        <w:t> </w:t>
      </w:r>
      <w:r>
        <w:rPr/>
        <w:t>must</w:t>
      </w:r>
      <w:r>
        <w:rPr>
          <w:spacing w:val="-2"/>
        </w:rPr>
        <w:t> </w:t>
      </w:r>
      <w:r>
        <w:rPr/>
        <w:t>be</w:t>
      </w:r>
      <w:r>
        <w:rPr>
          <w:spacing w:val="-2"/>
        </w:rPr>
        <w:t> </w:t>
      </w:r>
      <w:r>
        <w:rPr/>
        <w:t>approved</w:t>
      </w:r>
      <w:r>
        <w:rPr>
          <w:spacing w:val="-2"/>
        </w:rPr>
        <w:t> </w:t>
      </w:r>
      <w:r>
        <w:rPr/>
        <w:t>in</w:t>
      </w:r>
      <w:r>
        <w:rPr>
          <w:spacing w:val="-2"/>
        </w:rPr>
        <w:t> </w:t>
      </w:r>
      <w:r>
        <w:rPr/>
        <w:t>writing by the City of Dallas and will generally require updated market information.</w:t>
      </w:r>
    </w:p>
    <w:p>
      <w:pPr>
        <w:pStyle w:val="BodyText"/>
        <w:spacing w:before="1"/>
      </w:pPr>
    </w:p>
    <w:p>
      <w:pPr>
        <w:pStyle w:val="ListParagraph"/>
        <w:numPr>
          <w:ilvl w:val="0"/>
          <w:numId w:val="26"/>
        </w:numPr>
        <w:tabs>
          <w:tab w:pos="391" w:val="left" w:leader="none"/>
        </w:tabs>
        <w:spacing w:line="252" w:lineRule="exact" w:before="1" w:after="0"/>
        <w:ind w:left="390" w:right="0" w:hanging="273"/>
        <w:jc w:val="both"/>
        <w:rPr>
          <w:sz w:val="22"/>
        </w:rPr>
      </w:pPr>
      <w:r>
        <w:rPr>
          <w:sz w:val="22"/>
        </w:rPr>
        <w:t>Eligible</w:t>
      </w:r>
      <w:r>
        <w:rPr>
          <w:spacing w:val="-13"/>
          <w:sz w:val="22"/>
        </w:rPr>
        <w:t> </w:t>
      </w:r>
      <w:r>
        <w:rPr>
          <w:spacing w:val="-2"/>
          <w:sz w:val="22"/>
        </w:rPr>
        <w:t>Homebuyers</w:t>
      </w:r>
    </w:p>
    <w:p>
      <w:pPr>
        <w:pStyle w:val="BodyText"/>
        <w:ind w:left="118" w:right="157"/>
        <w:jc w:val="both"/>
      </w:pPr>
      <w:r>
        <w:rPr/>
        <w:t>Homebuyers</w:t>
      </w:r>
      <w:r>
        <w:rPr>
          <w:spacing w:val="-12"/>
        </w:rPr>
        <w:t> </w:t>
      </w:r>
      <w:r>
        <w:rPr/>
        <w:t>for</w:t>
      </w:r>
      <w:r>
        <w:rPr>
          <w:spacing w:val="-9"/>
        </w:rPr>
        <w:t> </w:t>
      </w:r>
      <w:r>
        <w:rPr/>
        <w:t>units</w:t>
      </w:r>
      <w:r>
        <w:rPr>
          <w:spacing w:val="-12"/>
        </w:rPr>
        <w:t> </w:t>
      </w:r>
      <w:r>
        <w:rPr/>
        <w:t>produced</w:t>
      </w:r>
      <w:r>
        <w:rPr>
          <w:spacing w:val="-10"/>
        </w:rPr>
        <w:t> </w:t>
      </w:r>
      <w:r>
        <w:rPr/>
        <w:t>under</w:t>
      </w:r>
      <w:r>
        <w:rPr>
          <w:spacing w:val="-11"/>
        </w:rPr>
        <w:t> </w:t>
      </w:r>
      <w:r>
        <w:rPr/>
        <w:t>the</w:t>
      </w:r>
      <w:r>
        <w:rPr>
          <w:spacing w:val="-10"/>
        </w:rPr>
        <w:t> </w:t>
      </w:r>
      <w:r>
        <w:rPr/>
        <w:t>City</w:t>
      </w:r>
      <w:r>
        <w:rPr>
          <w:spacing w:val="-12"/>
        </w:rPr>
        <w:t> </w:t>
      </w:r>
      <w:r>
        <w:rPr/>
        <w:t>of</w:t>
      </w:r>
      <w:r>
        <w:rPr>
          <w:spacing w:val="-13"/>
        </w:rPr>
        <w:t> </w:t>
      </w:r>
      <w:r>
        <w:rPr/>
        <w:t>Dallas</w:t>
      </w:r>
      <w:r>
        <w:rPr>
          <w:spacing w:val="-9"/>
        </w:rPr>
        <w:t> </w:t>
      </w:r>
      <w:r>
        <w:rPr/>
        <w:t>single-family</w:t>
      </w:r>
      <w:r>
        <w:rPr>
          <w:spacing w:val="-9"/>
        </w:rPr>
        <w:t> </w:t>
      </w:r>
      <w:r>
        <w:rPr/>
        <w:t>development</w:t>
      </w:r>
      <w:r>
        <w:rPr>
          <w:spacing w:val="-8"/>
        </w:rPr>
        <w:t> </w:t>
      </w:r>
      <w:r>
        <w:rPr/>
        <w:t>program</w:t>
      </w:r>
      <w:r>
        <w:rPr>
          <w:spacing w:val="-10"/>
        </w:rPr>
        <w:t> </w:t>
      </w:r>
      <w:r>
        <w:rPr/>
        <w:t>must meet the income eligibility guidelines associated with the funding for the development.</w:t>
      </w:r>
    </w:p>
    <w:p>
      <w:pPr>
        <w:pStyle w:val="BodyText"/>
        <w:spacing w:before="10"/>
        <w:rPr>
          <w:sz w:val="21"/>
        </w:rPr>
      </w:pPr>
    </w:p>
    <w:p>
      <w:pPr>
        <w:pStyle w:val="ListParagraph"/>
        <w:numPr>
          <w:ilvl w:val="0"/>
          <w:numId w:val="26"/>
        </w:numPr>
        <w:tabs>
          <w:tab w:pos="379" w:val="left" w:leader="none"/>
        </w:tabs>
        <w:spacing w:line="240" w:lineRule="auto" w:before="0" w:after="0"/>
        <w:ind w:left="378" w:right="0" w:hanging="261"/>
        <w:jc w:val="both"/>
        <w:rPr>
          <w:sz w:val="22"/>
        </w:rPr>
      </w:pPr>
      <w:r>
        <w:rPr>
          <w:sz w:val="22"/>
        </w:rPr>
        <w:t>Environmental</w:t>
      </w:r>
      <w:r>
        <w:rPr>
          <w:spacing w:val="-13"/>
          <w:sz w:val="22"/>
        </w:rPr>
        <w:t> </w:t>
      </w:r>
      <w:r>
        <w:rPr>
          <w:sz w:val="22"/>
        </w:rPr>
        <w:t>Review</w:t>
      </w:r>
      <w:r>
        <w:rPr>
          <w:spacing w:val="-9"/>
          <w:sz w:val="22"/>
        </w:rPr>
        <w:t> </w:t>
      </w:r>
      <w:r>
        <w:rPr>
          <w:spacing w:val="-2"/>
          <w:sz w:val="22"/>
        </w:rPr>
        <w:t>Requirements</w:t>
      </w:r>
    </w:p>
    <w:p>
      <w:pPr>
        <w:pStyle w:val="BodyText"/>
        <w:spacing w:before="1"/>
        <w:ind w:left="119" w:right="154" w:hanging="1"/>
        <w:jc w:val="both"/>
      </w:pPr>
      <w:r>
        <w:rPr/>
        <w:t>Federally-assisted projects are subject to a variety of environmental requirements. Developers should</w:t>
      </w:r>
      <w:r>
        <w:rPr>
          <w:spacing w:val="-9"/>
        </w:rPr>
        <w:t> </w:t>
      </w:r>
      <w:r>
        <w:rPr/>
        <w:t>be</w:t>
      </w:r>
      <w:r>
        <w:rPr>
          <w:spacing w:val="-9"/>
        </w:rPr>
        <w:t> </w:t>
      </w:r>
      <w:r>
        <w:rPr/>
        <w:t>familiar</w:t>
      </w:r>
      <w:r>
        <w:rPr>
          <w:spacing w:val="-8"/>
        </w:rPr>
        <w:t> </w:t>
      </w:r>
      <w:r>
        <w:rPr/>
        <w:t>with</w:t>
      </w:r>
      <w:r>
        <w:rPr>
          <w:spacing w:val="-9"/>
        </w:rPr>
        <w:t> </w:t>
      </w:r>
      <w:r>
        <w:rPr/>
        <w:t>these</w:t>
      </w:r>
      <w:r>
        <w:rPr>
          <w:spacing w:val="-8"/>
        </w:rPr>
        <w:t> </w:t>
      </w:r>
      <w:r>
        <w:rPr/>
        <w:t>requirements</w:t>
      </w:r>
      <w:r>
        <w:rPr>
          <w:spacing w:val="-8"/>
        </w:rPr>
        <w:t> </w:t>
      </w:r>
      <w:r>
        <w:rPr/>
        <w:t>and</w:t>
      </w:r>
      <w:r>
        <w:rPr>
          <w:spacing w:val="-11"/>
        </w:rPr>
        <w:t> </w:t>
      </w:r>
      <w:r>
        <w:rPr/>
        <w:t>are</w:t>
      </w:r>
      <w:r>
        <w:rPr>
          <w:spacing w:val="-9"/>
        </w:rPr>
        <w:t> </w:t>
      </w:r>
      <w:r>
        <w:rPr/>
        <w:t>strongly</w:t>
      </w:r>
      <w:r>
        <w:rPr>
          <w:spacing w:val="-8"/>
        </w:rPr>
        <w:t> </w:t>
      </w:r>
      <w:r>
        <w:rPr/>
        <w:t>encouraged</w:t>
      </w:r>
      <w:r>
        <w:rPr>
          <w:spacing w:val="-11"/>
        </w:rPr>
        <w:t> </w:t>
      </w:r>
      <w:r>
        <w:rPr/>
        <w:t>to</w:t>
      </w:r>
      <w:r>
        <w:rPr>
          <w:spacing w:val="-11"/>
        </w:rPr>
        <w:t> </w:t>
      </w:r>
      <w:r>
        <w:rPr/>
        <w:t>discuss</w:t>
      </w:r>
      <w:r>
        <w:rPr>
          <w:spacing w:val="-8"/>
        </w:rPr>
        <w:t> </w:t>
      </w:r>
      <w:r>
        <w:rPr/>
        <w:t>any</w:t>
      </w:r>
      <w:r>
        <w:rPr>
          <w:spacing w:val="-8"/>
        </w:rPr>
        <w:t> </w:t>
      </w:r>
      <w:r>
        <w:rPr/>
        <w:t>questions they have with City of Dallas staff prior to entering into a purchase agreement or submitting an </w:t>
      </w:r>
      <w:r>
        <w:rPr>
          <w:spacing w:val="-2"/>
        </w:rPr>
        <w:t>application.</w:t>
      </w:r>
    </w:p>
    <w:p>
      <w:pPr>
        <w:pStyle w:val="BodyText"/>
      </w:pPr>
    </w:p>
    <w:p>
      <w:pPr>
        <w:pStyle w:val="BodyText"/>
        <w:ind w:left="119" w:right="162"/>
        <w:jc w:val="both"/>
      </w:pPr>
      <w:r>
        <w:rPr/>
        <w:t>All</w:t>
      </w:r>
      <w:r>
        <w:rPr>
          <w:spacing w:val="-10"/>
        </w:rPr>
        <w:t> </w:t>
      </w:r>
      <w:r>
        <w:rPr/>
        <w:t>projects</w:t>
      </w:r>
      <w:r>
        <w:rPr>
          <w:spacing w:val="-12"/>
        </w:rPr>
        <w:t> </w:t>
      </w:r>
      <w:r>
        <w:rPr/>
        <w:t>shall</w:t>
      </w:r>
      <w:r>
        <w:rPr>
          <w:spacing w:val="-10"/>
        </w:rPr>
        <w:t> </w:t>
      </w:r>
      <w:r>
        <w:rPr/>
        <w:t>be</w:t>
      </w:r>
      <w:r>
        <w:rPr>
          <w:spacing w:val="-12"/>
        </w:rPr>
        <w:t> </w:t>
      </w:r>
      <w:r>
        <w:rPr/>
        <w:t>implemented</w:t>
      </w:r>
      <w:r>
        <w:rPr>
          <w:spacing w:val="-12"/>
        </w:rPr>
        <w:t> </w:t>
      </w:r>
      <w:r>
        <w:rPr/>
        <w:t>in</w:t>
      </w:r>
      <w:r>
        <w:rPr>
          <w:spacing w:val="-10"/>
        </w:rPr>
        <w:t> </w:t>
      </w:r>
      <w:r>
        <w:rPr/>
        <w:t>accordance</w:t>
      </w:r>
      <w:r>
        <w:rPr>
          <w:spacing w:val="-12"/>
        </w:rPr>
        <w:t> </w:t>
      </w:r>
      <w:r>
        <w:rPr/>
        <w:t>with</w:t>
      </w:r>
      <w:r>
        <w:rPr>
          <w:spacing w:val="-10"/>
        </w:rPr>
        <w:t> </w:t>
      </w:r>
      <w:r>
        <w:rPr/>
        <w:t>environmental</w:t>
      </w:r>
      <w:r>
        <w:rPr>
          <w:spacing w:val="-13"/>
        </w:rPr>
        <w:t> </w:t>
      </w:r>
      <w:r>
        <w:rPr/>
        <w:t>review</w:t>
      </w:r>
      <w:r>
        <w:rPr>
          <w:spacing w:val="-13"/>
        </w:rPr>
        <w:t> </w:t>
      </w:r>
      <w:r>
        <w:rPr/>
        <w:t>regulations</w:t>
      </w:r>
      <w:r>
        <w:rPr>
          <w:spacing w:val="-10"/>
        </w:rPr>
        <w:t> </w:t>
      </w:r>
      <w:r>
        <w:rPr/>
        <w:t>as</w:t>
      </w:r>
      <w:r>
        <w:rPr>
          <w:spacing w:val="-12"/>
        </w:rPr>
        <w:t> </w:t>
      </w:r>
      <w:r>
        <w:rPr/>
        <w:t>defined 24 CFR Part 58.</w:t>
      </w:r>
    </w:p>
    <w:p>
      <w:pPr>
        <w:pStyle w:val="BodyText"/>
        <w:spacing w:before="10"/>
        <w:rPr>
          <w:sz w:val="21"/>
        </w:rPr>
      </w:pPr>
    </w:p>
    <w:p>
      <w:pPr>
        <w:pStyle w:val="BodyText"/>
        <w:spacing w:before="1"/>
        <w:ind w:left="119" w:right="156"/>
        <w:jc w:val="both"/>
      </w:pPr>
      <w:r>
        <w:rPr/>
        <w:t>The City of Dallas shall be responsible for conducting the environmental review and completing all necessary public notifications, and the request for release of funds (RROF) from HUD. The applicant</w:t>
      </w:r>
      <w:r>
        <w:rPr>
          <w:spacing w:val="-16"/>
        </w:rPr>
        <w:t> </w:t>
      </w:r>
      <w:r>
        <w:rPr/>
        <w:t>is</w:t>
      </w:r>
      <w:r>
        <w:rPr>
          <w:spacing w:val="-15"/>
        </w:rPr>
        <w:t> </w:t>
      </w:r>
      <w:r>
        <w:rPr/>
        <w:t>responsible</w:t>
      </w:r>
      <w:r>
        <w:rPr>
          <w:spacing w:val="-15"/>
        </w:rPr>
        <w:t> </w:t>
      </w:r>
      <w:r>
        <w:rPr/>
        <w:t>for</w:t>
      </w:r>
      <w:r>
        <w:rPr>
          <w:spacing w:val="-16"/>
        </w:rPr>
        <w:t> </w:t>
      </w:r>
      <w:r>
        <w:rPr/>
        <w:t>cooperating</w:t>
      </w:r>
      <w:r>
        <w:rPr>
          <w:spacing w:val="-15"/>
        </w:rPr>
        <w:t> </w:t>
      </w:r>
      <w:r>
        <w:rPr/>
        <w:t>with</w:t>
      </w:r>
      <w:r>
        <w:rPr>
          <w:spacing w:val="-15"/>
        </w:rPr>
        <w:t> </w:t>
      </w:r>
      <w:r>
        <w:rPr/>
        <w:t>the</w:t>
      </w:r>
      <w:r>
        <w:rPr>
          <w:spacing w:val="-15"/>
        </w:rPr>
        <w:t> </w:t>
      </w:r>
      <w:r>
        <w:rPr/>
        <w:t>City</w:t>
      </w:r>
      <w:r>
        <w:rPr>
          <w:spacing w:val="-16"/>
        </w:rPr>
        <w:t> </w:t>
      </w:r>
      <w:r>
        <w:rPr/>
        <w:t>of</w:t>
      </w:r>
      <w:r>
        <w:rPr>
          <w:spacing w:val="-15"/>
        </w:rPr>
        <w:t> </w:t>
      </w:r>
      <w:r>
        <w:rPr/>
        <w:t>Dallas</w:t>
      </w:r>
      <w:r>
        <w:rPr>
          <w:spacing w:val="-15"/>
        </w:rPr>
        <w:t> </w:t>
      </w:r>
      <w:r>
        <w:rPr/>
        <w:t>in</w:t>
      </w:r>
      <w:r>
        <w:rPr>
          <w:spacing w:val="-16"/>
        </w:rPr>
        <w:t> </w:t>
      </w:r>
      <w:r>
        <w:rPr/>
        <w:t>the</w:t>
      </w:r>
      <w:r>
        <w:rPr>
          <w:spacing w:val="-15"/>
        </w:rPr>
        <w:t> </w:t>
      </w:r>
      <w:r>
        <w:rPr/>
        <w:t>environmental</w:t>
      </w:r>
      <w:r>
        <w:rPr>
          <w:spacing w:val="-15"/>
        </w:rPr>
        <w:t> </w:t>
      </w:r>
      <w:r>
        <w:rPr/>
        <w:t>review</w:t>
      </w:r>
      <w:r>
        <w:rPr>
          <w:spacing w:val="-15"/>
        </w:rPr>
        <w:t> </w:t>
      </w:r>
      <w:r>
        <w:rPr/>
        <w:t>process and providing information necessary for the City of Dallas to fulfill its responsibilities under Part 58 and other applicable regulations.</w:t>
      </w:r>
    </w:p>
    <w:p>
      <w:pPr>
        <w:pStyle w:val="BodyText"/>
        <w:spacing w:before="10"/>
        <w:rPr>
          <w:sz w:val="21"/>
        </w:rPr>
      </w:pPr>
    </w:p>
    <w:p>
      <w:pPr>
        <w:pStyle w:val="BodyText"/>
        <w:ind w:left="119" w:right="156"/>
        <w:jc w:val="both"/>
      </w:pPr>
      <w:r>
        <w:rPr/>
        <w:t>Submitting an application for HOME</w:t>
      </w:r>
      <w:r>
        <w:rPr>
          <w:spacing w:val="-1"/>
        </w:rPr>
        <w:t> </w:t>
      </w:r>
      <w:r>
        <w:rPr/>
        <w:t>funds triggers environmental review</w:t>
      </w:r>
      <w:r>
        <w:rPr>
          <w:spacing w:val="-1"/>
        </w:rPr>
        <w:t> </w:t>
      </w:r>
      <w:r>
        <w:rPr/>
        <w:t>requirements under 24 CFR</w:t>
      </w:r>
      <w:r>
        <w:rPr>
          <w:spacing w:val="-6"/>
        </w:rPr>
        <w:t> </w:t>
      </w:r>
      <w:r>
        <w:rPr/>
        <w:t>58,</w:t>
      </w:r>
      <w:r>
        <w:rPr>
          <w:spacing w:val="-6"/>
        </w:rPr>
        <w:t> </w:t>
      </w:r>
      <w:r>
        <w:rPr/>
        <w:t>including</w:t>
      </w:r>
      <w:r>
        <w:rPr>
          <w:spacing w:val="-8"/>
        </w:rPr>
        <w:t> </w:t>
      </w:r>
      <w:r>
        <w:rPr/>
        <w:t>the</w:t>
      </w:r>
      <w:r>
        <w:rPr>
          <w:spacing w:val="-7"/>
        </w:rPr>
        <w:t> </w:t>
      </w:r>
      <w:r>
        <w:rPr/>
        <w:t>National</w:t>
      </w:r>
      <w:r>
        <w:rPr>
          <w:spacing w:val="-6"/>
        </w:rPr>
        <w:t> </w:t>
      </w:r>
      <w:r>
        <w:rPr/>
        <w:t>Environmental</w:t>
      </w:r>
      <w:r>
        <w:rPr>
          <w:spacing w:val="-8"/>
        </w:rPr>
        <w:t> </w:t>
      </w:r>
      <w:r>
        <w:rPr/>
        <w:t>Policy</w:t>
      </w:r>
      <w:r>
        <w:rPr>
          <w:spacing w:val="-5"/>
        </w:rPr>
        <w:t> </w:t>
      </w:r>
      <w:r>
        <w:rPr/>
        <w:t>Act</w:t>
      </w:r>
      <w:r>
        <w:rPr>
          <w:spacing w:val="-6"/>
        </w:rPr>
        <w:t> </w:t>
      </w:r>
      <w:r>
        <w:rPr/>
        <w:t>(NEPA).</w:t>
      </w:r>
      <w:r>
        <w:rPr>
          <w:spacing w:val="-5"/>
        </w:rPr>
        <w:t> </w:t>
      </w:r>
      <w:r>
        <w:rPr/>
        <w:t>Once</w:t>
      </w:r>
      <w:r>
        <w:rPr>
          <w:spacing w:val="-7"/>
        </w:rPr>
        <w:t> </w:t>
      </w:r>
      <w:r>
        <w:rPr/>
        <w:t>an</w:t>
      </w:r>
      <w:r>
        <w:rPr>
          <w:spacing w:val="-10"/>
        </w:rPr>
        <w:t> </w:t>
      </w:r>
      <w:r>
        <w:rPr/>
        <w:t>application</w:t>
      </w:r>
      <w:r>
        <w:rPr>
          <w:spacing w:val="-5"/>
        </w:rPr>
        <w:t> </w:t>
      </w:r>
      <w:r>
        <w:rPr/>
        <w:t>for</w:t>
      </w:r>
      <w:r>
        <w:rPr>
          <w:spacing w:val="-6"/>
        </w:rPr>
        <w:t> </w:t>
      </w:r>
      <w:r>
        <w:rPr/>
        <w:t>federal funds is submitted, a development proposal is now subject to the environmental review requirements and requires an environmental clearance and issuance of a Release of Funds (ROF) by the US Department of Housing and Urban Development.</w:t>
      </w:r>
    </w:p>
    <w:p>
      <w:pPr>
        <w:pStyle w:val="BodyText"/>
        <w:spacing w:before="1"/>
      </w:pPr>
    </w:p>
    <w:p>
      <w:pPr>
        <w:pStyle w:val="BodyText"/>
        <w:ind w:left="119" w:right="155"/>
        <w:jc w:val="both"/>
      </w:pPr>
      <w:r>
        <w:rPr/>
        <w:t>Developers are prohibited from undertaking or committing or expending any funds to (including non-federal funds) any physical or choice-limiting actions on the site prior to an environmental clearance</w:t>
      </w:r>
      <w:r>
        <w:rPr>
          <w:spacing w:val="-4"/>
        </w:rPr>
        <w:t> </w:t>
      </w:r>
      <w:r>
        <w:rPr/>
        <w:t>as</w:t>
      </w:r>
      <w:r>
        <w:rPr>
          <w:spacing w:val="-4"/>
        </w:rPr>
        <w:t> </w:t>
      </w:r>
      <w:r>
        <w:rPr/>
        <w:t>required</w:t>
      </w:r>
      <w:r>
        <w:rPr>
          <w:spacing w:val="-6"/>
        </w:rPr>
        <w:t> </w:t>
      </w:r>
      <w:r>
        <w:rPr/>
        <w:t>by</w:t>
      </w:r>
      <w:r>
        <w:rPr>
          <w:spacing w:val="-6"/>
        </w:rPr>
        <w:t> </w:t>
      </w:r>
      <w:r>
        <w:rPr/>
        <w:t>Part</w:t>
      </w:r>
      <w:r>
        <w:rPr>
          <w:spacing w:val="-3"/>
        </w:rPr>
        <w:t> </w:t>
      </w:r>
      <w:r>
        <w:rPr/>
        <w:t>58.</w:t>
      </w:r>
      <w:r>
        <w:rPr>
          <w:spacing w:val="-2"/>
        </w:rPr>
        <w:t> </w:t>
      </w:r>
      <w:r>
        <w:rPr/>
        <w:t>Physical</w:t>
      </w:r>
      <w:r>
        <w:rPr>
          <w:spacing w:val="-5"/>
        </w:rPr>
        <w:t> </w:t>
      </w:r>
      <w:r>
        <w:rPr/>
        <w:t>and</w:t>
      </w:r>
      <w:r>
        <w:rPr>
          <w:spacing w:val="-4"/>
        </w:rPr>
        <w:t> </w:t>
      </w:r>
      <w:r>
        <w:rPr/>
        <w:t>choice</w:t>
      </w:r>
      <w:r>
        <w:rPr>
          <w:spacing w:val="-4"/>
        </w:rPr>
        <w:t> </w:t>
      </w:r>
      <w:r>
        <w:rPr/>
        <w:t>limiting</w:t>
      </w:r>
      <w:r>
        <w:rPr>
          <w:spacing w:val="-4"/>
        </w:rPr>
        <w:t> </w:t>
      </w:r>
      <w:r>
        <w:rPr/>
        <w:t>actions</w:t>
      </w:r>
      <w:r>
        <w:rPr>
          <w:spacing w:val="-4"/>
        </w:rPr>
        <w:t> </w:t>
      </w:r>
      <w:r>
        <w:rPr/>
        <w:t>include,</w:t>
      </w:r>
      <w:r>
        <w:rPr>
          <w:spacing w:val="-3"/>
        </w:rPr>
        <w:t> </w:t>
      </w:r>
      <w:r>
        <w:rPr/>
        <w:t>but</w:t>
      </w:r>
      <w:r>
        <w:rPr>
          <w:spacing w:val="-3"/>
        </w:rPr>
        <w:t> </w:t>
      </w:r>
      <w:r>
        <w:rPr/>
        <w:t>are</w:t>
      </w:r>
      <w:r>
        <w:rPr>
          <w:spacing w:val="-4"/>
        </w:rPr>
        <w:t> </w:t>
      </w:r>
      <w:r>
        <w:rPr/>
        <w:t>not</w:t>
      </w:r>
      <w:r>
        <w:rPr>
          <w:spacing w:val="-3"/>
        </w:rPr>
        <w:t> </w:t>
      </w:r>
      <w:r>
        <w:rPr/>
        <w:t>limited to, property acquisition, demolition, movement, rehabilitation, conversion, repair or construction. This prohibition applies regardless of whether federal or non-federal funds are used, and taking</w:t>
      </w:r>
    </w:p>
    <w:p>
      <w:pPr>
        <w:spacing w:after="0"/>
        <w:jc w:val="both"/>
        <w:sectPr>
          <w:pgSz w:w="12240" w:h="15840"/>
          <w:pgMar w:header="0" w:footer="1176" w:top="1620" w:bottom="1420" w:left="1320" w:right="1280"/>
        </w:sectPr>
      </w:pPr>
    </w:p>
    <w:p>
      <w:pPr>
        <w:pStyle w:val="BodyText"/>
        <w:spacing w:before="80"/>
        <w:ind w:left="119" w:right="158"/>
        <w:jc w:val="both"/>
      </w:pPr>
      <w:r>
        <w:rPr/>
        <w:t>a choice limiting action prior to completion of the required environmental clearance process will result in the denial of any HOME funds from the City of Dallas.</w:t>
      </w:r>
    </w:p>
    <w:p>
      <w:pPr>
        <w:pStyle w:val="ListParagraph"/>
        <w:numPr>
          <w:ilvl w:val="0"/>
          <w:numId w:val="26"/>
        </w:numPr>
        <w:tabs>
          <w:tab w:pos="416" w:val="left" w:leader="none"/>
        </w:tabs>
        <w:spacing w:line="506" w:lineRule="exact" w:before="53" w:after="0"/>
        <w:ind w:left="119" w:right="5516" w:firstLine="0"/>
        <w:jc w:val="left"/>
        <w:rPr>
          <w:sz w:val="22"/>
        </w:rPr>
      </w:pPr>
      <w:r>
        <w:rPr>
          <w:sz w:val="22"/>
        </w:rPr>
        <w:t>Other Federal Requirements Nondiscrimination</w:t>
      </w:r>
      <w:r>
        <w:rPr>
          <w:spacing w:val="-11"/>
          <w:sz w:val="22"/>
        </w:rPr>
        <w:t> </w:t>
      </w:r>
      <w:r>
        <w:rPr>
          <w:sz w:val="22"/>
        </w:rPr>
        <w:t>and</w:t>
      </w:r>
      <w:r>
        <w:rPr>
          <w:spacing w:val="-13"/>
          <w:sz w:val="22"/>
        </w:rPr>
        <w:t> </w:t>
      </w:r>
      <w:r>
        <w:rPr>
          <w:sz w:val="22"/>
        </w:rPr>
        <w:t>Equal</w:t>
      </w:r>
      <w:r>
        <w:rPr>
          <w:spacing w:val="-11"/>
          <w:sz w:val="22"/>
        </w:rPr>
        <w:t> </w:t>
      </w:r>
      <w:r>
        <w:rPr>
          <w:sz w:val="22"/>
        </w:rPr>
        <w:t>Opportunity</w:t>
      </w:r>
    </w:p>
    <w:p>
      <w:pPr>
        <w:pStyle w:val="BodyText"/>
        <w:spacing w:line="198" w:lineRule="exact"/>
        <w:ind w:left="119"/>
        <w:jc w:val="both"/>
      </w:pPr>
      <w:r>
        <w:rPr/>
        <w:t>The</w:t>
      </w:r>
      <w:r>
        <w:rPr>
          <w:spacing w:val="-12"/>
        </w:rPr>
        <w:t> </w:t>
      </w:r>
      <w:r>
        <w:rPr/>
        <w:t>following</w:t>
      </w:r>
      <w:r>
        <w:rPr>
          <w:spacing w:val="-9"/>
        </w:rPr>
        <w:t> </w:t>
      </w:r>
      <w:r>
        <w:rPr/>
        <w:t>federal</w:t>
      </w:r>
      <w:r>
        <w:rPr>
          <w:spacing w:val="-11"/>
        </w:rPr>
        <w:t> </w:t>
      </w:r>
      <w:r>
        <w:rPr/>
        <w:t>nondiscrimination</w:t>
      </w:r>
      <w:r>
        <w:rPr>
          <w:spacing w:val="-9"/>
        </w:rPr>
        <w:t> </w:t>
      </w:r>
      <w:r>
        <w:rPr/>
        <w:t>and</w:t>
      </w:r>
      <w:r>
        <w:rPr>
          <w:spacing w:val="-10"/>
        </w:rPr>
        <w:t> </w:t>
      </w:r>
      <w:r>
        <w:rPr/>
        <w:t>equal</w:t>
      </w:r>
      <w:r>
        <w:rPr>
          <w:spacing w:val="-12"/>
        </w:rPr>
        <w:t> </w:t>
      </w:r>
      <w:r>
        <w:rPr/>
        <w:t>opportunity</w:t>
      </w:r>
      <w:r>
        <w:rPr>
          <w:spacing w:val="-11"/>
        </w:rPr>
        <w:t> </w:t>
      </w:r>
      <w:r>
        <w:rPr/>
        <w:t>guidelines</w:t>
      </w:r>
      <w:r>
        <w:rPr>
          <w:spacing w:val="-10"/>
        </w:rPr>
        <w:t> </w:t>
      </w:r>
      <w:r>
        <w:rPr/>
        <w:t>apply</w:t>
      </w:r>
      <w:r>
        <w:rPr>
          <w:spacing w:val="-9"/>
        </w:rPr>
        <w:t> </w:t>
      </w:r>
      <w:r>
        <w:rPr/>
        <w:t>to</w:t>
      </w:r>
      <w:r>
        <w:rPr>
          <w:spacing w:val="-10"/>
        </w:rPr>
        <w:t> </w:t>
      </w:r>
      <w:r>
        <w:rPr/>
        <w:t>all</w:t>
      </w:r>
      <w:r>
        <w:rPr>
          <w:spacing w:val="-10"/>
        </w:rPr>
        <w:t> </w:t>
      </w:r>
      <w:r>
        <w:rPr/>
        <w:t>projects</w:t>
      </w:r>
      <w:r>
        <w:rPr>
          <w:spacing w:val="-9"/>
        </w:rPr>
        <w:t> </w:t>
      </w:r>
      <w:r>
        <w:rPr>
          <w:spacing w:val="-5"/>
        </w:rPr>
        <w:t>and</w:t>
      </w:r>
    </w:p>
    <w:p>
      <w:pPr>
        <w:pStyle w:val="BodyText"/>
        <w:spacing w:before="2"/>
        <w:ind w:left="119"/>
        <w:jc w:val="both"/>
      </w:pPr>
      <w:r>
        <w:rPr/>
        <w:t>affect</w:t>
      </w:r>
      <w:r>
        <w:rPr>
          <w:spacing w:val="-3"/>
        </w:rPr>
        <w:t> </w:t>
      </w:r>
      <w:r>
        <w:rPr/>
        <w:t>both</w:t>
      </w:r>
      <w:r>
        <w:rPr>
          <w:spacing w:val="-5"/>
        </w:rPr>
        <w:t> </w:t>
      </w:r>
      <w:r>
        <w:rPr/>
        <w:t>development</w:t>
      </w:r>
      <w:r>
        <w:rPr>
          <w:spacing w:val="-7"/>
        </w:rPr>
        <w:t> </w:t>
      </w:r>
      <w:r>
        <w:rPr/>
        <w:t>and</w:t>
      </w:r>
      <w:r>
        <w:rPr>
          <w:spacing w:val="-5"/>
        </w:rPr>
        <w:t> </w:t>
      </w:r>
      <w:r>
        <w:rPr/>
        <w:t>sales</w:t>
      </w:r>
      <w:r>
        <w:rPr>
          <w:spacing w:val="-4"/>
        </w:rPr>
        <w:t> </w:t>
      </w:r>
      <w:r>
        <w:rPr/>
        <w:t>of</w:t>
      </w:r>
      <w:r>
        <w:rPr>
          <w:spacing w:val="-3"/>
        </w:rPr>
        <w:t> </w:t>
      </w:r>
      <w:r>
        <w:rPr/>
        <w:t>assisted</w:t>
      </w:r>
      <w:r>
        <w:rPr>
          <w:spacing w:val="-4"/>
        </w:rPr>
        <w:t> </w:t>
      </w:r>
      <w:r>
        <w:rPr>
          <w:spacing w:val="-2"/>
        </w:rPr>
        <w:t>housing:</w:t>
      </w:r>
    </w:p>
    <w:p>
      <w:pPr>
        <w:pStyle w:val="BodyText"/>
        <w:spacing w:before="2"/>
      </w:pPr>
    </w:p>
    <w:p>
      <w:pPr>
        <w:pStyle w:val="ListParagraph"/>
        <w:numPr>
          <w:ilvl w:val="1"/>
          <w:numId w:val="26"/>
        </w:numPr>
        <w:tabs>
          <w:tab w:pos="840" w:val="left" w:leader="none"/>
        </w:tabs>
        <w:spacing w:line="237" w:lineRule="auto" w:before="0" w:after="0"/>
        <w:ind w:left="839" w:right="159" w:hanging="361"/>
        <w:jc w:val="both"/>
        <w:rPr>
          <w:sz w:val="22"/>
        </w:rPr>
      </w:pPr>
      <w:r>
        <w:rPr/>
        <w:pict>
          <v:shape style="position:absolute;margin-left:90.065002pt;margin-top:.52018pt;width:395.3pt;height:419pt;mso-position-horizontal-relative:page;mso-position-vertical-relative:paragraph;z-index:-17684480" id="docshape118" coordorigin="1801,10" coordsize="7906,8380" path="m4498,7274l4492,7201,4477,7123,4455,7040,4432,6971,4403,6899,4367,6824,4325,6746,4276,6665,4237,6606,4200,6555,4200,7241,4197,7297,4186,7354,4167,7411,4138,7471,4097,7534,4044,7600,3979,7669,3674,7975,2216,6517,2517,6216,2598,6140,2672,6080,2740,6037,2801,6010,2868,5996,2941,5992,3020,5998,3105,6016,3195,6045,3255,6071,3317,6103,3380,6142,3446,6187,3514,6239,3584,6297,3656,6361,3729,6433,3789,6494,3845,6554,3896,6613,3943,6671,3986,6728,4025,6783,4059,6837,4101,6912,4136,6984,4163,7053,4183,7120,4196,7185,4200,7241,4200,6555,4194,6546,4148,6486,4098,6426,4045,6365,3989,6303,3929,6242,3865,6179,3801,6121,3737,6066,3673,6014,3643,5992,3609,5966,3546,5922,3482,5881,3419,5843,3346,5805,3274,5773,3203,5746,3132,5724,3062,5707,2992,5694,2923,5687,2850,5686,2779,5692,2709,5707,2642,5730,2577,5761,2528,5789,2476,5826,2420,5872,2359,5926,2294,5988,1801,6481,3710,8390,4124,7975,4226,7873,4287,7808,4341,7743,4386,7677,4424,7610,4454,7544,4476,7477,4491,7410,4498,7343,4498,7274xm6418,5681l6056,5553,5650,5410,5561,5381,5475,5357,5393,5338,5365,5333,5314,5324,5239,5314,5193,5312,5143,5315,5089,5322,5030,5333,5073,5263,5109,5194,5136,5125,5154,5056,5164,4987,5165,4919,5157,4851,5139,4773,5111,4697,5075,4623,5030,4550,4976,4479,4956,4456,4913,4410,4872,4372,4872,4930,4868,4985,4854,5040,4830,5096,4794,5155,4747,5216,4687,5280,4280,5687,3649,5056,4102,4603,4166,4546,4229,4502,4293,4473,4358,4458,4422,4456,4501,4472,4577,4501,4649,4546,4718,4606,4761,4653,4797,4704,4827,4758,4851,4814,4867,4873,4872,4930,4872,4372,4849,4351,4782,4298,4713,4253,4641,4214,4566,4182,4474,4154,4386,4141,4303,4143,4225,4159,4163,4184,4098,4221,4030,4269,3958,4328,3883,4399,3248,5034,5157,6942,5346,6753,4499,5906,4718,5687,4753,5652,4783,5625,4810,5604,4833,5589,4863,5576,4896,5565,4932,5558,4971,5553,5014,5553,5066,5558,5125,5569,5194,5585,5256,5603,5328,5624,5407,5648,5496,5678,6180,5919,6418,5681xm7780,4319l7415,4124,6555,3669,6555,3976,6070,4462,6030,4390,5989,4319,5748,3888,5708,3816,5668,3745,5629,3679,5590,3615,5550,3551,5509,3488,5467,3425,5424,3364,5380,3303,5436,3339,5498,3377,5564,3417,5635,3459,5792,3549,6555,3976,6555,3669,5862,3303,5286,2996,5082,3200,5277,3551,5316,3621,5701,4319,6207,5238,6441,5658,6642,5457,6565,5324,6298,4856,6221,4722,6481,4462,6820,4124,7173,4319,7565,4535,7780,4319xm8131,3968l7264,3101,7936,2429,7711,2204,7039,2876,6448,2285,7224,1509,6999,1284,6033,2249,7941,4158,8131,3968xm9707,2392l8024,709,8497,236,8272,10,7138,1145,7363,1370,7834,899,9517,2582,9707,2392xe" filled="true" fillcolor="#c0c0c0" stroked="false">
            <v:path arrowok="t"/>
            <v:fill opacity="32896f" type="solid"/>
            <w10:wrap type="none"/>
          </v:shape>
        </w:pict>
      </w:r>
      <w:r>
        <w:rPr>
          <w:sz w:val="22"/>
        </w:rPr>
        <w:t>The Fair Housing Act (42 U.S.C. 3601-19) and implementing regulations at 24 CFR part 100 et seq.;</w:t>
      </w:r>
    </w:p>
    <w:p>
      <w:pPr>
        <w:pStyle w:val="ListParagraph"/>
        <w:numPr>
          <w:ilvl w:val="1"/>
          <w:numId w:val="26"/>
        </w:numPr>
        <w:tabs>
          <w:tab w:pos="840" w:val="left" w:leader="none"/>
        </w:tabs>
        <w:spacing w:line="240" w:lineRule="auto" w:before="1" w:after="0"/>
        <w:ind w:left="839" w:right="153" w:hanging="361"/>
        <w:jc w:val="both"/>
        <w:rPr>
          <w:sz w:val="22"/>
        </w:rPr>
      </w:pPr>
      <w:r>
        <w:rPr>
          <w:sz w:val="22"/>
        </w:rPr>
        <w:t>Executive Order 11063, as amended by Executive Order 12259 (3 CFR, 1959-1963 Comp.,</w:t>
      </w:r>
      <w:r>
        <w:rPr>
          <w:spacing w:val="-6"/>
          <w:sz w:val="22"/>
        </w:rPr>
        <w:t> </w:t>
      </w:r>
      <w:r>
        <w:rPr>
          <w:sz w:val="22"/>
        </w:rPr>
        <w:t>p.</w:t>
      </w:r>
      <w:r>
        <w:rPr>
          <w:spacing w:val="-8"/>
          <w:sz w:val="22"/>
        </w:rPr>
        <w:t> </w:t>
      </w:r>
      <w:r>
        <w:rPr>
          <w:sz w:val="22"/>
        </w:rPr>
        <w:t>652</w:t>
      </w:r>
      <w:r>
        <w:rPr>
          <w:spacing w:val="-10"/>
          <w:sz w:val="22"/>
        </w:rPr>
        <w:t> </w:t>
      </w:r>
      <w:r>
        <w:rPr>
          <w:sz w:val="22"/>
        </w:rPr>
        <w:t>and</w:t>
      </w:r>
      <w:r>
        <w:rPr>
          <w:spacing w:val="-10"/>
          <w:sz w:val="22"/>
        </w:rPr>
        <w:t> </w:t>
      </w:r>
      <w:r>
        <w:rPr>
          <w:sz w:val="22"/>
        </w:rPr>
        <w:t>3</w:t>
      </w:r>
      <w:r>
        <w:rPr>
          <w:spacing w:val="-10"/>
          <w:sz w:val="22"/>
        </w:rPr>
        <w:t> </w:t>
      </w:r>
      <w:r>
        <w:rPr>
          <w:sz w:val="22"/>
        </w:rPr>
        <w:t>CFR,</w:t>
      </w:r>
      <w:r>
        <w:rPr>
          <w:spacing w:val="-6"/>
          <w:sz w:val="22"/>
        </w:rPr>
        <w:t> </w:t>
      </w:r>
      <w:r>
        <w:rPr>
          <w:sz w:val="22"/>
        </w:rPr>
        <w:t>1980</w:t>
      </w:r>
      <w:r>
        <w:rPr>
          <w:spacing w:val="-10"/>
          <w:sz w:val="22"/>
        </w:rPr>
        <w:t> </w:t>
      </w:r>
      <w:r>
        <w:rPr>
          <w:sz w:val="22"/>
        </w:rPr>
        <w:t>Comp.,</w:t>
      </w:r>
      <w:r>
        <w:rPr>
          <w:spacing w:val="-8"/>
          <w:sz w:val="22"/>
        </w:rPr>
        <w:t> </w:t>
      </w:r>
      <w:r>
        <w:rPr>
          <w:sz w:val="22"/>
        </w:rPr>
        <w:t>p.</w:t>
      </w:r>
      <w:r>
        <w:rPr>
          <w:spacing w:val="-8"/>
          <w:sz w:val="22"/>
        </w:rPr>
        <w:t> </w:t>
      </w:r>
      <w:r>
        <w:rPr>
          <w:sz w:val="22"/>
        </w:rPr>
        <w:t>307)</w:t>
      </w:r>
      <w:r>
        <w:rPr>
          <w:spacing w:val="-11"/>
          <w:sz w:val="22"/>
        </w:rPr>
        <w:t> </w:t>
      </w:r>
      <w:r>
        <w:rPr>
          <w:sz w:val="22"/>
        </w:rPr>
        <w:t>(Equal</w:t>
      </w:r>
      <w:r>
        <w:rPr>
          <w:spacing w:val="-8"/>
          <w:sz w:val="22"/>
        </w:rPr>
        <w:t> </w:t>
      </w:r>
      <w:r>
        <w:rPr>
          <w:sz w:val="22"/>
        </w:rPr>
        <w:t>Opportunity</w:t>
      </w:r>
      <w:r>
        <w:rPr>
          <w:spacing w:val="-7"/>
          <w:sz w:val="22"/>
        </w:rPr>
        <w:t> </w:t>
      </w:r>
      <w:r>
        <w:rPr>
          <w:sz w:val="22"/>
        </w:rPr>
        <w:t>in</w:t>
      </w:r>
      <w:r>
        <w:rPr>
          <w:spacing w:val="-10"/>
          <w:sz w:val="22"/>
        </w:rPr>
        <w:t> </w:t>
      </w:r>
      <w:r>
        <w:rPr>
          <w:sz w:val="22"/>
        </w:rPr>
        <w:t>Housing</w:t>
      </w:r>
      <w:r>
        <w:rPr>
          <w:spacing w:val="-7"/>
          <w:sz w:val="22"/>
        </w:rPr>
        <w:t> </w:t>
      </w:r>
      <w:r>
        <w:rPr>
          <w:sz w:val="22"/>
        </w:rPr>
        <w:t>Programs) and implementing regulations at 24 CFR part 107;</w:t>
      </w:r>
    </w:p>
    <w:p>
      <w:pPr>
        <w:pStyle w:val="ListParagraph"/>
        <w:numPr>
          <w:ilvl w:val="1"/>
          <w:numId w:val="26"/>
        </w:numPr>
        <w:tabs>
          <w:tab w:pos="840" w:val="left" w:leader="none"/>
        </w:tabs>
        <w:spacing w:line="237" w:lineRule="auto" w:before="2" w:after="0"/>
        <w:ind w:left="839" w:right="156" w:hanging="361"/>
        <w:jc w:val="both"/>
        <w:rPr>
          <w:sz w:val="22"/>
        </w:rPr>
      </w:pPr>
      <w:r>
        <w:rPr>
          <w:sz w:val="22"/>
        </w:rPr>
        <w:t>Title VI of the Civil Rights Act of 1964 (42 U.S.C. 2000d- 2000d-4) (Nondiscrimination in Federally Assisted Programs) and implementing regulations at 24 CFR part 1;</w:t>
      </w:r>
    </w:p>
    <w:p>
      <w:pPr>
        <w:pStyle w:val="ListParagraph"/>
        <w:numPr>
          <w:ilvl w:val="1"/>
          <w:numId w:val="26"/>
        </w:numPr>
        <w:tabs>
          <w:tab w:pos="841" w:val="left" w:leader="none"/>
        </w:tabs>
        <w:spacing w:line="237" w:lineRule="auto" w:before="3" w:after="0"/>
        <w:ind w:left="840" w:right="157" w:hanging="361"/>
        <w:jc w:val="both"/>
        <w:rPr>
          <w:sz w:val="22"/>
        </w:rPr>
      </w:pPr>
      <w:r>
        <w:rPr>
          <w:sz w:val="22"/>
        </w:rPr>
        <w:t>The</w:t>
      </w:r>
      <w:r>
        <w:rPr>
          <w:spacing w:val="-5"/>
          <w:sz w:val="22"/>
        </w:rPr>
        <w:t> </w:t>
      </w:r>
      <w:r>
        <w:rPr>
          <w:sz w:val="22"/>
        </w:rPr>
        <w:t>Age</w:t>
      </w:r>
      <w:r>
        <w:rPr>
          <w:spacing w:val="-5"/>
          <w:sz w:val="22"/>
        </w:rPr>
        <w:t> </w:t>
      </w:r>
      <w:r>
        <w:rPr>
          <w:sz w:val="22"/>
        </w:rPr>
        <w:t>Discrimination</w:t>
      </w:r>
      <w:r>
        <w:rPr>
          <w:spacing w:val="-8"/>
          <w:sz w:val="22"/>
        </w:rPr>
        <w:t> </w:t>
      </w:r>
      <w:r>
        <w:rPr>
          <w:sz w:val="22"/>
        </w:rPr>
        <w:t>Act</w:t>
      </w:r>
      <w:r>
        <w:rPr>
          <w:spacing w:val="-4"/>
          <w:sz w:val="22"/>
        </w:rPr>
        <w:t> </w:t>
      </w:r>
      <w:r>
        <w:rPr>
          <w:sz w:val="22"/>
        </w:rPr>
        <w:t>of</w:t>
      </w:r>
      <w:r>
        <w:rPr>
          <w:spacing w:val="-6"/>
          <w:sz w:val="22"/>
        </w:rPr>
        <w:t> </w:t>
      </w:r>
      <w:r>
        <w:rPr>
          <w:sz w:val="22"/>
        </w:rPr>
        <w:t>1975</w:t>
      </w:r>
      <w:r>
        <w:rPr>
          <w:spacing w:val="-5"/>
          <w:sz w:val="22"/>
        </w:rPr>
        <w:t> </w:t>
      </w:r>
      <w:r>
        <w:rPr>
          <w:sz w:val="22"/>
        </w:rPr>
        <w:t>(42</w:t>
      </w:r>
      <w:r>
        <w:rPr>
          <w:spacing w:val="-7"/>
          <w:sz w:val="22"/>
        </w:rPr>
        <w:t> </w:t>
      </w:r>
      <w:r>
        <w:rPr>
          <w:sz w:val="22"/>
        </w:rPr>
        <w:t>U.S.C.</w:t>
      </w:r>
      <w:r>
        <w:rPr>
          <w:spacing w:val="-4"/>
          <w:sz w:val="22"/>
        </w:rPr>
        <w:t> </w:t>
      </w:r>
      <w:r>
        <w:rPr>
          <w:sz w:val="22"/>
        </w:rPr>
        <w:t>6101-6107)</w:t>
      </w:r>
      <w:r>
        <w:rPr>
          <w:spacing w:val="-4"/>
          <w:sz w:val="22"/>
        </w:rPr>
        <w:t> </w:t>
      </w:r>
      <w:r>
        <w:rPr>
          <w:sz w:val="22"/>
        </w:rPr>
        <w:t>and</w:t>
      </w:r>
      <w:r>
        <w:rPr>
          <w:spacing w:val="-7"/>
          <w:sz w:val="22"/>
        </w:rPr>
        <w:t> </w:t>
      </w:r>
      <w:r>
        <w:rPr>
          <w:sz w:val="22"/>
        </w:rPr>
        <w:t>implementing</w:t>
      </w:r>
      <w:r>
        <w:rPr>
          <w:spacing w:val="-5"/>
          <w:sz w:val="22"/>
        </w:rPr>
        <w:t> </w:t>
      </w:r>
      <w:r>
        <w:rPr>
          <w:sz w:val="22"/>
        </w:rPr>
        <w:t>regulations at 24 CFR part 146;</w:t>
      </w:r>
    </w:p>
    <w:p>
      <w:pPr>
        <w:pStyle w:val="ListParagraph"/>
        <w:numPr>
          <w:ilvl w:val="1"/>
          <w:numId w:val="26"/>
        </w:numPr>
        <w:tabs>
          <w:tab w:pos="841" w:val="left" w:leader="none"/>
        </w:tabs>
        <w:spacing w:line="237" w:lineRule="auto" w:before="4" w:after="0"/>
        <w:ind w:left="840" w:right="159" w:hanging="361"/>
        <w:jc w:val="both"/>
        <w:rPr>
          <w:sz w:val="22"/>
        </w:rPr>
      </w:pPr>
      <w:r>
        <w:rPr>
          <w:sz w:val="22"/>
        </w:rPr>
        <w:t>Section 504 of the Rehabilitation Act of 1973 (29 U.S.C. 794) and implementing regulations at part 8 of this title;</w:t>
      </w:r>
    </w:p>
    <w:p>
      <w:pPr>
        <w:pStyle w:val="ListParagraph"/>
        <w:numPr>
          <w:ilvl w:val="1"/>
          <w:numId w:val="26"/>
        </w:numPr>
        <w:tabs>
          <w:tab w:pos="841" w:val="left" w:leader="none"/>
        </w:tabs>
        <w:spacing w:line="237" w:lineRule="auto" w:before="3" w:after="0"/>
        <w:ind w:left="840" w:right="156" w:hanging="360"/>
        <w:jc w:val="both"/>
        <w:rPr>
          <w:sz w:val="22"/>
        </w:rPr>
      </w:pPr>
      <w:r>
        <w:rPr>
          <w:sz w:val="22"/>
        </w:rPr>
        <w:t>Title II of the Americans with Disabilities Act, 42 U.S.C. 12101 et seq.; 24 CFR part 8; Section 3 of the Housing and Urban Development Act of 1968 (12 U.S.C. 1701u) and implementing regulations at 24 CFR part 135;</w:t>
      </w:r>
    </w:p>
    <w:p>
      <w:pPr>
        <w:pStyle w:val="ListParagraph"/>
        <w:numPr>
          <w:ilvl w:val="1"/>
          <w:numId w:val="26"/>
        </w:numPr>
        <w:tabs>
          <w:tab w:pos="841" w:val="left" w:leader="none"/>
        </w:tabs>
        <w:spacing w:line="268" w:lineRule="exact" w:before="3" w:after="0"/>
        <w:ind w:left="840" w:right="0" w:hanging="361"/>
        <w:jc w:val="both"/>
        <w:rPr>
          <w:sz w:val="22"/>
        </w:rPr>
      </w:pPr>
      <w:r>
        <w:rPr>
          <w:sz w:val="22"/>
        </w:rPr>
        <w:t>Executive</w:t>
      </w:r>
      <w:r>
        <w:rPr>
          <w:spacing w:val="29"/>
          <w:sz w:val="22"/>
        </w:rPr>
        <w:t> </w:t>
      </w:r>
      <w:r>
        <w:rPr>
          <w:sz w:val="22"/>
        </w:rPr>
        <w:t>Order</w:t>
      </w:r>
      <w:r>
        <w:rPr>
          <w:spacing w:val="35"/>
          <w:sz w:val="22"/>
        </w:rPr>
        <w:t> </w:t>
      </w:r>
      <w:r>
        <w:rPr>
          <w:sz w:val="22"/>
        </w:rPr>
        <w:t>11246,</w:t>
      </w:r>
      <w:r>
        <w:rPr>
          <w:spacing w:val="33"/>
          <w:sz w:val="22"/>
        </w:rPr>
        <w:t> </w:t>
      </w:r>
      <w:r>
        <w:rPr>
          <w:sz w:val="22"/>
        </w:rPr>
        <w:t>as</w:t>
      </w:r>
      <w:r>
        <w:rPr>
          <w:spacing w:val="35"/>
          <w:sz w:val="22"/>
        </w:rPr>
        <w:t> </w:t>
      </w:r>
      <w:r>
        <w:rPr>
          <w:sz w:val="22"/>
        </w:rPr>
        <w:t>amended</w:t>
      </w:r>
      <w:r>
        <w:rPr>
          <w:spacing w:val="32"/>
          <w:sz w:val="22"/>
        </w:rPr>
        <w:t> </w:t>
      </w:r>
      <w:r>
        <w:rPr>
          <w:sz w:val="22"/>
        </w:rPr>
        <w:t>by</w:t>
      </w:r>
      <w:r>
        <w:rPr>
          <w:spacing w:val="34"/>
          <w:sz w:val="22"/>
        </w:rPr>
        <w:t> </w:t>
      </w:r>
      <w:r>
        <w:rPr>
          <w:sz w:val="22"/>
        </w:rPr>
        <w:t>Executive</w:t>
      </w:r>
      <w:r>
        <w:rPr>
          <w:spacing w:val="34"/>
          <w:sz w:val="22"/>
        </w:rPr>
        <w:t> </w:t>
      </w:r>
      <w:r>
        <w:rPr>
          <w:sz w:val="22"/>
        </w:rPr>
        <w:t>Orders</w:t>
      </w:r>
      <w:r>
        <w:rPr>
          <w:spacing w:val="32"/>
          <w:sz w:val="22"/>
        </w:rPr>
        <w:t> </w:t>
      </w:r>
      <w:r>
        <w:rPr>
          <w:sz w:val="22"/>
        </w:rPr>
        <w:t>11375,</w:t>
      </w:r>
      <w:r>
        <w:rPr>
          <w:spacing w:val="33"/>
          <w:sz w:val="22"/>
        </w:rPr>
        <w:t> </w:t>
      </w:r>
      <w:r>
        <w:rPr>
          <w:sz w:val="22"/>
        </w:rPr>
        <w:t>[[Page</w:t>
      </w:r>
      <w:r>
        <w:rPr>
          <w:spacing w:val="34"/>
          <w:sz w:val="22"/>
        </w:rPr>
        <w:t> </w:t>
      </w:r>
      <w:r>
        <w:rPr>
          <w:sz w:val="22"/>
        </w:rPr>
        <w:t>41]]</w:t>
      </w:r>
      <w:r>
        <w:rPr>
          <w:spacing w:val="36"/>
          <w:sz w:val="22"/>
        </w:rPr>
        <w:t> </w:t>
      </w:r>
      <w:r>
        <w:rPr>
          <w:spacing w:val="-2"/>
          <w:sz w:val="22"/>
        </w:rPr>
        <w:t>11478,</w:t>
      </w:r>
    </w:p>
    <w:p>
      <w:pPr>
        <w:pStyle w:val="BodyText"/>
        <w:spacing w:line="251" w:lineRule="exact"/>
        <w:ind w:left="840"/>
      </w:pPr>
      <w:r>
        <w:rPr/>
        <w:t>12086,</w:t>
      </w:r>
      <w:r>
        <w:rPr>
          <w:spacing w:val="-7"/>
        </w:rPr>
        <w:t> </w:t>
      </w:r>
      <w:r>
        <w:rPr/>
        <w:t>and</w:t>
      </w:r>
      <w:r>
        <w:rPr>
          <w:spacing w:val="-6"/>
        </w:rPr>
        <w:t> </w:t>
      </w:r>
      <w:r>
        <w:rPr/>
        <w:t>12107</w:t>
      </w:r>
      <w:r>
        <w:rPr>
          <w:spacing w:val="-6"/>
        </w:rPr>
        <w:t> </w:t>
      </w:r>
      <w:r>
        <w:rPr/>
        <w:t>(3</w:t>
      </w:r>
      <w:r>
        <w:rPr>
          <w:spacing w:val="-5"/>
        </w:rPr>
        <w:t> </w:t>
      </w:r>
      <w:r>
        <w:rPr/>
        <w:t>CFR,</w:t>
      </w:r>
      <w:r>
        <w:rPr>
          <w:spacing w:val="-3"/>
        </w:rPr>
        <w:t> </w:t>
      </w:r>
      <w:r>
        <w:rPr/>
        <w:t>1964-1965</w:t>
      </w:r>
      <w:r>
        <w:rPr>
          <w:spacing w:val="-6"/>
        </w:rPr>
        <w:t> </w:t>
      </w:r>
      <w:r>
        <w:rPr/>
        <w:t>Comp.,</w:t>
      </w:r>
      <w:r>
        <w:rPr>
          <w:spacing w:val="-4"/>
        </w:rPr>
        <w:t> </w:t>
      </w:r>
      <w:r>
        <w:rPr/>
        <w:t>p.</w:t>
      </w:r>
      <w:r>
        <w:rPr>
          <w:spacing w:val="-6"/>
        </w:rPr>
        <w:t> </w:t>
      </w:r>
      <w:r>
        <w:rPr/>
        <w:t>339;</w:t>
      </w:r>
      <w:r>
        <w:rPr>
          <w:spacing w:val="-5"/>
        </w:rPr>
        <w:t> </w:t>
      </w:r>
      <w:r>
        <w:rPr/>
        <w:t>3</w:t>
      </w:r>
      <w:r>
        <w:rPr>
          <w:spacing w:val="-6"/>
        </w:rPr>
        <w:t> </w:t>
      </w:r>
      <w:r>
        <w:rPr/>
        <w:t>CFR,</w:t>
      </w:r>
      <w:r>
        <w:rPr>
          <w:spacing w:val="-5"/>
        </w:rPr>
        <w:t> </w:t>
      </w:r>
      <w:r>
        <w:rPr/>
        <w:t>1966-</w:t>
      </w:r>
      <w:r>
        <w:rPr>
          <w:spacing w:val="-3"/>
        </w:rPr>
        <w:t> </w:t>
      </w:r>
      <w:r>
        <w:rPr/>
        <w:t>1970</w:t>
      </w:r>
      <w:r>
        <w:rPr>
          <w:spacing w:val="-9"/>
        </w:rPr>
        <w:t> </w:t>
      </w:r>
      <w:r>
        <w:rPr/>
        <w:t>Comp.,</w:t>
      </w:r>
      <w:r>
        <w:rPr>
          <w:spacing w:val="-5"/>
        </w:rPr>
        <w:t> </w:t>
      </w:r>
      <w:r>
        <w:rPr/>
        <w:t>p.</w:t>
      </w:r>
      <w:r>
        <w:rPr>
          <w:spacing w:val="-4"/>
        </w:rPr>
        <w:t> 684;</w:t>
      </w:r>
    </w:p>
    <w:p>
      <w:pPr>
        <w:pStyle w:val="BodyText"/>
        <w:spacing w:line="252" w:lineRule="exact"/>
        <w:ind w:left="840"/>
      </w:pPr>
      <w:r>
        <w:rPr/>
        <w:t>3</w:t>
      </w:r>
      <w:r>
        <w:rPr>
          <w:spacing w:val="-6"/>
        </w:rPr>
        <w:t> </w:t>
      </w:r>
      <w:r>
        <w:rPr/>
        <w:t>CFR,</w:t>
      </w:r>
      <w:r>
        <w:rPr>
          <w:spacing w:val="-1"/>
        </w:rPr>
        <w:t> </w:t>
      </w:r>
      <w:r>
        <w:rPr/>
        <w:t>1966-1970</w:t>
      </w:r>
      <w:r>
        <w:rPr>
          <w:spacing w:val="-5"/>
        </w:rPr>
        <w:t> </w:t>
      </w:r>
      <w:r>
        <w:rPr/>
        <w:t>Comp.,</w:t>
      </w:r>
      <w:r>
        <w:rPr>
          <w:spacing w:val="-2"/>
        </w:rPr>
        <w:t> </w:t>
      </w:r>
      <w:r>
        <w:rPr/>
        <w:t>p.</w:t>
      </w:r>
      <w:r>
        <w:rPr>
          <w:spacing w:val="-1"/>
        </w:rPr>
        <w:t> </w:t>
      </w:r>
      <w:r>
        <w:rPr/>
        <w:t>803;</w:t>
      </w:r>
      <w:r>
        <w:rPr>
          <w:spacing w:val="-2"/>
        </w:rPr>
        <w:t> </w:t>
      </w:r>
      <w:r>
        <w:rPr/>
        <w:t>3</w:t>
      </w:r>
      <w:r>
        <w:rPr>
          <w:spacing w:val="-5"/>
        </w:rPr>
        <w:t> </w:t>
      </w:r>
      <w:r>
        <w:rPr/>
        <w:t>CFR,</w:t>
      </w:r>
      <w:r>
        <w:rPr>
          <w:spacing w:val="-1"/>
        </w:rPr>
        <w:t> </w:t>
      </w:r>
      <w:r>
        <w:rPr/>
        <w:t>1978</w:t>
      </w:r>
      <w:r>
        <w:rPr>
          <w:spacing w:val="-7"/>
        </w:rPr>
        <w:t> </w:t>
      </w:r>
      <w:r>
        <w:rPr/>
        <w:t>Comp.,</w:t>
      </w:r>
      <w:r>
        <w:rPr>
          <w:spacing w:val="-2"/>
        </w:rPr>
        <w:t> </w:t>
      </w:r>
      <w:r>
        <w:rPr/>
        <w:t>p.</w:t>
      </w:r>
      <w:r>
        <w:rPr>
          <w:spacing w:val="-4"/>
        </w:rPr>
        <w:t> </w:t>
      </w:r>
      <w:r>
        <w:rPr/>
        <w:t>230;</w:t>
      </w:r>
      <w:r>
        <w:rPr>
          <w:spacing w:val="-4"/>
        </w:rPr>
        <w:t> </w:t>
      </w:r>
      <w:r>
        <w:rPr/>
        <w:t>and</w:t>
      </w:r>
      <w:r>
        <w:rPr>
          <w:spacing w:val="-3"/>
        </w:rPr>
        <w:t> </w:t>
      </w:r>
      <w:r>
        <w:rPr/>
        <w:t>3</w:t>
      </w:r>
      <w:r>
        <w:rPr>
          <w:spacing w:val="-4"/>
        </w:rPr>
        <w:t> </w:t>
      </w:r>
      <w:r>
        <w:rPr/>
        <w:t>CFR,</w:t>
      </w:r>
      <w:r>
        <w:rPr>
          <w:spacing w:val="-1"/>
        </w:rPr>
        <w:t> </w:t>
      </w:r>
      <w:r>
        <w:rPr/>
        <w:t>1978</w:t>
      </w:r>
      <w:r>
        <w:rPr>
          <w:spacing w:val="-3"/>
        </w:rPr>
        <w:t> </w:t>
      </w:r>
      <w:r>
        <w:rPr>
          <w:spacing w:val="-2"/>
        </w:rPr>
        <w:t>Comp.,</w:t>
      </w:r>
    </w:p>
    <w:p>
      <w:pPr>
        <w:pStyle w:val="BodyText"/>
        <w:spacing w:before="1"/>
        <w:ind w:left="840"/>
      </w:pPr>
      <w:r>
        <w:rPr/>
        <w:t>p.</w:t>
      </w:r>
      <w:r>
        <w:rPr>
          <w:spacing w:val="40"/>
        </w:rPr>
        <w:t> </w:t>
      </w:r>
      <w:r>
        <w:rPr/>
        <w:t>264,</w:t>
      </w:r>
      <w:r>
        <w:rPr>
          <w:spacing w:val="40"/>
        </w:rPr>
        <w:t> </w:t>
      </w:r>
      <w:r>
        <w:rPr/>
        <w:t>respectively)</w:t>
      </w:r>
      <w:r>
        <w:rPr>
          <w:spacing w:val="40"/>
        </w:rPr>
        <w:t> </w:t>
      </w:r>
      <w:r>
        <w:rPr/>
        <w:t>(Equal</w:t>
      </w:r>
      <w:r>
        <w:rPr>
          <w:spacing w:val="40"/>
        </w:rPr>
        <w:t> </w:t>
      </w:r>
      <w:r>
        <w:rPr/>
        <w:t>Employment</w:t>
      </w:r>
      <w:r>
        <w:rPr>
          <w:spacing w:val="40"/>
        </w:rPr>
        <w:t> </w:t>
      </w:r>
      <w:r>
        <w:rPr/>
        <w:t>Opportunity</w:t>
      </w:r>
      <w:r>
        <w:rPr>
          <w:spacing w:val="40"/>
        </w:rPr>
        <w:t> </w:t>
      </w:r>
      <w:r>
        <w:rPr/>
        <w:t>Programs)</w:t>
      </w:r>
      <w:r>
        <w:rPr>
          <w:spacing w:val="40"/>
        </w:rPr>
        <w:t> </w:t>
      </w:r>
      <w:r>
        <w:rPr/>
        <w:t>and</w:t>
      </w:r>
      <w:r>
        <w:rPr>
          <w:spacing w:val="40"/>
        </w:rPr>
        <w:t> </w:t>
      </w:r>
      <w:r>
        <w:rPr/>
        <w:t>implementing</w:t>
      </w:r>
      <w:r>
        <w:rPr>
          <w:spacing w:val="40"/>
        </w:rPr>
        <w:t> </w:t>
      </w:r>
      <w:r>
        <w:rPr/>
        <w:t>regulations at 41 CFR chapter 60;</w:t>
      </w:r>
    </w:p>
    <w:p>
      <w:pPr>
        <w:pStyle w:val="ListParagraph"/>
        <w:numPr>
          <w:ilvl w:val="1"/>
          <w:numId w:val="26"/>
        </w:numPr>
        <w:tabs>
          <w:tab w:pos="841" w:val="left" w:leader="none"/>
        </w:tabs>
        <w:spacing w:line="240" w:lineRule="auto" w:before="0" w:after="0"/>
        <w:ind w:left="840" w:right="155" w:hanging="361"/>
        <w:jc w:val="both"/>
        <w:rPr>
          <w:sz w:val="22"/>
        </w:rPr>
      </w:pPr>
      <w:r>
        <w:rPr>
          <w:sz w:val="22"/>
        </w:rPr>
        <w:t>Executive Order 11625, as amended by Executive Order 12007 (3 CFR, 1971- 1975 Comp.,</w:t>
      </w:r>
      <w:r>
        <w:rPr>
          <w:spacing w:val="-16"/>
          <w:sz w:val="22"/>
        </w:rPr>
        <w:t> </w:t>
      </w:r>
      <w:r>
        <w:rPr>
          <w:sz w:val="22"/>
        </w:rPr>
        <w:t>p.</w:t>
      </w:r>
      <w:r>
        <w:rPr>
          <w:spacing w:val="-15"/>
          <w:sz w:val="22"/>
        </w:rPr>
        <w:t> </w:t>
      </w:r>
      <w:r>
        <w:rPr>
          <w:sz w:val="22"/>
        </w:rPr>
        <w:t>616</w:t>
      </w:r>
      <w:r>
        <w:rPr>
          <w:spacing w:val="-15"/>
          <w:sz w:val="22"/>
        </w:rPr>
        <w:t> </w:t>
      </w:r>
      <w:r>
        <w:rPr>
          <w:sz w:val="22"/>
        </w:rPr>
        <w:t>and</w:t>
      </w:r>
      <w:r>
        <w:rPr>
          <w:spacing w:val="-16"/>
          <w:sz w:val="22"/>
        </w:rPr>
        <w:t> </w:t>
      </w:r>
      <w:r>
        <w:rPr>
          <w:sz w:val="22"/>
        </w:rPr>
        <w:t>3</w:t>
      </w:r>
      <w:r>
        <w:rPr>
          <w:spacing w:val="-15"/>
          <w:sz w:val="22"/>
        </w:rPr>
        <w:t> </w:t>
      </w:r>
      <w:r>
        <w:rPr>
          <w:sz w:val="22"/>
        </w:rPr>
        <w:t>CFR,</w:t>
      </w:r>
      <w:r>
        <w:rPr>
          <w:spacing w:val="-15"/>
          <w:sz w:val="22"/>
        </w:rPr>
        <w:t> </w:t>
      </w:r>
      <w:r>
        <w:rPr>
          <w:sz w:val="22"/>
        </w:rPr>
        <w:t>1977</w:t>
      </w:r>
      <w:r>
        <w:rPr>
          <w:spacing w:val="-15"/>
          <w:sz w:val="22"/>
        </w:rPr>
        <w:t> </w:t>
      </w:r>
      <w:r>
        <w:rPr>
          <w:sz w:val="22"/>
        </w:rPr>
        <w:t>Comp.,</w:t>
      </w:r>
      <w:r>
        <w:rPr>
          <w:spacing w:val="-16"/>
          <w:sz w:val="22"/>
        </w:rPr>
        <w:t> </w:t>
      </w:r>
      <w:r>
        <w:rPr>
          <w:sz w:val="22"/>
        </w:rPr>
        <w:t>p.</w:t>
      </w:r>
      <w:r>
        <w:rPr>
          <w:spacing w:val="-15"/>
          <w:sz w:val="22"/>
        </w:rPr>
        <w:t> </w:t>
      </w:r>
      <w:r>
        <w:rPr>
          <w:sz w:val="22"/>
        </w:rPr>
        <w:t>139)</w:t>
      </w:r>
      <w:r>
        <w:rPr>
          <w:spacing w:val="-15"/>
          <w:sz w:val="22"/>
        </w:rPr>
        <w:t> </w:t>
      </w:r>
      <w:r>
        <w:rPr>
          <w:sz w:val="22"/>
        </w:rPr>
        <w:t>(Minority</w:t>
      </w:r>
      <w:r>
        <w:rPr>
          <w:spacing w:val="-16"/>
          <w:sz w:val="22"/>
        </w:rPr>
        <w:t> </w:t>
      </w:r>
      <w:r>
        <w:rPr>
          <w:sz w:val="22"/>
        </w:rPr>
        <w:t>Business</w:t>
      </w:r>
      <w:r>
        <w:rPr>
          <w:spacing w:val="-15"/>
          <w:sz w:val="22"/>
        </w:rPr>
        <w:t> </w:t>
      </w:r>
      <w:r>
        <w:rPr>
          <w:sz w:val="22"/>
        </w:rPr>
        <w:t>Enterprises);</w:t>
      </w:r>
      <w:r>
        <w:rPr>
          <w:spacing w:val="-15"/>
          <w:sz w:val="22"/>
        </w:rPr>
        <w:t> </w:t>
      </w:r>
      <w:r>
        <w:rPr>
          <w:sz w:val="22"/>
        </w:rPr>
        <w:t>Executive Order 12432 (3 CFR, 1983 Comp., p. 198) (Minority Business Enterprise Development); </w:t>
      </w:r>
      <w:r>
        <w:rPr>
          <w:spacing w:val="-4"/>
          <w:sz w:val="22"/>
        </w:rPr>
        <w:t>and</w:t>
      </w:r>
    </w:p>
    <w:p>
      <w:pPr>
        <w:pStyle w:val="ListParagraph"/>
        <w:numPr>
          <w:ilvl w:val="1"/>
          <w:numId w:val="26"/>
        </w:numPr>
        <w:tabs>
          <w:tab w:pos="841" w:val="left" w:leader="none"/>
        </w:tabs>
        <w:spacing w:line="240" w:lineRule="auto" w:before="0" w:after="0"/>
        <w:ind w:left="840" w:right="154" w:hanging="361"/>
        <w:jc w:val="both"/>
        <w:rPr>
          <w:sz w:val="22"/>
        </w:rPr>
      </w:pPr>
      <w:r>
        <w:rPr>
          <w:sz w:val="22"/>
        </w:rPr>
        <w:t>Executive Order 12138,</w:t>
      </w:r>
      <w:r>
        <w:rPr>
          <w:spacing w:val="-1"/>
          <w:sz w:val="22"/>
        </w:rPr>
        <w:t> </w:t>
      </w:r>
      <w:r>
        <w:rPr>
          <w:sz w:val="22"/>
        </w:rPr>
        <w:t>as amended by Executive Order 12608 (3 CFR, 1977 Comp., p. 393 and 3 CFR, 1987 Comp., p. 245) (Women's Business Enterprise). The nondiscrimination provisions of Section 282 of the National Affordable Housing Act of </w:t>
      </w:r>
      <w:r>
        <w:rPr>
          <w:spacing w:val="-2"/>
          <w:sz w:val="22"/>
        </w:rPr>
        <w:t>1982.</w:t>
      </w:r>
    </w:p>
    <w:p>
      <w:pPr>
        <w:pStyle w:val="BodyText"/>
        <w:spacing w:before="8"/>
        <w:rPr>
          <w:sz w:val="21"/>
        </w:rPr>
      </w:pPr>
    </w:p>
    <w:p>
      <w:pPr>
        <w:pStyle w:val="BodyText"/>
        <w:spacing w:line="252" w:lineRule="exact"/>
        <w:ind w:left="120"/>
        <w:jc w:val="both"/>
      </w:pPr>
      <w:r>
        <w:rPr/>
        <w:t>Uniform</w:t>
      </w:r>
      <w:r>
        <w:rPr>
          <w:spacing w:val="-7"/>
        </w:rPr>
        <w:t> </w:t>
      </w:r>
      <w:r>
        <w:rPr/>
        <w:t>Relocation</w:t>
      </w:r>
      <w:r>
        <w:rPr>
          <w:spacing w:val="-6"/>
        </w:rPr>
        <w:t> </w:t>
      </w:r>
      <w:r>
        <w:rPr/>
        <w:t>Act</w:t>
      </w:r>
      <w:r>
        <w:rPr>
          <w:spacing w:val="-6"/>
        </w:rPr>
        <w:t> </w:t>
      </w:r>
      <w:r>
        <w:rPr>
          <w:spacing w:val="-2"/>
        </w:rPr>
        <w:t>(URA)</w:t>
      </w:r>
    </w:p>
    <w:p>
      <w:pPr>
        <w:pStyle w:val="BodyText"/>
        <w:ind w:left="120" w:right="155"/>
        <w:jc w:val="both"/>
      </w:pPr>
      <w:r>
        <w:rPr/>
        <w:t>All projects fall under requirements of the URA. Any project resulting in permanent relocation/displacement of households will not be funded by the City of Dallas. Applicants must further document that any purchase of property meets the requirements of URA, including provision</w:t>
      </w:r>
      <w:r>
        <w:rPr>
          <w:spacing w:val="-11"/>
        </w:rPr>
        <w:t> </w:t>
      </w:r>
      <w:r>
        <w:rPr/>
        <w:t>of</w:t>
      </w:r>
      <w:r>
        <w:rPr>
          <w:spacing w:val="-12"/>
        </w:rPr>
        <w:t> </w:t>
      </w:r>
      <w:r>
        <w:rPr/>
        <w:t>notices</w:t>
      </w:r>
      <w:r>
        <w:rPr>
          <w:spacing w:val="-13"/>
        </w:rPr>
        <w:t> </w:t>
      </w:r>
      <w:r>
        <w:rPr/>
        <w:t>to</w:t>
      </w:r>
      <w:r>
        <w:rPr>
          <w:spacing w:val="-14"/>
        </w:rPr>
        <w:t> </w:t>
      </w:r>
      <w:r>
        <w:rPr/>
        <w:t>the</w:t>
      </w:r>
      <w:r>
        <w:rPr>
          <w:spacing w:val="-14"/>
        </w:rPr>
        <w:t> </w:t>
      </w:r>
      <w:r>
        <w:rPr/>
        <w:t>seller</w:t>
      </w:r>
      <w:r>
        <w:rPr>
          <w:spacing w:val="-10"/>
        </w:rPr>
        <w:t> </w:t>
      </w:r>
      <w:r>
        <w:rPr/>
        <w:t>identifying</w:t>
      </w:r>
      <w:r>
        <w:rPr>
          <w:spacing w:val="-11"/>
        </w:rPr>
        <w:t> </w:t>
      </w:r>
      <w:r>
        <w:rPr/>
        <w:t>the</w:t>
      </w:r>
      <w:r>
        <w:rPr>
          <w:spacing w:val="-14"/>
        </w:rPr>
        <w:t> </w:t>
      </w:r>
      <w:r>
        <w:rPr/>
        <w:t>transaction</w:t>
      </w:r>
      <w:r>
        <w:rPr>
          <w:spacing w:val="-11"/>
        </w:rPr>
        <w:t> </w:t>
      </w:r>
      <w:r>
        <w:rPr/>
        <w:t>as</w:t>
      </w:r>
      <w:r>
        <w:rPr>
          <w:spacing w:val="-13"/>
        </w:rPr>
        <w:t> </w:t>
      </w:r>
      <w:r>
        <w:rPr/>
        <w:t>a</w:t>
      </w:r>
      <w:r>
        <w:rPr>
          <w:spacing w:val="-14"/>
        </w:rPr>
        <w:t> </w:t>
      </w:r>
      <w:r>
        <w:rPr/>
        <w:t>voluntary</w:t>
      </w:r>
      <w:r>
        <w:rPr>
          <w:spacing w:val="-13"/>
        </w:rPr>
        <w:t> </w:t>
      </w:r>
      <w:r>
        <w:rPr/>
        <w:t>sale</w:t>
      </w:r>
      <w:r>
        <w:rPr>
          <w:spacing w:val="-11"/>
        </w:rPr>
        <w:t> </w:t>
      </w:r>
      <w:r>
        <w:rPr/>
        <w:t>not</w:t>
      </w:r>
      <w:r>
        <w:rPr>
          <w:spacing w:val="-12"/>
        </w:rPr>
        <w:t> </w:t>
      </w:r>
      <w:r>
        <w:rPr/>
        <w:t>under</w:t>
      </w:r>
      <w:r>
        <w:rPr>
          <w:spacing w:val="-12"/>
        </w:rPr>
        <w:t> </w:t>
      </w:r>
      <w:r>
        <w:rPr/>
        <w:t>the</w:t>
      </w:r>
      <w:r>
        <w:rPr>
          <w:spacing w:val="-14"/>
        </w:rPr>
        <w:t> </w:t>
      </w:r>
      <w:r>
        <w:rPr/>
        <w:t>threat of</w:t>
      </w:r>
      <w:r>
        <w:rPr>
          <w:spacing w:val="-4"/>
        </w:rPr>
        <w:t> </w:t>
      </w:r>
      <w:r>
        <w:rPr/>
        <w:t>eminent</w:t>
      </w:r>
      <w:r>
        <w:rPr>
          <w:spacing w:val="-4"/>
        </w:rPr>
        <w:t> </w:t>
      </w:r>
      <w:r>
        <w:rPr/>
        <w:t>domain.</w:t>
      </w:r>
      <w:r>
        <w:rPr>
          <w:spacing w:val="-5"/>
        </w:rPr>
        <w:t> </w:t>
      </w:r>
      <w:r>
        <w:rPr/>
        <w:t>To</w:t>
      </w:r>
      <w:r>
        <w:rPr>
          <w:spacing w:val="-5"/>
        </w:rPr>
        <w:t> </w:t>
      </w:r>
      <w:r>
        <w:rPr/>
        <w:t>ensure</w:t>
      </w:r>
      <w:r>
        <w:rPr>
          <w:spacing w:val="-5"/>
        </w:rPr>
        <w:t> </w:t>
      </w:r>
      <w:r>
        <w:rPr/>
        <w:t>compliance</w:t>
      </w:r>
      <w:r>
        <w:rPr>
          <w:spacing w:val="-5"/>
        </w:rPr>
        <w:t> </w:t>
      </w:r>
      <w:r>
        <w:rPr/>
        <w:t>with</w:t>
      </w:r>
      <w:r>
        <w:rPr>
          <w:spacing w:val="-5"/>
        </w:rPr>
        <w:t> </w:t>
      </w:r>
      <w:r>
        <w:rPr/>
        <w:t>URA,</w:t>
      </w:r>
      <w:r>
        <w:rPr>
          <w:spacing w:val="-4"/>
        </w:rPr>
        <w:t> </w:t>
      </w:r>
      <w:r>
        <w:rPr/>
        <w:t>applicants</w:t>
      </w:r>
      <w:r>
        <w:rPr>
          <w:spacing w:val="-5"/>
        </w:rPr>
        <w:t> </w:t>
      </w:r>
      <w:r>
        <w:rPr/>
        <w:t>should</w:t>
      </w:r>
      <w:r>
        <w:rPr>
          <w:spacing w:val="-5"/>
        </w:rPr>
        <w:t> </w:t>
      </w:r>
      <w:r>
        <w:rPr/>
        <w:t>consult</w:t>
      </w:r>
      <w:r>
        <w:rPr>
          <w:spacing w:val="-4"/>
        </w:rPr>
        <w:t> </w:t>
      </w:r>
      <w:r>
        <w:rPr/>
        <w:t>the</w:t>
      </w:r>
      <w:r>
        <w:rPr>
          <w:spacing w:val="-5"/>
        </w:rPr>
        <w:t> </w:t>
      </w:r>
      <w:r>
        <w:rPr/>
        <w:t>City</w:t>
      </w:r>
      <w:r>
        <w:rPr>
          <w:spacing w:val="-5"/>
        </w:rPr>
        <w:t> </w:t>
      </w:r>
      <w:r>
        <w:rPr/>
        <w:t>of</w:t>
      </w:r>
      <w:r>
        <w:rPr>
          <w:spacing w:val="-4"/>
        </w:rPr>
        <w:t> </w:t>
      </w:r>
      <w:r>
        <w:rPr/>
        <w:t>Dallas to understand the requirements of URA and reference the URA forms included in the RFP prior to submitting an application involving an occupied property.</w:t>
      </w:r>
    </w:p>
    <w:p>
      <w:pPr>
        <w:pStyle w:val="BodyText"/>
        <w:spacing w:before="9"/>
        <w:rPr>
          <w:sz w:val="21"/>
        </w:rPr>
      </w:pPr>
    </w:p>
    <w:p>
      <w:pPr>
        <w:pStyle w:val="BodyText"/>
        <w:spacing w:before="1"/>
        <w:ind w:left="120"/>
        <w:jc w:val="both"/>
      </w:pPr>
      <w:r>
        <w:rPr/>
        <w:t>Davis</w:t>
      </w:r>
      <w:r>
        <w:rPr>
          <w:spacing w:val="-5"/>
        </w:rPr>
        <w:t> </w:t>
      </w:r>
      <w:r>
        <w:rPr>
          <w:spacing w:val="-4"/>
        </w:rPr>
        <w:t>Bacon</w:t>
      </w:r>
    </w:p>
    <w:p>
      <w:pPr>
        <w:pStyle w:val="BodyText"/>
        <w:spacing w:before="1"/>
        <w:ind w:left="120" w:right="158"/>
        <w:jc w:val="both"/>
      </w:pPr>
      <w:r>
        <w:rPr/>
        <w:t>Davis</w:t>
      </w:r>
      <w:r>
        <w:rPr>
          <w:spacing w:val="-9"/>
        </w:rPr>
        <w:t> </w:t>
      </w:r>
      <w:r>
        <w:rPr/>
        <w:t>Bacon</w:t>
      </w:r>
      <w:r>
        <w:rPr>
          <w:spacing w:val="-10"/>
        </w:rPr>
        <w:t> </w:t>
      </w:r>
      <w:r>
        <w:rPr/>
        <w:t>federal</w:t>
      </w:r>
      <w:r>
        <w:rPr>
          <w:spacing w:val="-10"/>
        </w:rPr>
        <w:t> </w:t>
      </w:r>
      <w:r>
        <w:rPr/>
        <w:t>prevailing</w:t>
      </w:r>
      <w:r>
        <w:rPr>
          <w:spacing w:val="-10"/>
        </w:rPr>
        <w:t> </w:t>
      </w:r>
      <w:r>
        <w:rPr/>
        <w:t>wage</w:t>
      </w:r>
      <w:r>
        <w:rPr>
          <w:spacing w:val="-10"/>
        </w:rPr>
        <w:t> </w:t>
      </w:r>
      <w:r>
        <w:rPr/>
        <w:t>requirements</w:t>
      </w:r>
      <w:r>
        <w:rPr>
          <w:spacing w:val="-11"/>
        </w:rPr>
        <w:t> </w:t>
      </w:r>
      <w:r>
        <w:rPr/>
        <w:t>shall</w:t>
      </w:r>
      <w:r>
        <w:rPr>
          <w:spacing w:val="-10"/>
        </w:rPr>
        <w:t> </w:t>
      </w:r>
      <w:r>
        <w:rPr/>
        <w:t>apply</w:t>
      </w:r>
      <w:r>
        <w:rPr>
          <w:spacing w:val="-9"/>
        </w:rPr>
        <w:t> </w:t>
      </w:r>
      <w:r>
        <w:rPr/>
        <w:t>to</w:t>
      </w:r>
      <w:r>
        <w:rPr>
          <w:spacing w:val="-11"/>
        </w:rPr>
        <w:t> </w:t>
      </w:r>
      <w:r>
        <w:rPr/>
        <w:t>all</w:t>
      </w:r>
      <w:r>
        <w:rPr>
          <w:spacing w:val="-10"/>
        </w:rPr>
        <w:t> </w:t>
      </w:r>
      <w:r>
        <w:rPr/>
        <w:t>projects</w:t>
      </w:r>
      <w:r>
        <w:rPr>
          <w:spacing w:val="-11"/>
        </w:rPr>
        <w:t> </w:t>
      </w:r>
      <w:r>
        <w:rPr/>
        <w:t>with</w:t>
      </w:r>
      <w:r>
        <w:rPr>
          <w:spacing w:val="-10"/>
        </w:rPr>
        <w:t> </w:t>
      </w:r>
      <w:r>
        <w:rPr/>
        <w:t>12</w:t>
      </w:r>
      <w:r>
        <w:rPr>
          <w:spacing w:val="-10"/>
        </w:rPr>
        <w:t> </w:t>
      </w:r>
      <w:r>
        <w:rPr/>
        <w:t>or</w:t>
      </w:r>
      <w:r>
        <w:rPr>
          <w:spacing w:val="-11"/>
        </w:rPr>
        <w:t> </w:t>
      </w:r>
      <w:r>
        <w:rPr/>
        <w:t>more</w:t>
      </w:r>
      <w:r>
        <w:rPr>
          <w:spacing w:val="-11"/>
        </w:rPr>
        <w:t> </w:t>
      </w:r>
      <w:r>
        <w:rPr/>
        <w:t>units assisted with HOME funds.</w:t>
      </w:r>
    </w:p>
    <w:p>
      <w:pPr>
        <w:spacing w:after="0"/>
        <w:jc w:val="both"/>
        <w:sectPr>
          <w:pgSz w:w="12240" w:h="15840"/>
          <w:pgMar w:header="0" w:footer="1176" w:top="1360" w:bottom="1420" w:left="1320" w:right="1280"/>
        </w:sectPr>
      </w:pPr>
    </w:p>
    <w:p>
      <w:pPr>
        <w:pStyle w:val="BodyText"/>
        <w:spacing w:line="252" w:lineRule="exact" w:before="80"/>
        <w:ind w:left="119"/>
        <w:jc w:val="both"/>
      </w:pPr>
      <w:r>
        <w:rPr/>
        <w:t>Excluded</w:t>
      </w:r>
      <w:r>
        <w:rPr>
          <w:spacing w:val="-6"/>
        </w:rPr>
        <w:t> </w:t>
      </w:r>
      <w:r>
        <w:rPr>
          <w:spacing w:val="-2"/>
        </w:rPr>
        <w:t>Parties</w:t>
      </w:r>
    </w:p>
    <w:p>
      <w:pPr>
        <w:pStyle w:val="BodyText"/>
        <w:ind w:left="119" w:right="155"/>
        <w:jc w:val="both"/>
      </w:pPr>
      <w:r>
        <w:rPr/>
        <w:t>The City of Dallas will not fund projects owned, developed, or otherwise sponsored by any individual, corporation, or other entity that is suspended, debarred, or otherwise precluded from receiving federal</w:t>
      </w:r>
      <w:r>
        <w:rPr>
          <w:spacing w:val="-1"/>
        </w:rPr>
        <w:t> </w:t>
      </w:r>
      <w:r>
        <w:rPr/>
        <w:t>awards. Nor</w:t>
      </w:r>
      <w:r>
        <w:rPr>
          <w:spacing w:val="-1"/>
        </w:rPr>
        <w:t> </w:t>
      </w:r>
      <w:r>
        <w:rPr/>
        <w:t>may</w:t>
      </w:r>
      <w:r>
        <w:rPr>
          <w:spacing w:val="-5"/>
        </w:rPr>
        <w:t> </w:t>
      </w:r>
      <w:r>
        <w:rPr/>
        <w:t>the developer</w:t>
      </w:r>
      <w:r>
        <w:rPr>
          <w:spacing w:val="-1"/>
        </w:rPr>
        <w:t> </w:t>
      </w:r>
      <w:r>
        <w:rPr/>
        <w:t>contract</w:t>
      </w:r>
      <w:r>
        <w:rPr>
          <w:spacing w:val="-1"/>
        </w:rPr>
        <w:t> </w:t>
      </w:r>
      <w:r>
        <w:rPr/>
        <w:t>with any</w:t>
      </w:r>
      <w:r>
        <w:rPr>
          <w:spacing w:val="-2"/>
        </w:rPr>
        <w:t> </w:t>
      </w:r>
      <w:r>
        <w:rPr/>
        <w:t>other</w:t>
      </w:r>
      <w:r>
        <w:rPr>
          <w:spacing w:val="-1"/>
        </w:rPr>
        <w:t> </w:t>
      </w:r>
      <w:r>
        <w:rPr/>
        <w:t>entity</w:t>
      </w:r>
      <w:r>
        <w:rPr>
          <w:spacing w:val="-2"/>
        </w:rPr>
        <w:t> </w:t>
      </w:r>
      <w:r>
        <w:rPr/>
        <w:t>(including but</w:t>
      </w:r>
      <w:r>
        <w:rPr>
          <w:spacing w:val="-1"/>
        </w:rPr>
        <w:t> </w:t>
      </w:r>
      <w:r>
        <w:rPr/>
        <w:t>not limited to builders/general contractors, property management companies, or other members of the development team) that are suspended, debarred, or otherwise so precluded. Similarly, the general contractor will be required to determine that subcontractors are not so precluded.</w:t>
      </w:r>
    </w:p>
    <w:p>
      <w:pPr>
        <w:pStyle w:val="ListParagraph"/>
        <w:numPr>
          <w:ilvl w:val="0"/>
          <w:numId w:val="26"/>
        </w:numPr>
        <w:tabs>
          <w:tab w:pos="401" w:val="left" w:leader="none"/>
        </w:tabs>
        <w:spacing w:line="506" w:lineRule="exact" w:before="54" w:after="0"/>
        <w:ind w:left="119" w:right="6226" w:firstLine="0"/>
        <w:jc w:val="left"/>
        <w:rPr>
          <w:sz w:val="22"/>
        </w:rPr>
      </w:pPr>
      <w:r>
        <w:rPr/>
        <w:pict>
          <v:shape style="position:absolute;margin-left:90.065002pt;margin-top:25.947357pt;width:395.3pt;height:419pt;mso-position-horizontal-relative:page;mso-position-vertical-relative:paragraph;z-index:-17683968" id="docshape119" coordorigin="1801,519" coordsize="7906,8380" path="m4498,7783l4492,7709,4477,7631,4455,7548,4432,7479,4403,7407,4367,7332,4325,7254,4276,7173,4237,7114,4200,7064,4200,7749,4197,7806,4186,7862,4167,7920,4138,7980,4097,8042,4044,8108,3979,8178,3674,8483,2216,7026,2517,6725,2598,6649,2672,6589,2740,6545,2801,6519,2868,6504,2941,6500,3020,6507,3105,6525,3195,6554,3255,6580,3317,6612,3380,6650,3446,6696,3514,6747,3584,6805,3656,6870,3729,6941,3789,7003,3845,7063,3896,7122,3943,7180,3986,7236,4025,7292,4059,7346,4101,7420,4136,7492,4163,7562,4183,7629,4196,7693,4200,7749,4200,7064,4194,7055,4148,6995,4098,6934,4045,6873,3989,6812,3929,6750,3865,6688,3801,6629,3737,6574,3673,6523,3643,6500,3609,6475,3546,6430,3482,6389,3419,6351,3346,6314,3274,6281,3203,6254,3132,6232,3062,6215,2992,6203,2923,6196,2850,6194,2779,6201,2709,6216,2642,6239,2577,6269,2528,6297,2476,6334,2420,6380,2359,6434,2294,6497,1801,6990,3710,8898,4124,8483,4226,8382,4287,8316,4341,8251,4386,8185,4424,8119,4454,8052,4476,7986,4491,7919,4498,7851,4498,7783xm6418,6189l6056,6062,5650,5919,5561,5890,5475,5866,5393,5847,5365,5842,5314,5832,5239,5822,5193,5821,5143,5824,5089,5831,5030,5842,5073,5772,5109,5702,5136,5633,5154,5564,5164,5496,5165,5428,5157,5360,5139,5282,5111,5206,5075,5131,5030,5058,4976,4988,4956,4965,4913,4919,4872,4881,4872,5438,4868,5494,4854,5549,4830,5605,4794,5664,4747,5725,4687,5788,4280,6195,3649,5564,4102,5111,4166,5054,4229,5011,4293,4981,4358,4966,4422,4965,4501,4980,4577,5010,4649,5055,4718,5114,4761,5162,4797,5213,4827,5266,4851,5323,4867,5381,4872,5438,4872,4881,4849,4859,4782,4807,4713,4762,4641,4723,4566,4691,4474,4663,4386,4650,4303,4652,4225,4668,4163,4693,4098,4729,4030,4777,3958,4837,3883,4908,3248,5543,5157,7451,5346,7261,4499,6414,4718,6195,4753,6161,4783,6134,4810,6112,4833,6098,4863,6084,4896,6074,4932,6066,4971,6062,5014,6062,5066,6067,5125,6077,5194,6094,5256,6111,5328,6132,5407,6157,5496,6186,6180,6428,6418,6189xm7780,4827l7415,4632,6555,4178,6555,4485,6070,4970,6030,4899,5989,4827,5748,4397,5708,4325,5668,4253,5629,4188,5590,4123,5550,4059,5509,3996,5467,3934,5424,3872,5380,3812,5436,3848,5498,3885,5564,3925,5635,3967,5792,4058,6555,4485,6555,4178,5862,3812,5286,3505,5082,3709,5277,4059,5316,4130,5701,4827,6207,5746,6441,6167,6642,5966,6565,5832,6298,5364,6221,5231,6481,4970,6820,4632,7173,4827,7565,5043,7780,4827xm8131,4477l7264,3610,7936,2938,7711,2713,7039,3385,6448,2794,7224,2017,6999,1792,6033,2758,7941,4666,8131,4477xm9707,2901l8024,1218,8497,744,8272,519,7138,1654,7363,1879,7834,1407,9517,3090,9707,2901xe" filled="true" fillcolor="#c0c0c0" stroked="false">
            <v:path arrowok="t"/>
            <v:fill opacity="32896f" type="solid"/>
            <w10:wrap type="none"/>
          </v:shape>
        </w:pict>
      </w:r>
      <w:r>
        <w:rPr>
          <w:sz w:val="22"/>
        </w:rPr>
        <w:t>Ongoing</w:t>
      </w:r>
      <w:r>
        <w:rPr>
          <w:spacing w:val="-16"/>
          <w:sz w:val="22"/>
        </w:rPr>
        <w:t> </w:t>
      </w:r>
      <w:r>
        <w:rPr>
          <w:sz w:val="22"/>
        </w:rPr>
        <w:t>Project</w:t>
      </w:r>
      <w:r>
        <w:rPr>
          <w:spacing w:val="-15"/>
          <w:sz w:val="22"/>
        </w:rPr>
        <w:t> </w:t>
      </w:r>
      <w:r>
        <w:rPr>
          <w:sz w:val="22"/>
        </w:rPr>
        <w:t>Requirements </w:t>
      </w:r>
      <w:r>
        <w:rPr>
          <w:spacing w:val="-2"/>
          <w:sz w:val="22"/>
        </w:rPr>
        <w:t>Deadlines</w:t>
      </w:r>
    </w:p>
    <w:p>
      <w:pPr>
        <w:spacing w:line="198" w:lineRule="exact" w:before="0"/>
        <w:ind w:left="119" w:right="0" w:firstLine="0"/>
        <w:jc w:val="both"/>
        <w:rPr>
          <w:sz w:val="22"/>
        </w:rPr>
      </w:pPr>
      <w:r>
        <w:rPr>
          <w:i/>
          <w:sz w:val="22"/>
        </w:rPr>
        <w:t>Construction</w:t>
      </w:r>
      <w:r>
        <w:rPr>
          <w:i/>
          <w:spacing w:val="11"/>
          <w:sz w:val="22"/>
        </w:rPr>
        <w:t> </w:t>
      </w:r>
      <w:r>
        <w:rPr>
          <w:i/>
          <w:sz w:val="22"/>
        </w:rPr>
        <w:t>Start-</w:t>
      </w:r>
      <w:r>
        <w:rPr>
          <w:i/>
          <w:spacing w:val="12"/>
          <w:sz w:val="22"/>
        </w:rPr>
        <w:t> </w:t>
      </w:r>
      <w:r>
        <w:rPr>
          <w:sz w:val="22"/>
        </w:rPr>
        <w:t>If</w:t>
      </w:r>
      <w:r>
        <w:rPr>
          <w:spacing w:val="12"/>
          <w:sz w:val="22"/>
        </w:rPr>
        <w:t> </w:t>
      </w:r>
      <w:r>
        <w:rPr>
          <w:sz w:val="22"/>
        </w:rPr>
        <w:t>construction</w:t>
      </w:r>
      <w:r>
        <w:rPr>
          <w:spacing w:val="12"/>
          <w:sz w:val="22"/>
        </w:rPr>
        <w:t> </w:t>
      </w:r>
      <w:r>
        <w:rPr>
          <w:sz w:val="22"/>
        </w:rPr>
        <w:t>is</w:t>
      </w:r>
      <w:r>
        <w:rPr>
          <w:spacing w:val="11"/>
          <w:sz w:val="22"/>
        </w:rPr>
        <w:t> </w:t>
      </w:r>
      <w:r>
        <w:rPr>
          <w:sz w:val="22"/>
        </w:rPr>
        <w:t>not</w:t>
      </w:r>
      <w:r>
        <w:rPr>
          <w:spacing w:val="12"/>
          <w:sz w:val="22"/>
        </w:rPr>
        <w:t> </w:t>
      </w:r>
      <w:r>
        <w:rPr>
          <w:sz w:val="22"/>
        </w:rPr>
        <w:t>started</w:t>
      </w:r>
      <w:r>
        <w:rPr>
          <w:spacing w:val="9"/>
          <w:sz w:val="22"/>
        </w:rPr>
        <w:t> </w:t>
      </w:r>
      <w:r>
        <w:rPr>
          <w:sz w:val="22"/>
        </w:rPr>
        <w:t>within</w:t>
      </w:r>
      <w:r>
        <w:rPr>
          <w:spacing w:val="11"/>
          <w:sz w:val="22"/>
        </w:rPr>
        <w:t> </w:t>
      </w:r>
      <w:r>
        <w:rPr>
          <w:sz w:val="22"/>
        </w:rPr>
        <w:t>12</w:t>
      </w:r>
      <w:r>
        <w:rPr>
          <w:spacing w:val="11"/>
          <w:sz w:val="22"/>
        </w:rPr>
        <w:t> </w:t>
      </w:r>
      <w:r>
        <w:rPr>
          <w:sz w:val="22"/>
        </w:rPr>
        <w:t>months</w:t>
      </w:r>
      <w:r>
        <w:rPr>
          <w:spacing w:val="11"/>
          <w:sz w:val="22"/>
        </w:rPr>
        <w:t> </w:t>
      </w:r>
      <w:r>
        <w:rPr>
          <w:sz w:val="22"/>
        </w:rPr>
        <w:t>of</w:t>
      </w:r>
      <w:r>
        <w:rPr>
          <w:spacing w:val="13"/>
          <w:sz w:val="22"/>
        </w:rPr>
        <w:t> </w:t>
      </w:r>
      <w:r>
        <w:rPr>
          <w:sz w:val="22"/>
        </w:rPr>
        <w:t>the</w:t>
      </w:r>
      <w:r>
        <w:rPr>
          <w:spacing w:val="6"/>
          <w:sz w:val="22"/>
        </w:rPr>
        <w:t> </w:t>
      </w:r>
      <w:r>
        <w:rPr>
          <w:sz w:val="22"/>
        </w:rPr>
        <w:t>date</w:t>
      </w:r>
      <w:r>
        <w:rPr>
          <w:spacing w:val="12"/>
          <w:sz w:val="22"/>
        </w:rPr>
        <w:t> </w:t>
      </w:r>
      <w:r>
        <w:rPr>
          <w:sz w:val="22"/>
        </w:rPr>
        <w:t>the</w:t>
      </w:r>
      <w:r>
        <w:rPr>
          <w:spacing w:val="8"/>
          <w:sz w:val="22"/>
        </w:rPr>
        <w:t> </w:t>
      </w:r>
      <w:r>
        <w:rPr>
          <w:sz w:val="22"/>
        </w:rPr>
        <w:t>City</w:t>
      </w:r>
      <w:r>
        <w:rPr>
          <w:spacing w:val="11"/>
          <w:sz w:val="22"/>
        </w:rPr>
        <w:t> </w:t>
      </w:r>
      <w:r>
        <w:rPr>
          <w:sz w:val="22"/>
        </w:rPr>
        <w:t>of</w:t>
      </w:r>
      <w:r>
        <w:rPr>
          <w:spacing w:val="13"/>
          <w:sz w:val="22"/>
        </w:rPr>
        <w:t> </w:t>
      </w:r>
      <w:r>
        <w:rPr>
          <w:spacing w:val="-2"/>
          <w:sz w:val="22"/>
        </w:rPr>
        <w:t>Dallas</w:t>
      </w:r>
    </w:p>
    <w:p>
      <w:pPr>
        <w:pStyle w:val="BodyText"/>
        <w:spacing w:before="1"/>
        <w:ind w:left="119" w:right="158"/>
        <w:jc w:val="both"/>
      </w:pPr>
      <w:r>
        <w:rPr/>
        <w:t>commits funds to a project, the commitment will be subject to cancellation. If the project is cancelled as a result of failure to meet this deadline, the Developer must repay to the City of Dallas any HOME funds disbursed for the project.</w:t>
      </w:r>
    </w:p>
    <w:p>
      <w:pPr>
        <w:pStyle w:val="BodyText"/>
        <w:spacing w:before="1"/>
      </w:pPr>
    </w:p>
    <w:p>
      <w:pPr>
        <w:pStyle w:val="BodyText"/>
        <w:ind w:left="119" w:right="156"/>
        <w:jc w:val="both"/>
      </w:pPr>
      <w:r>
        <w:rPr>
          <w:i/>
        </w:rPr>
        <w:t>Completion</w:t>
      </w:r>
      <w:r>
        <w:rPr>
          <w:i/>
          <w:spacing w:val="-4"/>
        </w:rPr>
        <w:t> </w:t>
      </w:r>
      <w:r>
        <w:rPr>
          <w:i/>
        </w:rPr>
        <w:t>Deadline</w:t>
      </w:r>
      <w:r>
        <w:rPr/>
        <w:t>-</w:t>
      </w:r>
      <w:r>
        <w:rPr>
          <w:spacing w:val="-1"/>
        </w:rPr>
        <w:t> </w:t>
      </w:r>
      <w:r>
        <w:rPr/>
        <w:t>Project</w:t>
      </w:r>
      <w:r>
        <w:rPr>
          <w:spacing w:val="-4"/>
        </w:rPr>
        <w:t> </w:t>
      </w:r>
      <w:r>
        <w:rPr/>
        <w:t>completion</w:t>
      </w:r>
      <w:r>
        <w:rPr>
          <w:spacing w:val="-6"/>
        </w:rPr>
        <w:t> </w:t>
      </w:r>
      <w:r>
        <w:rPr/>
        <w:t>occurs</w:t>
      </w:r>
      <w:r>
        <w:rPr>
          <w:spacing w:val="-5"/>
        </w:rPr>
        <w:t> </w:t>
      </w:r>
      <w:r>
        <w:rPr/>
        <w:t>when</w:t>
      </w:r>
      <w:r>
        <w:rPr>
          <w:spacing w:val="-4"/>
        </w:rPr>
        <w:t> </w:t>
      </w:r>
      <w:r>
        <w:rPr/>
        <w:t>construction</w:t>
      </w:r>
      <w:r>
        <w:rPr>
          <w:spacing w:val="-4"/>
        </w:rPr>
        <w:t> </w:t>
      </w:r>
      <w:r>
        <w:rPr/>
        <w:t>is</w:t>
      </w:r>
      <w:r>
        <w:rPr>
          <w:spacing w:val="-6"/>
        </w:rPr>
        <w:t> </w:t>
      </w:r>
      <w:r>
        <w:rPr/>
        <w:t>complete,</w:t>
      </w:r>
      <w:r>
        <w:rPr>
          <w:spacing w:val="-5"/>
        </w:rPr>
        <w:t> </w:t>
      </w:r>
      <w:r>
        <w:rPr/>
        <w:t>all</w:t>
      </w:r>
      <w:r>
        <w:rPr>
          <w:spacing w:val="-4"/>
        </w:rPr>
        <w:t> </w:t>
      </w:r>
      <w:r>
        <w:rPr/>
        <w:t>HOME</w:t>
      </w:r>
      <w:r>
        <w:rPr>
          <w:spacing w:val="-6"/>
        </w:rPr>
        <w:t> </w:t>
      </w:r>
      <w:r>
        <w:rPr/>
        <w:t>funds have been disbursed by the City of Dallas and drawn from the US Treasury, title to the property has transferred to an eligible buyer, and required completion data has been entered in HUD’s IDIS</w:t>
      </w:r>
      <w:r>
        <w:rPr>
          <w:spacing w:val="-2"/>
        </w:rPr>
        <w:t> </w:t>
      </w:r>
      <w:r>
        <w:rPr/>
        <w:t>system.</w:t>
      </w:r>
      <w:r>
        <w:rPr>
          <w:spacing w:val="-3"/>
        </w:rPr>
        <w:t> </w:t>
      </w:r>
      <w:r>
        <w:rPr/>
        <w:t>Project</w:t>
      </w:r>
      <w:r>
        <w:rPr>
          <w:spacing w:val="-3"/>
        </w:rPr>
        <w:t> </w:t>
      </w:r>
      <w:r>
        <w:rPr/>
        <w:t>completion</w:t>
      </w:r>
      <w:r>
        <w:rPr>
          <w:spacing w:val="-2"/>
        </w:rPr>
        <w:t> </w:t>
      </w:r>
      <w:r>
        <w:rPr/>
        <w:t>must</w:t>
      </w:r>
      <w:r>
        <w:rPr>
          <w:spacing w:val="-2"/>
        </w:rPr>
        <w:t> </w:t>
      </w:r>
      <w:r>
        <w:rPr/>
        <w:t>occur</w:t>
      </w:r>
      <w:r>
        <w:rPr>
          <w:spacing w:val="-3"/>
        </w:rPr>
        <w:t> </w:t>
      </w:r>
      <w:r>
        <w:rPr/>
        <w:t>within</w:t>
      </w:r>
      <w:r>
        <w:rPr>
          <w:spacing w:val="-2"/>
        </w:rPr>
        <w:t> </w:t>
      </w:r>
      <w:r>
        <w:rPr/>
        <w:t>2</w:t>
      </w:r>
      <w:r>
        <w:rPr>
          <w:spacing w:val="-2"/>
        </w:rPr>
        <w:t> </w:t>
      </w:r>
      <w:r>
        <w:rPr/>
        <w:t>years</w:t>
      </w:r>
      <w:r>
        <w:rPr>
          <w:spacing w:val="-4"/>
        </w:rPr>
        <w:t> </w:t>
      </w:r>
      <w:r>
        <w:rPr/>
        <w:t>of</w:t>
      </w:r>
      <w:r>
        <w:rPr>
          <w:spacing w:val="-3"/>
        </w:rPr>
        <w:t> </w:t>
      </w:r>
      <w:r>
        <w:rPr/>
        <w:t>the</w:t>
      </w:r>
      <w:r>
        <w:rPr>
          <w:spacing w:val="-2"/>
        </w:rPr>
        <w:t> </w:t>
      </w:r>
      <w:r>
        <w:rPr/>
        <w:t>date</w:t>
      </w:r>
      <w:r>
        <w:rPr>
          <w:spacing w:val="-2"/>
        </w:rPr>
        <w:t> </w:t>
      </w:r>
      <w:r>
        <w:rPr/>
        <w:t>of</w:t>
      </w:r>
      <w:r>
        <w:rPr>
          <w:spacing w:val="-3"/>
        </w:rPr>
        <w:t> </w:t>
      </w:r>
      <w:r>
        <w:rPr/>
        <w:t>commitment of</w:t>
      </w:r>
      <w:r>
        <w:rPr>
          <w:spacing w:val="-3"/>
        </w:rPr>
        <w:t> </w:t>
      </w:r>
      <w:r>
        <w:rPr/>
        <w:t>funds</w:t>
      </w:r>
      <w:r>
        <w:rPr>
          <w:spacing w:val="-4"/>
        </w:rPr>
        <w:t> </w:t>
      </w:r>
      <w:r>
        <w:rPr/>
        <w:t>to the project. If the Developer fails to</w:t>
      </w:r>
      <w:r>
        <w:rPr>
          <w:spacing w:val="-2"/>
        </w:rPr>
        <w:t> </w:t>
      </w:r>
      <w:r>
        <w:rPr/>
        <w:t>meet this 2-year deadline, it must repay to</w:t>
      </w:r>
      <w:r>
        <w:rPr>
          <w:spacing w:val="-2"/>
        </w:rPr>
        <w:t> </w:t>
      </w:r>
      <w:r>
        <w:rPr/>
        <w:t>the City of Dallas any HOME funds disbursed for the project.</w:t>
      </w:r>
    </w:p>
    <w:p>
      <w:pPr>
        <w:pStyle w:val="BodyText"/>
        <w:spacing w:before="9"/>
        <w:rPr>
          <w:sz w:val="21"/>
        </w:rPr>
      </w:pPr>
    </w:p>
    <w:p>
      <w:pPr>
        <w:pStyle w:val="BodyText"/>
        <w:ind w:left="119" w:right="156"/>
        <w:jc w:val="both"/>
      </w:pPr>
      <w:r>
        <w:rPr>
          <w:i/>
        </w:rPr>
        <w:t>Sales</w:t>
      </w:r>
      <w:r>
        <w:rPr>
          <w:i/>
          <w:spacing w:val="-9"/>
        </w:rPr>
        <w:t> </w:t>
      </w:r>
      <w:r>
        <w:rPr>
          <w:i/>
        </w:rPr>
        <w:t>Deadline-</w:t>
      </w:r>
      <w:r>
        <w:rPr>
          <w:i/>
          <w:spacing w:val="-8"/>
        </w:rPr>
        <w:t> </w:t>
      </w:r>
      <w:r>
        <w:rPr/>
        <w:t>Pursuant</w:t>
      </w:r>
      <w:r>
        <w:rPr>
          <w:spacing w:val="-11"/>
        </w:rPr>
        <w:t> </w:t>
      </w:r>
      <w:r>
        <w:rPr/>
        <w:t>to</w:t>
      </w:r>
      <w:r>
        <w:rPr>
          <w:spacing w:val="-12"/>
        </w:rPr>
        <w:t> </w:t>
      </w:r>
      <w:r>
        <w:rPr/>
        <w:t>24</w:t>
      </w:r>
      <w:r>
        <w:rPr>
          <w:spacing w:val="-12"/>
        </w:rPr>
        <w:t> </w:t>
      </w:r>
      <w:r>
        <w:rPr/>
        <w:t>CFR</w:t>
      </w:r>
      <w:r>
        <w:rPr>
          <w:spacing w:val="-10"/>
        </w:rPr>
        <w:t> </w:t>
      </w:r>
      <w:r>
        <w:rPr/>
        <w:t>92.254(a)(3),</w:t>
      </w:r>
      <w:r>
        <w:rPr>
          <w:spacing w:val="-11"/>
        </w:rPr>
        <w:t> </w:t>
      </w:r>
      <w:r>
        <w:rPr/>
        <w:t>Developers</w:t>
      </w:r>
      <w:r>
        <w:rPr>
          <w:spacing w:val="-14"/>
        </w:rPr>
        <w:t> </w:t>
      </w:r>
      <w:r>
        <w:rPr/>
        <w:t>must</w:t>
      </w:r>
      <w:r>
        <w:rPr>
          <w:spacing w:val="-11"/>
        </w:rPr>
        <w:t> </w:t>
      </w:r>
      <w:r>
        <w:rPr/>
        <w:t>have</w:t>
      </w:r>
      <w:r>
        <w:rPr>
          <w:spacing w:val="-10"/>
        </w:rPr>
        <w:t> </w:t>
      </w:r>
      <w:r>
        <w:rPr/>
        <w:t>a</w:t>
      </w:r>
      <w:r>
        <w:rPr>
          <w:spacing w:val="-15"/>
        </w:rPr>
        <w:t> </w:t>
      </w:r>
      <w:r>
        <w:rPr/>
        <w:t>ratified</w:t>
      </w:r>
      <w:r>
        <w:rPr>
          <w:spacing w:val="-12"/>
        </w:rPr>
        <w:t> </w:t>
      </w:r>
      <w:r>
        <w:rPr/>
        <w:t>sales</w:t>
      </w:r>
      <w:r>
        <w:rPr>
          <w:spacing w:val="-12"/>
        </w:rPr>
        <w:t> </w:t>
      </w:r>
      <w:r>
        <w:rPr/>
        <w:t>contract with an eligible buyer for each HOME-funded unit within nine (9) months of completion of construction</w:t>
      </w:r>
      <w:r>
        <w:rPr>
          <w:spacing w:val="-9"/>
        </w:rPr>
        <w:t> </w:t>
      </w:r>
      <w:r>
        <w:rPr/>
        <w:t>or</w:t>
      </w:r>
      <w:r>
        <w:rPr>
          <w:spacing w:val="-10"/>
        </w:rPr>
        <w:t> </w:t>
      </w:r>
      <w:r>
        <w:rPr/>
        <w:t>the</w:t>
      </w:r>
      <w:r>
        <w:rPr>
          <w:spacing w:val="-11"/>
        </w:rPr>
        <w:t> </w:t>
      </w:r>
      <w:r>
        <w:rPr/>
        <w:t>unsold</w:t>
      </w:r>
      <w:r>
        <w:rPr>
          <w:spacing w:val="-9"/>
        </w:rPr>
        <w:t> </w:t>
      </w:r>
      <w:r>
        <w:rPr/>
        <w:t>units</w:t>
      </w:r>
      <w:r>
        <w:rPr>
          <w:spacing w:val="-11"/>
        </w:rPr>
        <w:t> </w:t>
      </w:r>
      <w:r>
        <w:rPr/>
        <w:t>must</w:t>
      </w:r>
      <w:r>
        <w:rPr>
          <w:spacing w:val="-10"/>
        </w:rPr>
        <w:t> </w:t>
      </w:r>
      <w:r>
        <w:rPr/>
        <w:t>be</w:t>
      </w:r>
      <w:r>
        <w:rPr>
          <w:spacing w:val="-9"/>
        </w:rPr>
        <w:t> </w:t>
      </w:r>
      <w:r>
        <w:rPr/>
        <w:t>converted</w:t>
      </w:r>
      <w:r>
        <w:rPr>
          <w:spacing w:val="-9"/>
        </w:rPr>
        <w:t> </w:t>
      </w:r>
      <w:r>
        <w:rPr/>
        <w:t>to</w:t>
      </w:r>
      <w:r>
        <w:rPr>
          <w:spacing w:val="-11"/>
        </w:rPr>
        <w:t> </w:t>
      </w:r>
      <w:r>
        <w:rPr/>
        <w:t>rental</w:t>
      </w:r>
      <w:r>
        <w:rPr>
          <w:spacing w:val="-9"/>
        </w:rPr>
        <w:t> </w:t>
      </w:r>
      <w:r>
        <w:rPr/>
        <w:t>housing</w:t>
      </w:r>
      <w:r>
        <w:rPr>
          <w:spacing w:val="-11"/>
        </w:rPr>
        <w:t> </w:t>
      </w:r>
      <w:r>
        <w:rPr/>
        <w:t>or</w:t>
      </w:r>
      <w:r>
        <w:rPr>
          <w:spacing w:val="-10"/>
        </w:rPr>
        <w:t> </w:t>
      </w:r>
      <w:r>
        <w:rPr/>
        <w:t>the</w:t>
      </w:r>
      <w:r>
        <w:rPr>
          <w:spacing w:val="-14"/>
        </w:rPr>
        <w:t> </w:t>
      </w:r>
      <w:r>
        <w:rPr/>
        <w:t>project</w:t>
      </w:r>
      <w:r>
        <w:rPr>
          <w:spacing w:val="-7"/>
        </w:rPr>
        <w:t> </w:t>
      </w:r>
      <w:r>
        <w:rPr/>
        <w:t>will</w:t>
      </w:r>
      <w:r>
        <w:rPr>
          <w:spacing w:val="-9"/>
        </w:rPr>
        <w:t> </w:t>
      </w:r>
      <w:r>
        <w:rPr/>
        <w:t>be</w:t>
      </w:r>
      <w:r>
        <w:rPr>
          <w:spacing w:val="-9"/>
        </w:rPr>
        <w:t> </w:t>
      </w:r>
      <w:r>
        <w:rPr/>
        <w:t>deemed ineligible and all HOME funds drawn must be repaid to HUD.</w:t>
      </w:r>
    </w:p>
    <w:p>
      <w:pPr>
        <w:pStyle w:val="BodyText"/>
        <w:spacing w:before="11"/>
        <w:rPr>
          <w:sz w:val="21"/>
        </w:rPr>
      </w:pPr>
    </w:p>
    <w:p>
      <w:pPr>
        <w:pStyle w:val="BodyText"/>
        <w:ind w:left="119" w:right="154"/>
        <w:jc w:val="both"/>
      </w:pPr>
      <w:r>
        <w:rPr/>
        <w:t>If</w:t>
      </w:r>
      <w:r>
        <w:rPr>
          <w:spacing w:val="-16"/>
        </w:rPr>
        <w:t> </w:t>
      </w:r>
      <w:r>
        <w:rPr/>
        <w:t>a</w:t>
      </w:r>
      <w:r>
        <w:rPr>
          <w:spacing w:val="-15"/>
        </w:rPr>
        <w:t> </w:t>
      </w:r>
      <w:r>
        <w:rPr/>
        <w:t>unit</w:t>
      </w:r>
      <w:r>
        <w:rPr>
          <w:spacing w:val="-15"/>
        </w:rPr>
        <w:t> </w:t>
      </w:r>
      <w:r>
        <w:rPr/>
        <w:t>is</w:t>
      </w:r>
      <w:r>
        <w:rPr>
          <w:spacing w:val="-16"/>
        </w:rPr>
        <w:t> </w:t>
      </w:r>
      <w:r>
        <w:rPr/>
        <w:t>unsold</w:t>
      </w:r>
      <w:r>
        <w:rPr>
          <w:spacing w:val="-15"/>
        </w:rPr>
        <w:t> </w:t>
      </w:r>
      <w:r>
        <w:rPr/>
        <w:t>after</w:t>
      </w:r>
      <w:r>
        <w:rPr>
          <w:spacing w:val="-15"/>
        </w:rPr>
        <w:t> </w:t>
      </w:r>
      <w:r>
        <w:rPr/>
        <w:t>six</w:t>
      </w:r>
      <w:r>
        <w:rPr>
          <w:spacing w:val="-15"/>
        </w:rPr>
        <w:t> </w:t>
      </w:r>
      <w:r>
        <w:rPr/>
        <w:t>(6)</w:t>
      </w:r>
      <w:r>
        <w:rPr>
          <w:spacing w:val="-16"/>
        </w:rPr>
        <w:t> </w:t>
      </w:r>
      <w:r>
        <w:rPr/>
        <w:t>months,</w:t>
      </w:r>
      <w:r>
        <w:rPr>
          <w:spacing w:val="-15"/>
        </w:rPr>
        <w:t> </w:t>
      </w:r>
      <w:r>
        <w:rPr/>
        <w:t>the</w:t>
      </w:r>
      <w:r>
        <w:rPr>
          <w:spacing w:val="-15"/>
        </w:rPr>
        <w:t> </w:t>
      </w:r>
      <w:r>
        <w:rPr/>
        <w:t>Developer</w:t>
      </w:r>
      <w:r>
        <w:rPr>
          <w:spacing w:val="-16"/>
        </w:rPr>
        <w:t> </w:t>
      </w:r>
      <w:r>
        <w:rPr/>
        <w:t>must</w:t>
      </w:r>
      <w:r>
        <w:rPr>
          <w:spacing w:val="-15"/>
        </w:rPr>
        <w:t> </w:t>
      </w:r>
      <w:r>
        <w:rPr/>
        <w:t>present</w:t>
      </w:r>
      <w:r>
        <w:rPr>
          <w:spacing w:val="-15"/>
        </w:rPr>
        <w:t> </w:t>
      </w:r>
      <w:r>
        <w:rPr/>
        <w:t>an</w:t>
      </w:r>
      <w:r>
        <w:rPr>
          <w:spacing w:val="-15"/>
        </w:rPr>
        <w:t> </w:t>
      </w:r>
      <w:r>
        <w:rPr/>
        <w:t>updated</w:t>
      </w:r>
      <w:r>
        <w:rPr>
          <w:spacing w:val="-16"/>
        </w:rPr>
        <w:t> </w:t>
      </w:r>
      <w:r>
        <w:rPr/>
        <w:t>sales</w:t>
      </w:r>
      <w:r>
        <w:rPr>
          <w:spacing w:val="-15"/>
        </w:rPr>
        <w:t> </w:t>
      </w:r>
      <w:r>
        <w:rPr/>
        <w:t>and</w:t>
      </w:r>
      <w:r>
        <w:rPr>
          <w:spacing w:val="-15"/>
        </w:rPr>
        <w:t> </w:t>
      </w:r>
      <w:r>
        <w:rPr/>
        <w:t>marketing plan</w:t>
      </w:r>
      <w:r>
        <w:rPr>
          <w:spacing w:val="-12"/>
        </w:rPr>
        <w:t> </w:t>
      </w:r>
      <w:r>
        <w:rPr/>
        <w:t>to</w:t>
      </w:r>
      <w:r>
        <w:rPr>
          <w:spacing w:val="-16"/>
        </w:rPr>
        <w:t> </w:t>
      </w:r>
      <w:r>
        <w:rPr/>
        <w:t>the</w:t>
      </w:r>
      <w:r>
        <w:rPr>
          <w:spacing w:val="-14"/>
        </w:rPr>
        <w:t> </w:t>
      </w:r>
      <w:r>
        <w:rPr/>
        <w:t>City</w:t>
      </w:r>
      <w:r>
        <w:rPr>
          <w:spacing w:val="-14"/>
        </w:rPr>
        <w:t> </w:t>
      </w:r>
      <w:r>
        <w:rPr/>
        <w:t>of</w:t>
      </w:r>
      <w:r>
        <w:rPr>
          <w:spacing w:val="-13"/>
        </w:rPr>
        <w:t> </w:t>
      </w:r>
      <w:r>
        <w:rPr/>
        <w:t>Dallas</w:t>
      </w:r>
      <w:r>
        <w:rPr>
          <w:spacing w:val="-14"/>
        </w:rPr>
        <w:t> </w:t>
      </w:r>
      <w:r>
        <w:rPr/>
        <w:t>outlining</w:t>
      </w:r>
      <w:r>
        <w:rPr>
          <w:spacing w:val="-12"/>
        </w:rPr>
        <w:t> </w:t>
      </w:r>
      <w:r>
        <w:rPr/>
        <w:t>steps</w:t>
      </w:r>
      <w:r>
        <w:rPr>
          <w:spacing w:val="-14"/>
        </w:rPr>
        <w:t> </w:t>
      </w:r>
      <w:r>
        <w:rPr/>
        <w:t>being</w:t>
      </w:r>
      <w:r>
        <w:rPr>
          <w:spacing w:val="-15"/>
        </w:rPr>
        <w:t> </w:t>
      </w:r>
      <w:r>
        <w:rPr/>
        <w:t>taken</w:t>
      </w:r>
      <w:r>
        <w:rPr>
          <w:spacing w:val="-12"/>
        </w:rPr>
        <w:t> </w:t>
      </w:r>
      <w:r>
        <w:rPr/>
        <w:t>to</w:t>
      </w:r>
      <w:r>
        <w:rPr>
          <w:spacing w:val="-12"/>
        </w:rPr>
        <w:t> </w:t>
      </w:r>
      <w:r>
        <w:rPr/>
        <w:t>identify</w:t>
      </w:r>
      <w:r>
        <w:rPr>
          <w:spacing w:val="-14"/>
        </w:rPr>
        <w:t> </w:t>
      </w:r>
      <w:r>
        <w:rPr/>
        <w:t>buyers.</w:t>
      </w:r>
      <w:r>
        <w:rPr>
          <w:spacing w:val="-11"/>
        </w:rPr>
        <w:t> </w:t>
      </w:r>
      <w:r>
        <w:rPr/>
        <w:t>At</w:t>
      </w:r>
      <w:r>
        <w:rPr>
          <w:spacing w:val="-13"/>
        </w:rPr>
        <w:t> </w:t>
      </w:r>
      <w:r>
        <w:rPr/>
        <w:t>the</w:t>
      </w:r>
      <w:r>
        <w:rPr>
          <w:spacing w:val="-12"/>
        </w:rPr>
        <w:t> </w:t>
      </w:r>
      <w:r>
        <w:rPr/>
        <w:t>City</w:t>
      </w:r>
      <w:r>
        <w:rPr>
          <w:spacing w:val="-14"/>
        </w:rPr>
        <w:t> </w:t>
      </w:r>
      <w:r>
        <w:rPr/>
        <w:t>of</w:t>
      </w:r>
      <w:r>
        <w:rPr>
          <w:spacing w:val="-13"/>
        </w:rPr>
        <w:t> </w:t>
      </w:r>
      <w:r>
        <w:rPr/>
        <w:t>Dallas</w:t>
      </w:r>
      <w:r>
        <w:rPr>
          <w:spacing w:val="-12"/>
        </w:rPr>
        <w:t> </w:t>
      </w:r>
      <w:r>
        <w:rPr/>
        <w:t>option, the Developer may be required to i) take further steps--such as listing the home with a licensed realtor, adjusting the sales price, etc.—as the City of Dallas may require to facilitate the sale of the home or ii) to transfer title to the City of Dallas or to another entity selected by the City of Dallas that can otherwise identify buyers prior to the regulatory deadline.</w:t>
      </w:r>
    </w:p>
    <w:p>
      <w:pPr>
        <w:pStyle w:val="BodyText"/>
      </w:pPr>
    </w:p>
    <w:p>
      <w:pPr>
        <w:pStyle w:val="BodyText"/>
        <w:ind w:left="119" w:right="153"/>
        <w:jc w:val="both"/>
      </w:pPr>
      <w:r>
        <w:rPr/>
        <w:t>At the</w:t>
      </w:r>
      <w:r>
        <w:rPr>
          <w:spacing w:val="-2"/>
        </w:rPr>
        <w:t> </w:t>
      </w:r>
      <w:r>
        <w:rPr/>
        <w:t>City</w:t>
      </w:r>
      <w:r>
        <w:rPr>
          <w:spacing w:val="-1"/>
        </w:rPr>
        <w:t> </w:t>
      </w:r>
      <w:r>
        <w:rPr/>
        <w:t>of Dallas</w:t>
      </w:r>
      <w:r>
        <w:rPr>
          <w:spacing w:val="-1"/>
        </w:rPr>
        <w:t> </w:t>
      </w:r>
      <w:r>
        <w:rPr/>
        <w:t>option, if a</w:t>
      </w:r>
      <w:r>
        <w:rPr>
          <w:spacing w:val="-2"/>
        </w:rPr>
        <w:t> </w:t>
      </w:r>
      <w:r>
        <w:rPr/>
        <w:t>unit</w:t>
      </w:r>
      <w:r>
        <w:rPr>
          <w:spacing w:val="-3"/>
        </w:rPr>
        <w:t> </w:t>
      </w:r>
      <w:r>
        <w:rPr/>
        <w:t>remains</w:t>
      </w:r>
      <w:r>
        <w:rPr>
          <w:spacing w:val="-1"/>
        </w:rPr>
        <w:t> </w:t>
      </w:r>
      <w:r>
        <w:rPr/>
        <w:t>unsold</w:t>
      </w:r>
      <w:r>
        <w:rPr>
          <w:spacing w:val="-2"/>
        </w:rPr>
        <w:t> </w:t>
      </w:r>
      <w:r>
        <w:rPr/>
        <w:t>after</w:t>
      </w:r>
      <w:r>
        <w:rPr>
          <w:spacing w:val="-3"/>
        </w:rPr>
        <w:t> </w:t>
      </w:r>
      <w:r>
        <w:rPr/>
        <w:t>nine</w:t>
      </w:r>
      <w:r>
        <w:rPr>
          <w:spacing w:val="-2"/>
        </w:rPr>
        <w:t> </w:t>
      </w:r>
      <w:r>
        <w:rPr/>
        <w:t>(9)</w:t>
      </w:r>
      <w:r>
        <w:rPr>
          <w:spacing w:val="-3"/>
        </w:rPr>
        <w:t> </w:t>
      </w:r>
      <w:r>
        <w:rPr/>
        <w:t>months,</w:t>
      </w:r>
      <w:r>
        <w:rPr>
          <w:spacing w:val="-2"/>
        </w:rPr>
        <w:t> </w:t>
      </w:r>
      <w:r>
        <w:rPr/>
        <w:t>the</w:t>
      </w:r>
      <w:r>
        <w:rPr>
          <w:spacing w:val="-2"/>
        </w:rPr>
        <w:t> </w:t>
      </w:r>
      <w:r>
        <w:rPr/>
        <w:t>developer shall</w:t>
      </w:r>
      <w:r>
        <w:rPr>
          <w:spacing w:val="-2"/>
        </w:rPr>
        <w:t> </w:t>
      </w:r>
      <w:r>
        <w:rPr/>
        <w:t>be required</w:t>
      </w:r>
      <w:r>
        <w:rPr>
          <w:spacing w:val="-7"/>
        </w:rPr>
        <w:t> </w:t>
      </w:r>
      <w:r>
        <w:rPr/>
        <w:t>i)</w:t>
      </w:r>
      <w:r>
        <w:rPr>
          <w:spacing w:val="-8"/>
        </w:rPr>
        <w:t> </w:t>
      </w:r>
      <w:r>
        <w:rPr/>
        <w:t>to</w:t>
      </w:r>
      <w:r>
        <w:rPr>
          <w:spacing w:val="-9"/>
        </w:rPr>
        <w:t> </w:t>
      </w:r>
      <w:r>
        <w:rPr/>
        <w:t>repay</w:t>
      </w:r>
      <w:r>
        <w:rPr>
          <w:spacing w:val="-8"/>
        </w:rPr>
        <w:t> </w:t>
      </w:r>
      <w:r>
        <w:rPr/>
        <w:t>the</w:t>
      </w:r>
      <w:r>
        <w:rPr>
          <w:spacing w:val="-9"/>
        </w:rPr>
        <w:t> </w:t>
      </w:r>
      <w:r>
        <w:rPr/>
        <w:t>entire</w:t>
      </w:r>
      <w:r>
        <w:rPr>
          <w:spacing w:val="-7"/>
        </w:rPr>
        <w:t> </w:t>
      </w:r>
      <w:r>
        <w:rPr/>
        <w:t>HOME</w:t>
      </w:r>
      <w:r>
        <w:rPr>
          <w:spacing w:val="-9"/>
        </w:rPr>
        <w:t> </w:t>
      </w:r>
      <w:r>
        <w:rPr/>
        <w:t>investment,</w:t>
      </w:r>
      <w:r>
        <w:rPr>
          <w:spacing w:val="-7"/>
        </w:rPr>
        <w:t> </w:t>
      </w:r>
      <w:r>
        <w:rPr/>
        <w:t>including</w:t>
      </w:r>
      <w:r>
        <w:rPr>
          <w:spacing w:val="-7"/>
        </w:rPr>
        <w:t> </w:t>
      </w:r>
      <w:r>
        <w:rPr/>
        <w:t>any</w:t>
      </w:r>
      <w:r>
        <w:rPr>
          <w:spacing w:val="-7"/>
        </w:rPr>
        <w:t> </w:t>
      </w:r>
      <w:r>
        <w:rPr/>
        <w:t>City</w:t>
      </w:r>
      <w:r>
        <w:rPr>
          <w:spacing w:val="-8"/>
        </w:rPr>
        <w:t> </w:t>
      </w:r>
      <w:r>
        <w:rPr/>
        <w:t>of</w:t>
      </w:r>
      <w:r>
        <w:rPr>
          <w:spacing w:val="-7"/>
        </w:rPr>
        <w:t> </w:t>
      </w:r>
      <w:r>
        <w:rPr/>
        <w:t>Dallas</w:t>
      </w:r>
      <w:r>
        <w:rPr>
          <w:spacing w:val="-7"/>
        </w:rPr>
        <w:t> </w:t>
      </w:r>
      <w:r>
        <w:rPr/>
        <w:t>project</w:t>
      </w:r>
      <w:r>
        <w:rPr>
          <w:spacing w:val="-6"/>
        </w:rPr>
        <w:t> </w:t>
      </w:r>
      <w:r>
        <w:rPr/>
        <w:t>soft</w:t>
      </w:r>
      <w:r>
        <w:rPr>
          <w:spacing w:val="-7"/>
        </w:rPr>
        <w:t> </w:t>
      </w:r>
      <w:r>
        <w:rPr/>
        <w:t>costs;</w:t>
      </w:r>
      <w:r>
        <w:rPr>
          <w:spacing w:val="-6"/>
        </w:rPr>
        <w:t> </w:t>
      </w:r>
      <w:r>
        <w:rPr/>
        <w:t>ii) to convert the project to rental housing in accordance with 24 CFR 92.252; or iii) to transfer title to the City of Dallas or to another entity selected by the City of Dallas for conversion to rental </w:t>
      </w:r>
      <w:r>
        <w:rPr>
          <w:spacing w:val="-2"/>
        </w:rPr>
        <w:t>housing.</w:t>
      </w:r>
    </w:p>
    <w:p>
      <w:pPr>
        <w:pStyle w:val="BodyText"/>
        <w:spacing w:before="1"/>
      </w:pPr>
    </w:p>
    <w:p>
      <w:pPr>
        <w:pStyle w:val="BodyText"/>
        <w:ind w:left="119" w:right="154"/>
        <w:jc w:val="both"/>
      </w:pPr>
      <w:r>
        <w:rPr/>
        <w:t>Units converted to rental housing must be rented to eligible tenants in accordance with 24 CFR 92.252, which includes tenant income eligibility and rent limit requirements. Further, any units converted to rental properties shall be operated in compliance with the City of Dallas Rental Housing Program guidelines.</w:t>
      </w:r>
    </w:p>
    <w:p>
      <w:pPr>
        <w:pStyle w:val="BodyText"/>
        <w:spacing w:before="11"/>
        <w:rPr>
          <w:sz w:val="21"/>
        </w:rPr>
      </w:pPr>
    </w:p>
    <w:p>
      <w:pPr>
        <w:pStyle w:val="BodyText"/>
        <w:spacing w:line="252" w:lineRule="exact"/>
        <w:ind w:left="119"/>
        <w:jc w:val="both"/>
      </w:pPr>
      <w:r>
        <w:rPr/>
        <w:t>Reporting</w:t>
      </w:r>
      <w:r>
        <w:rPr>
          <w:spacing w:val="-5"/>
        </w:rPr>
        <w:t> </w:t>
      </w:r>
      <w:r>
        <w:rPr/>
        <w:t>and</w:t>
      </w:r>
      <w:r>
        <w:rPr>
          <w:spacing w:val="-7"/>
        </w:rPr>
        <w:t> </w:t>
      </w:r>
      <w:r>
        <w:rPr/>
        <w:t>Record</w:t>
      </w:r>
      <w:r>
        <w:rPr>
          <w:spacing w:val="-6"/>
        </w:rPr>
        <w:t> </w:t>
      </w:r>
      <w:r>
        <w:rPr>
          <w:spacing w:val="-2"/>
        </w:rPr>
        <w:t>Keeping</w:t>
      </w:r>
    </w:p>
    <w:p>
      <w:pPr>
        <w:pStyle w:val="BodyText"/>
        <w:ind w:left="119" w:right="154"/>
        <w:jc w:val="both"/>
      </w:pPr>
      <w:r>
        <w:rPr/>
        <w:t>To allow effective oversight of funded projects and document compliance</w:t>
      </w:r>
      <w:r>
        <w:rPr>
          <w:spacing w:val="-2"/>
        </w:rPr>
        <w:t> </w:t>
      </w:r>
      <w:r>
        <w:rPr/>
        <w:t>with applicable HOME requirements, all projects must submit periodic reports to the City of Dallas. While this section outlines</w:t>
      </w:r>
      <w:r>
        <w:rPr>
          <w:spacing w:val="-11"/>
        </w:rPr>
        <w:t> </w:t>
      </w:r>
      <w:r>
        <w:rPr/>
        <w:t>standard</w:t>
      </w:r>
      <w:r>
        <w:rPr>
          <w:spacing w:val="-14"/>
        </w:rPr>
        <w:t> </w:t>
      </w:r>
      <w:r>
        <w:rPr/>
        <w:t>reporting</w:t>
      </w:r>
      <w:r>
        <w:rPr>
          <w:spacing w:val="-11"/>
        </w:rPr>
        <w:t> </w:t>
      </w:r>
      <w:r>
        <w:rPr/>
        <w:t>requirements,</w:t>
      </w:r>
      <w:r>
        <w:rPr>
          <w:spacing w:val="-12"/>
        </w:rPr>
        <w:t> </w:t>
      </w:r>
      <w:r>
        <w:rPr/>
        <w:t>the</w:t>
      </w:r>
      <w:r>
        <w:rPr>
          <w:spacing w:val="-14"/>
        </w:rPr>
        <w:t> </w:t>
      </w:r>
      <w:r>
        <w:rPr/>
        <w:t>City</w:t>
      </w:r>
      <w:r>
        <w:rPr>
          <w:spacing w:val="-13"/>
        </w:rPr>
        <w:t> </w:t>
      </w:r>
      <w:r>
        <w:rPr/>
        <w:t>of</w:t>
      </w:r>
      <w:r>
        <w:rPr>
          <w:spacing w:val="-12"/>
        </w:rPr>
        <w:t> </w:t>
      </w:r>
      <w:r>
        <w:rPr/>
        <w:t>Dallas</w:t>
      </w:r>
      <w:r>
        <w:rPr>
          <w:spacing w:val="-11"/>
        </w:rPr>
        <w:t> </w:t>
      </w:r>
      <w:r>
        <w:rPr/>
        <w:t>reserves</w:t>
      </w:r>
      <w:r>
        <w:rPr>
          <w:spacing w:val="-16"/>
        </w:rPr>
        <w:t> </w:t>
      </w:r>
      <w:r>
        <w:rPr/>
        <w:t>the</w:t>
      </w:r>
      <w:r>
        <w:rPr>
          <w:spacing w:val="-13"/>
        </w:rPr>
        <w:t> </w:t>
      </w:r>
      <w:r>
        <w:rPr/>
        <w:t>right</w:t>
      </w:r>
      <w:r>
        <w:rPr>
          <w:spacing w:val="-12"/>
        </w:rPr>
        <w:t> </w:t>
      </w:r>
      <w:r>
        <w:rPr/>
        <w:t>to</w:t>
      </w:r>
      <w:r>
        <w:rPr>
          <w:spacing w:val="-14"/>
        </w:rPr>
        <w:t> </w:t>
      </w:r>
      <w:r>
        <w:rPr/>
        <w:t>require</w:t>
      </w:r>
      <w:r>
        <w:rPr>
          <w:spacing w:val="-14"/>
        </w:rPr>
        <w:t> </w:t>
      </w:r>
      <w:r>
        <w:rPr/>
        <w:t>additional reporting</w:t>
      </w:r>
      <w:r>
        <w:rPr>
          <w:spacing w:val="40"/>
        </w:rPr>
        <w:t> </w:t>
      </w:r>
      <w:r>
        <w:rPr/>
        <w:t>or</w:t>
      </w:r>
      <w:r>
        <w:rPr>
          <w:spacing w:val="55"/>
        </w:rPr>
        <w:t> </w:t>
      </w:r>
      <w:r>
        <w:rPr/>
        <w:t>to</w:t>
      </w:r>
      <w:r>
        <w:rPr>
          <w:spacing w:val="40"/>
        </w:rPr>
        <w:t> </w:t>
      </w:r>
      <w:r>
        <w:rPr/>
        <w:t>alter</w:t>
      </w:r>
      <w:r>
        <w:rPr>
          <w:spacing w:val="40"/>
        </w:rPr>
        <w:t> </w:t>
      </w:r>
      <w:r>
        <w:rPr/>
        <w:t>the</w:t>
      </w:r>
      <w:r>
        <w:rPr>
          <w:spacing w:val="40"/>
        </w:rPr>
        <w:t> </w:t>
      </w:r>
      <w:r>
        <w:rPr/>
        <w:t>reporting</w:t>
      </w:r>
      <w:r>
        <w:rPr>
          <w:spacing w:val="40"/>
        </w:rPr>
        <w:t> </w:t>
      </w:r>
      <w:r>
        <w:rPr/>
        <w:t>format</w:t>
      </w:r>
      <w:r>
        <w:rPr>
          <w:spacing w:val="55"/>
        </w:rPr>
        <w:t> </w:t>
      </w:r>
      <w:r>
        <w:rPr/>
        <w:t>or</w:t>
      </w:r>
      <w:r>
        <w:rPr>
          <w:spacing w:val="40"/>
        </w:rPr>
        <w:t> </w:t>
      </w:r>
      <w:r>
        <w:rPr/>
        <w:t>frequency</w:t>
      </w:r>
      <w:r>
        <w:rPr>
          <w:spacing w:val="54"/>
        </w:rPr>
        <w:t> </w:t>
      </w:r>
      <w:r>
        <w:rPr/>
        <w:t>based</w:t>
      </w:r>
      <w:r>
        <w:rPr>
          <w:spacing w:val="40"/>
        </w:rPr>
        <w:t> </w:t>
      </w:r>
      <w:r>
        <w:rPr/>
        <w:t>on</w:t>
      </w:r>
      <w:r>
        <w:rPr>
          <w:spacing w:val="40"/>
        </w:rPr>
        <w:t> </w:t>
      </w:r>
      <w:r>
        <w:rPr/>
        <w:t>future</w:t>
      </w:r>
      <w:r>
        <w:rPr>
          <w:spacing w:val="40"/>
        </w:rPr>
        <w:t> </w:t>
      </w:r>
      <w:r>
        <w:rPr/>
        <w:t>changes</w:t>
      </w:r>
      <w:r>
        <w:rPr>
          <w:spacing w:val="54"/>
        </w:rPr>
        <w:t> </w:t>
      </w:r>
      <w:r>
        <w:rPr/>
        <w:t>to</w:t>
      </w:r>
      <w:r>
        <w:rPr>
          <w:spacing w:val="40"/>
        </w:rPr>
        <w:t> </w:t>
      </w:r>
      <w:r>
        <w:rPr/>
        <w:t>HOME</w:t>
      </w:r>
    </w:p>
    <w:p>
      <w:pPr>
        <w:spacing w:after="0"/>
        <w:jc w:val="both"/>
        <w:sectPr>
          <w:pgSz w:w="12240" w:h="15840"/>
          <w:pgMar w:header="0" w:footer="1176" w:top="1360" w:bottom="1420" w:left="1320" w:right="1280"/>
        </w:sectPr>
      </w:pPr>
    </w:p>
    <w:p>
      <w:pPr>
        <w:pStyle w:val="BodyText"/>
        <w:spacing w:before="80"/>
        <w:ind w:left="119" w:right="154"/>
        <w:jc w:val="both"/>
      </w:pPr>
      <w:r>
        <w:rPr/>
        <w:t>requirements or City of Dallas policy. Additionally, the City of Dallas reserves the</w:t>
      </w:r>
      <w:r>
        <w:rPr>
          <w:spacing w:val="-2"/>
        </w:rPr>
        <w:t> </w:t>
      </w:r>
      <w:r>
        <w:rPr/>
        <w:t>right to require additional or more frequent reporting for projects with compliance deficiencies.</w:t>
      </w:r>
    </w:p>
    <w:p>
      <w:pPr>
        <w:pStyle w:val="BodyText"/>
        <w:spacing w:before="1"/>
      </w:pPr>
    </w:p>
    <w:p>
      <w:pPr>
        <w:pStyle w:val="ListParagraph"/>
        <w:numPr>
          <w:ilvl w:val="0"/>
          <w:numId w:val="27"/>
        </w:numPr>
        <w:tabs>
          <w:tab w:pos="840" w:val="left" w:leader="none"/>
        </w:tabs>
        <w:spacing w:line="240" w:lineRule="auto" w:before="0" w:after="0"/>
        <w:ind w:left="839" w:right="158" w:hanging="361"/>
        <w:jc w:val="both"/>
        <w:rPr>
          <w:sz w:val="22"/>
        </w:rPr>
      </w:pPr>
      <w:r>
        <w:rPr>
          <w:spacing w:val="-2"/>
          <w:sz w:val="22"/>
        </w:rPr>
        <w:t>Developers</w:t>
      </w:r>
      <w:r>
        <w:rPr>
          <w:spacing w:val="-5"/>
          <w:sz w:val="22"/>
        </w:rPr>
        <w:t> </w:t>
      </w:r>
      <w:r>
        <w:rPr>
          <w:spacing w:val="-2"/>
          <w:sz w:val="22"/>
        </w:rPr>
        <w:t>are</w:t>
      </w:r>
      <w:r>
        <w:rPr>
          <w:spacing w:val="-8"/>
          <w:sz w:val="22"/>
        </w:rPr>
        <w:t> </w:t>
      </w:r>
      <w:r>
        <w:rPr>
          <w:spacing w:val="-2"/>
          <w:sz w:val="22"/>
        </w:rPr>
        <w:t>required</w:t>
      </w:r>
      <w:r>
        <w:rPr>
          <w:spacing w:val="-7"/>
          <w:sz w:val="22"/>
        </w:rPr>
        <w:t> </w:t>
      </w:r>
      <w:r>
        <w:rPr>
          <w:spacing w:val="-2"/>
          <w:sz w:val="22"/>
        </w:rPr>
        <w:t>to</w:t>
      </w:r>
      <w:r>
        <w:rPr>
          <w:spacing w:val="-5"/>
          <w:sz w:val="22"/>
        </w:rPr>
        <w:t> </w:t>
      </w:r>
      <w:r>
        <w:rPr>
          <w:spacing w:val="-2"/>
          <w:sz w:val="22"/>
        </w:rPr>
        <w:t>report</w:t>
      </w:r>
      <w:r>
        <w:rPr>
          <w:spacing w:val="-8"/>
          <w:sz w:val="22"/>
        </w:rPr>
        <w:t> </w:t>
      </w:r>
      <w:r>
        <w:rPr>
          <w:spacing w:val="-2"/>
          <w:sz w:val="22"/>
        </w:rPr>
        <w:t>monthly</w:t>
      </w:r>
      <w:r>
        <w:rPr>
          <w:spacing w:val="-7"/>
          <w:sz w:val="22"/>
        </w:rPr>
        <w:t> </w:t>
      </w:r>
      <w:r>
        <w:rPr>
          <w:spacing w:val="-2"/>
          <w:sz w:val="22"/>
        </w:rPr>
        <w:t>during</w:t>
      </w:r>
      <w:r>
        <w:rPr>
          <w:spacing w:val="-8"/>
          <w:sz w:val="22"/>
        </w:rPr>
        <w:t> </w:t>
      </w:r>
      <w:r>
        <w:rPr>
          <w:spacing w:val="-2"/>
          <w:sz w:val="22"/>
        </w:rPr>
        <w:t>the</w:t>
      </w:r>
      <w:r>
        <w:rPr>
          <w:spacing w:val="-5"/>
          <w:sz w:val="22"/>
        </w:rPr>
        <w:t> </w:t>
      </w:r>
      <w:r>
        <w:rPr>
          <w:spacing w:val="-2"/>
          <w:sz w:val="22"/>
        </w:rPr>
        <w:t>development</w:t>
      </w:r>
      <w:r>
        <w:rPr>
          <w:spacing w:val="-3"/>
          <w:sz w:val="22"/>
        </w:rPr>
        <w:t> </w:t>
      </w:r>
      <w:r>
        <w:rPr>
          <w:spacing w:val="-2"/>
          <w:sz w:val="22"/>
        </w:rPr>
        <w:t>phase</w:t>
      </w:r>
      <w:r>
        <w:rPr>
          <w:spacing w:val="-5"/>
          <w:sz w:val="22"/>
        </w:rPr>
        <w:t> </w:t>
      </w:r>
      <w:r>
        <w:rPr>
          <w:spacing w:val="-2"/>
          <w:sz w:val="22"/>
        </w:rPr>
        <w:t>and</w:t>
      </w:r>
      <w:r>
        <w:rPr>
          <w:spacing w:val="-5"/>
          <w:sz w:val="22"/>
        </w:rPr>
        <w:t> </w:t>
      </w:r>
      <w:r>
        <w:rPr>
          <w:spacing w:val="-2"/>
          <w:sz w:val="22"/>
        </w:rPr>
        <w:t>sales</w:t>
      </w:r>
      <w:r>
        <w:rPr>
          <w:spacing w:val="-5"/>
          <w:sz w:val="22"/>
        </w:rPr>
        <w:t> </w:t>
      </w:r>
      <w:r>
        <w:rPr>
          <w:spacing w:val="-2"/>
          <w:sz w:val="22"/>
        </w:rPr>
        <w:t>phase. </w:t>
      </w:r>
      <w:r>
        <w:rPr>
          <w:sz w:val="22"/>
        </w:rPr>
        <w:t>During the construction phase, developers must provide monthly reports detailing construction progress and barriers to progress, copies of invoices being paid, and evidence of appropriate lien waivers.</w:t>
      </w:r>
    </w:p>
    <w:p>
      <w:pPr>
        <w:pStyle w:val="ListParagraph"/>
        <w:numPr>
          <w:ilvl w:val="0"/>
          <w:numId w:val="27"/>
        </w:numPr>
        <w:tabs>
          <w:tab w:pos="840" w:val="left" w:leader="none"/>
        </w:tabs>
        <w:spacing w:line="237" w:lineRule="auto" w:before="1" w:after="0"/>
        <w:ind w:left="839" w:right="156" w:hanging="361"/>
        <w:jc w:val="both"/>
        <w:rPr>
          <w:sz w:val="22"/>
        </w:rPr>
      </w:pPr>
      <w:r>
        <w:rPr/>
        <w:pict>
          <v:shape style="position:absolute;margin-left:90.065002pt;margin-top:25.045889pt;width:395.3pt;height:419pt;mso-position-horizontal-relative:page;mso-position-vertical-relative:paragraph;z-index:-17683456" id="docshape120" coordorigin="1801,501" coordsize="7906,8380" path="m4498,7765l4492,7691,4477,7613,4455,7530,4432,7461,4403,7389,4367,7314,4325,7236,4276,7155,4237,7096,4200,7046,4200,7731,4197,7788,4186,7844,4167,7902,4138,7962,4097,8024,4044,8090,3979,8160,3674,8465,2216,7008,2517,6707,2598,6631,2672,6571,2740,6527,2801,6501,2868,6486,2941,6482,3020,6489,3105,6507,3195,6536,3255,6562,3317,6594,3380,6632,3446,6678,3514,6729,3584,6787,3656,6852,3729,6923,3789,6985,3845,7045,3896,7104,3943,7162,3986,7218,4025,7274,4059,7328,4101,7402,4136,7474,4163,7544,4183,7611,4196,7675,4200,7731,4200,7046,4194,7037,4148,6977,4098,6916,4045,6855,3989,6794,3929,6732,3865,6670,3801,6611,3737,6556,3673,6505,3643,6482,3609,6457,3546,6412,3482,6371,3419,6333,3346,6296,3274,6263,3203,6236,3132,6214,3062,6197,2992,6185,2923,6178,2850,6176,2779,6183,2709,6198,2642,6221,2577,6251,2528,6279,2476,6316,2420,6362,2359,6416,2294,6479,1801,6972,3710,8880,4124,8465,4226,8364,4287,8298,4341,8233,4386,8167,4424,8100,4454,8034,4476,7968,4491,7901,4498,7833,4498,7765xm6418,6171l6056,6044,5650,5901,5561,5872,5475,5848,5393,5829,5365,5824,5314,5814,5239,5804,5193,5803,5143,5806,5089,5813,5030,5824,5073,5754,5109,5684,5136,5615,5154,5546,5164,5478,5165,5410,5157,5342,5139,5264,5111,5188,5075,5113,5030,5040,4976,4970,4956,4947,4913,4901,4872,4863,4872,5420,4868,5476,4854,5531,4830,5587,4794,5645,4747,5706,4687,5770,4280,6177,3649,5546,4102,5093,4166,5036,4229,4993,4293,4963,4358,4948,4422,4947,4501,4962,4577,4992,4649,5037,4718,5096,4761,5144,4797,5195,4827,5248,4851,5305,4867,5363,4872,5420,4872,4863,4849,4841,4782,4789,4713,4744,4641,4705,4566,4673,4474,4645,4386,4632,4303,4634,4225,4650,4163,4675,4098,4711,4030,4759,3958,4819,3883,4890,3248,5525,5157,7433,5346,7243,4499,6396,4718,6177,4753,6143,4783,6115,4810,6094,4833,6080,4863,6066,4896,6056,4932,6048,4971,6044,5014,6044,5066,6049,5125,6059,5194,6076,5256,6093,5328,6114,5407,6139,5496,6168,6180,6410,6418,6171xm7780,4809l7415,4614,6555,4160,6555,4467,6070,4952,6030,4881,5989,4809,5748,4378,5708,4307,5668,4235,5629,4170,5590,4105,5550,4041,5509,3978,5467,3916,5424,3854,5380,3794,5436,3829,5498,3867,5564,3907,5635,3949,5792,4040,6555,4467,6555,4160,5862,3794,5286,3487,5082,3691,5277,4041,5316,4112,5701,4809,6207,5728,6441,6149,6642,5948,6565,5814,6298,5346,6221,5213,6481,4952,6820,4614,7173,4809,7565,5025,7780,4809xm8131,4459l7264,3592,7936,2920,7711,2695,7039,3367,6448,2776,7224,1999,6999,1774,6033,2740,7941,4648,8131,4459xm9707,2883l8024,1200,8497,726,8272,501,7138,1636,7363,1861,7834,1389,9517,3072,9707,2883xe" filled="true" fillcolor="#c0c0c0" stroked="false">
            <v:path arrowok="t"/>
            <v:fill opacity="32896f" type="solid"/>
            <w10:wrap type="none"/>
          </v:shape>
        </w:pict>
      </w:r>
      <w:r>
        <w:rPr>
          <w:sz w:val="22"/>
        </w:rPr>
        <w:t>During the sales phase, developers are required to provide monthly reports detailing the number</w:t>
      </w:r>
      <w:r>
        <w:rPr>
          <w:spacing w:val="-4"/>
          <w:sz w:val="22"/>
        </w:rPr>
        <w:t> </w:t>
      </w:r>
      <w:r>
        <w:rPr>
          <w:sz w:val="22"/>
        </w:rPr>
        <w:t>of</w:t>
      </w:r>
      <w:r>
        <w:rPr>
          <w:spacing w:val="-4"/>
          <w:sz w:val="22"/>
        </w:rPr>
        <w:t> </w:t>
      </w:r>
      <w:r>
        <w:rPr>
          <w:sz w:val="22"/>
        </w:rPr>
        <w:t>additional</w:t>
      </w:r>
      <w:r>
        <w:rPr>
          <w:spacing w:val="-6"/>
          <w:sz w:val="22"/>
        </w:rPr>
        <w:t> </w:t>
      </w:r>
      <w:r>
        <w:rPr>
          <w:sz w:val="22"/>
        </w:rPr>
        <w:t>sales,</w:t>
      </w:r>
      <w:r>
        <w:rPr>
          <w:spacing w:val="-3"/>
          <w:sz w:val="22"/>
        </w:rPr>
        <w:t> </w:t>
      </w:r>
      <w:r>
        <w:rPr>
          <w:sz w:val="22"/>
        </w:rPr>
        <w:t>total</w:t>
      </w:r>
      <w:r>
        <w:rPr>
          <w:spacing w:val="-6"/>
          <w:sz w:val="22"/>
        </w:rPr>
        <w:t> </w:t>
      </w:r>
      <w:r>
        <w:rPr>
          <w:sz w:val="22"/>
        </w:rPr>
        <w:t>sales,</w:t>
      </w:r>
      <w:r>
        <w:rPr>
          <w:spacing w:val="-4"/>
          <w:sz w:val="22"/>
        </w:rPr>
        <w:t> </w:t>
      </w:r>
      <w:r>
        <w:rPr>
          <w:sz w:val="22"/>
        </w:rPr>
        <w:t>and</w:t>
      </w:r>
      <w:r>
        <w:rPr>
          <w:spacing w:val="-7"/>
          <w:sz w:val="22"/>
        </w:rPr>
        <w:t> </w:t>
      </w:r>
      <w:r>
        <w:rPr>
          <w:sz w:val="22"/>
        </w:rPr>
        <w:t>marketing</w:t>
      </w:r>
      <w:r>
        <w:rPr>
          <w:spacing w:val="-5"/>
          <w:sz w:val="22"/>
        </w:rPr>
        <w:t> </w:t>
      </w:r>
      <w:r>
        <w:rPr>
          <w:sz w:val="22"/>
        </w:rPr>
        <w:t>activity.</w:t>
      </w:r>
      <w:r>
        <w:rPr>
          <w:spacing w:val="-2"/>
          <w:sz w:val="22"/>
        </w:rPr>
        <w:t> </w:t>
      </w:r>
      <w:r>
        <w:rPr>
          <w:sz w:val="22"/>
        </w:rPr>
        <w:t>These</w:t>
      </w:r>
      <w:r>
        <w:rPr>
          <w:spacing w:val="-5"/>
          <w:sz w:val="22"/>
        </w:rPr>
        <w:t> </w:t>
      </w:r>
      <w:r>
        <w:rPr>
          <w:sz w:val="22"/>
        </w:rPr>
        <w:t>reports</w:t>
      </w:r>
      <w:r>
        <w:rPr>
          <w:spacing w:val="-5"/>
          <w:sz w:val="22"/>
        </w:rPr>
        <w:t> </w:t>
      </w:r>
      <w:r>
        <w:rPr>
          <w:sz w:val="22"/>
        </w:rPr>
        <w:t>are</w:t>
      </w:r>
      <w:r>
        <w:rPr>
          <w:spacing w:val="-5"/>
          <w:sz w:val="22"/>
        </w:rPr>
        <w:t> </w:t>
      </w:r>
      <w:r>
        <w:rPr>
          <w:sz w:val="22"/>
        </w:rPr>
        <w:t>required until all units are sold.</w:t>
      </w:r>
    </w:p>
    <w:p>
      <w:pPr>
        <w:pStyle w:val="ListParagraph"/>
        <w:numPr>
          <w:ilvl w:val="0"/>
          <w:numId w:val="27"/>
        </w:numPr>
        <w:tabs>
          <w:tab w:pos="841" w:val="left" w:leader="none"/>
        </w:tabs>
        <w:spacing w:line="237" w:lineRule="auto" w:before="4" w:after="0"/>
        <w:ind w:left="840" w:right="157" w:hanging="361"/>
        <w:jc w:val="both"/>
        <w:rPr>
          <w:sz w:val="22"/>
        </w:rPr>
      </w:pPr>
      <w:r>
        <w:rPr>
          <w:sz w:val="22"/>
        </w:rPr>
        <w:t>The City of Dallas may require more frequent reporting due to findings identified during the development and sales phases.</w:t>
      </w:r>
    </w:p>
    <w:p>
      <w:pPr>
        <w:pStyle w:val="ListParagraph"/>
        <w:numPr>
          <w:ilvl w:val="0"/>
          <w:numId w:val="27"/>
        </w:numPr>
        <w:tabs>
          <w:tab w:pos="841" w:val="left" w:leader="none"/>
        </w:tabs>
        <w:spacing w:line="237" w:lineRule="auto" w:before="4" w:after="0"/>
        <w:ind w:left="840" w:right="155" w:hanging="361"/>
        <w:jc w:val="both"/>
        <w:rPr>
          <w:sz w:val="22"/>
        </w:rPr>
      </w:pPr>
      <w:r>
        <w:rPr>
          <w:sz w:val="22"/>
        </w:rPr>
        <w:t>At</w:t>
      </w:r>
      <w:r>
        <w:rPr>
          <w:spacing w:val="-1"/>
          <w:sz w:val="22"/>
        </w:rPr>
        <w:t> </w:t>
      </w:r>
      <w:r>
        <w:rPr>
          <w:sz w:val="22"/>
        </w:rPr>
        <w:t>the City of</w:t>
      </w:r>
      <w:r>
        <w:rPr>
          <w:spacing w:val="-1"/>
          <w:sz w:val="22"/>
        </w:rPr>
        <w:t> </w:t>
      </w:r>
      <w:r>
        <w:rPr>
          <w:sz w:val="22"/>
        </w:rPr>
        <w:t>Dallas option, Developers</w:t>
      </w:r>
      <w:r>
        <w:rPr>
          <w:spacing w:val="-2"/>
          <w:sz w:val="22"/>
        </w:rPr>
        <w:t> </w:t>
      </w:r>
      <w:r>
        <w:rPr>
          <w:sz w:val="22"/>
        </w:rPr>
        <w:t>may</w:t>
      </w:r>
      <w:r>
        <w:rPr>
          <w:spacing w:val="-2"/>
          <w:sz w:val="22"/>
        </w:rPr>
        <w:t> </w:t>
      </w:r>
      <w:r>
        <w:rPr>
          <w:sz w:val="22"/>
        </w:rPr>
        <w:t>be</w:t>
      </w:r>
      <w:r>
        <w:rPr>
          <w:spacing w:val="-3"/>
          <w:sz w:val="22"/>
        </w:rPr>
        <w:t> </w:t>
      </w:r>
      <w:r>
        <w:rPr>
          <w:sz w:val="22"/>
        </w:rPr>
        <w:t>required to</w:t>
      </w:r>
      <w:r>
        <w:rPr>
          <w:spacing w:val="-3"/>
          <w:sz w:val="22"/>
        </w:rPr>
        <w:t> </w:t>
      </w:r>
      <w:r>
        <w:rPr>
          <w:sz w:val="22"/>
        </w:rPr>
        <w:t>obtain and</w:t>
      </w:r>
      <w:r>
        <w:rPr>
          <w:spacing w:val="-3"/>
          <w:sz w:val="22"/>
        </w:rPr>
        <w:t> </w:t>
      </w:r>
      <w:r>
        <w:rPr>
          <w:sz w:val="22"/>
        </w:rPr>
        <w:t>submit</w:t>
      </w:r>
      <w:r>
        <w:rPr>
          <w:spacing w:val="-1"/>
          <w:sz w:val="22"/>
        </w:rPr>
        <w:t> </w:t>
      </w:r>
      <w:r>
        <w:rPr>
          <w:sz w:val="22"/>
        </w:rPr>
        <w:t>an audit of project</w:t>
      </w:r>
      <w:r>
        <w:rPr>
          <w:spacing w:val="-4"/>
          <w:sz w:val="22"/>
        </w:rPr>
        <w:t> </w:t>
      </w:r>
      <w:r>
        <w:rPr>
          <w:sz w:val="22"/>
        </w:rPr>
        <w:t>costs</w:t>
      </w:r>
      <w:r>
        <w:rPr>
          <w:spacing w:val="-6"/>
          <w:sz w:val="22"/>
        </w:rPr>
        <w:t> </w:t>
      </w:r>
      <w:r>
        <w:rPr>
          <w:sz w:val="22"/>
        </w:rPr>
        <w:t>(i.e.</w:t>
      </w:r>
      <w:r>
        <w:rPr>
          <w:spacing w:val="-2"/>
          <w:sz w:val="22"/>
        </w:rPr>
        <w:t> </w:t>
      </w:r>
      <w:r>
        <w:rPr>
          <w:sz w:val="22"/>
        </w:rPr>
        <w:t>cost</w:t>
      </w:r>
      <w:r>
        <w:rPr>
          <w:spacing w:val="-4"/>
          <w:sz w:val="22"/>
        </w:rPr>
        <w:t> </w:t>
      </w:r>
      <w:r>
        <w:rPr>
          <w:sz w:val="22"/>
        </w:rPr>
        <w:t>certification)</w:t>
      </w:r>
      <w:r>
        <w:rPr>
          <w:spacing w:val="-2"/>
          <w:sz w:val="22"/>
        </w:rPr>
        <w:t> </w:t>
      </w:r>
      <w:r>
        <w:rPr>
          <w:sz w:val="22"/>
        </w:rPr>
        <w:t>prepared</w:t>
      </w:r>
      <w:r>
        <w:rPr>
          <w:spacing w:val="-6"/>
          <w:sz w:val="22"/>
        </w:rPr>
        <w:t> </w:t>
      </w:r>
      <w:r>
        <w:rPr>
          <w:sz w:val="22"/>
        </w:rPr>
        <w:t>by</w:t>
      </w:r>
      <w:r>
        <w:rPr>
          <w:spacing w:val="-6"/>
          <w:sz w:val="22"/>
        </w:rPr>
        <w:t> </w:t>
      </w:r>
      <w:r>
        <w:rPr>
          <w:sz w:val="22"/>
        </w:rPr>
        <w:t>an</w:t>
      </w:r>
      <w:r>
        <w:rPr>
          <w:spacing w:val="-4"/>
          <w:sz w:val="22"/>
        </w:rPr>
        <w:t> </w:t>
      </w:r>
      <w:r>
        <w:rPr>
          <w:sz w:val="22"/>
        </w:rPr>
        <w:t>independent</w:t>
      </w:r>
      <w:r>
        <w:rPr>
          <w:spacing w:val="-5"/>
          <w:sz w:val="22"/>
        </w:rPr>
        <w:t> </w:t>
      </w:r>
      <w:r>
        <w:rPr>
          <w:sz w:val="22"/>
        </w:rPr>
        <w:t>Certified</w:t>
      </w:r>
      <w:r>
        <w:rPr>
          <w:spacing w:val="-6"/>
          <w:sz w:val="22"/>
        </w:rPr>
        <w:t> </w:t>
      </w:r>
      <w:r>
        <w:rPr>
          <w:sz w:val="22"/>
        </w:rPr>
        <w:t>Public</w:t>
      </w:r>
      <w:r>
        <w:rPr>
          <w:spacing w:val="-3"/>
          <w:sz w:val="22"/>
        </w:rPr>
        <w:t> </w:t>
      </w:r>
      <w:r>
        <w:rPr>
          <w:sz w:val="22"/>
        </w:rPr>
        <w:t>Account.</w:t>
      </w:r>
    </w:p>
    <w:p>
      <w:pPr>
        <w:pStyle w:val="ListParagraph"/>
        <w:numPr>
          <w:ilvl w:val="0"/>
          <w:numId w:val="27"/>
        </w:numPr>
        <w:tabs>
          <w:tab w:pos="841" w:val="left" w:leader="none"/>
        </w:tabs>
        <w:spacing w:line="240" w:lineRule="auto" w:before="1" w:after="0"/>
        <w:ind w:left="840" w:right="157" w:hanging="361"/>
        <w:jc w:val="both"/>
        <w:rPr>
          <w:sz w:val="22"/>
        </w:rPr>
      </w:pPr>
      <w:r>
        <w:rPr>
          <w:sz w:val="22"/>
        </w:rPr>
        <w:t>Developers</w:t>
      </w:r>
      <w:r>
        <w:rPr>
          <w:spacing w:val="-12"/>
          <w:sz w:val="22"/>
        </w:rPr>
        <w:t> </w:t>
      </w:r>
      <w:r>
        <w:rPr>
          <w:sz w:val="22"/>
        </w:rPr>
        <w:t>shall</w:t>
      </w:r>
      <w:r>
        <w:rPr>
          <w:spacing w:val="-13"/>
          <w:sz w:val="22"/>
        </w:rPr>
        <w:t> </w:t>
      </w:r>
      <w:r>
        <w:rPr>
          <w:sz w:val="22"/>
        </w:rPr>
        <w:t>allow</w:t>
      </w:r>
      <w:r>
        <w:rPr>
          <w:spacing w:val="-13"/>
          <w:sz w:val="22"/>
        </w:rPr>
        <w:t> </w:t>
      </w:r>
      <w:r>
        <w:rPr>
          <w:sz w:val="22"/>
        </w:rPr>
        <w:t>City</w:t>
      </w:r>
      <w:r>
        <w:rPr>
          <w:spacing w:val="-12"/>
          <w:sz w:val="22"/>
        </w:rPr>
        <w:t> </w:t>
      </w:r>
      <w:r>
        <w:rPr>
          <w:sz w:val="22"/>
        </w:rPr>
        <w:t>of</w:t>
      </w:r>
      <w:r>
        <w:rPr>
          <w:spacing w:val="-11"/>
          <w:sz w:val="22"/>
        </w:rPr>
        <w:t> </w:t>
      </w:r>
      <w:r>
        <w:rPr>
          <w:sz w:val="22"/>
        </w:rPr>
        <w:t>Dallas,</w:t>
      </w:r>
      <w:r>
        <w:rPr>
          <w:spacing w:val="-11"/>
          <w:sz w:val="22"/>
        </w:rPr>
        <w:t> </w:t>
      </w:r>
      <w:r>
        <w:rPr>
          <w:sz w:val="22"/>
        </w:rPr>
        <w:t>HUD,</w:t>
      </w:r>
      <w:r>
        <w:rPr>
          <w:spacing w:val="-11"/>
          <w:sz w:val="22"/>
        </w:rPr>
        <w:t> </w:t>
      </w:r>
      <w:r>
        <w:rPr>
          <w:sz w:val="22"/>
        </w:rPr>
        <w:t>State</w:t>
      </w:r>
      <w:r>
        <w:rPr>
          <w:spacing w:val="-15"/>
          <w:sz w:val="22"/>
        </w:rPr>
        <w:t> </w:t>
      </w:r>
      <w:r>
        <w:rPr>
          <w:sz w:val="22"/>
        </w:rPr>
        <w:t>of</w:t>
      </w:r>
      <w:r>
        <w:rPr>
          <w:spacing w:val="-11"/>
          <w:sz w:val="22"/>
        </w:rPr>
        <w:t> </w:t>
      </w:r>
      <w:r>
        <w:rPr>
          <w:sz w:val="22"/>
        </w:rPr>
        <w:t>Texas,</w:t>
      </w:r>
      <w:r>
        <w:rPr>
          <w:spacing w:val="-13"/>
          <w:sz w:val="22"/>
        </w:rPr>
        <w:t> </w:t>
      </w:r>
      <w:r>
        <w:rPr>
          <w:sz w:val="22"/>
        </w:rPr>
        <w:t>the</w:t>
      </w:r>
      <w:r>
        <w:rPr>
          <w:spacing w:val="-12"/>
          <w:sz w:val="22"/>
        </w:rPr>
        <w:t> </w:t>
      </w:r>
      <w:r>
        <w:rPr>
          <w:sz w:val="22"/>
        </w:rPr>
        <w:t>Comptroller</w:t>
      </w:r>
      <w:r>
        <w:rPr>
          <w:spacing w:val="-13"/>
          <w:sz w:val="22"/>
        </w:rPr>
        <w:t> </w:t>
      </w:r>
      <w:r>
        <w:rPr>
          <w:sz w:val="22"/>
        </w:rPr>
        <w:t>General</w:t>
      </w:r>
      <w:r>
        <w:rPr>
          <w:spacing w:val="-13"/>
          <w:sz w:val="22"/>
        </w:rPr>
        <w:t> </w:t>
      </w:r>
      <w:r>
        <w:rPr>
          <w:sz w:val="22"/>
        </w:rPr>
        <w:t>of</w:t>
      </w:r>
      <w:r>
        <w:rPr>
          <w:spacing w:val="-13"/>
          <w:sz w:val="22"/>
        </w:rPr>
        <w:t> </w:t>
      </w:r>
      <w:r>
        <w:rPr>
          <w:sz w:val="22"/>
        </w:rPr>
        <w:t>the United States (aka the GAO), and all other pertinent Federal or State agencies or their designated</w:t>
      </w:r>
      <w:r>
        <w:rPr>
          <w:spacing w:val="80"/>
          <w:sz w:val="22"/>
        </w:rPr>
        <w:t>  </w:t>
      </w:r>
      <w:r>
        <w:rPr>
          <w:sz w:val="22"/>
        </w:rPr>
        <w:t>representative</w:t>
      </w:r>
      <w:r>
        <w:rPr>
          <w:spacing w:val="80"/>
          <w:sz w:val="22"/>
        </w:rPr>
        <w:t>  </w:t>
      </w:r>
      <w:r>
        <w:rPr>
          <w:sz w:val="22"/>
        </w:rPr>
        <w:t>the</w:t>
      </w:r>
      <w:r>
        <w:rPr>
          <w:spacing w:val="80"/>
          <w:sz w:val="22"/>
        </w:rPr>
        <w:t>  </w:t>
      </w:r>
      <w:r>
        <w:rPr>
          <w:sz w:val="22"/>
        </w:rPr>
        <w:t>right</w:t>
      </w:r>
      <w:r>
        <w:rPr>
          <w:spacing w:val="80"/>
          <w:sz w:val="22"/>
        </w:rPr>
        <w:t>  </w:t>
      </w:r>
      <w:r>
        <w:rPr>
          <w:sz w:val="22"/>
        </w:rPr>
        <w:t>to</w:t>
      </w:r>
      <w:r>
        <w:rPr>
          <w:spacing w:val="80"/>
          <w:sz w:val="22"/>
        </w:rPr>
        <w:t>  </w:t>
      </w:r>
      <w:r>
        <w:rPr>
          <w:sz w:val="22"/>
        </w:rPr>
        <w:t>inspect</w:t>
      </w:r>
      <w:r>
        <w:rPr>
          <w:spacing w:val="80"/>
          <w:sz w:val="22"/>
        </w:rPr>
        <w:t>  </w:t>
      </w:r>
      <w:r>
        <w:rPr>
          <w:sz w:val="22"/>
        </w:rPr>
        <w:t>records</w:t>
      </w:r>
      <w:r>
        <w:rPr>
          <w:spacing w:val="80"/>
          <w:sz w:val="22"/>
        </w:rPr>
        <w:t>  </w:t>
      </w:r>
      <w:r>
        <w:rPr>
          <w:sz w:val="22"/>
        </w:rPr>
        <w:t>and</w:t>
      </w:r>
      <w:r>
        <w:rPr>
          <w:spacing w:val="80"/>
          <w:sz w:val="22"/>
        </w:rPr>
        <w:t>  </w:t>
      </w:r>
      <w:r>
        <w:rPr>
          <w:sz w:val="22"/>
        </w:rPr>
        <w:t>property. Conflict of Interest</w:t>
      </w:r>
    </w:p>
    <w:p>
      <w:pPr>
        <w:pStyle w:val="BodyText"/>
        <w:spacing w:before="9"/>
        <w:rPr>
          <w:sz w:val="21"/>
        </w:rPr>
      </w:pPr>
    </w:p>
    <w:p>
      <w:pPr>
        <w:pStyle w:val="BodyText"/>
        <w:ind w:left="120" w:right="157"/>
        <w:jc w:val="both"/>
      </w:pPr>
      <w:r>
        <w:rPr/>
        <w:t>To comply with HOME requirements and to maintain a high standard of accountability to the public, conflicts of interest and perceived conflicts of interest must be avoided. Developers shall maintain compliance with all HUD conflict of interest provisions as stated in 92.356(f).</w:t>
      </w:r>
    </w:p>
    <w:p>
      <w:pPr>
        <w:pStyle w:val="BodyText"/>
        <w:spacing w:before="10"/>
        <w:rPr>
          <w:sz w:val="21"/>
        </w:rPr>
      </w:pPr>
    </w:p>
    <w:p>
      <w:pPr>
        <w:pStyle w:val="BodyText"/>
        <w:ind w:left="120" w:right="153"/>
        <w:jc w:val="both"/>
      </w:pPr>
      <w:r>
        <w:rPr/>
        <w:t>Developers with officers, employees, family members, consultants, or agents that are otherwise eligible to purchase HOME-funded units must receive waiver/approval from City of Dallas staff before</w:t>
      </w:r>
      <w:r>
        <w:rPr>
          <w:spacing w:val="-13"/>
        </w:rPr>
        <w:t> </w:t>
      </w:r>
      <w:r>
        <w:rPr/>
        <w:t>entering</w:t>
      </w:r>
      <w:r>
        <w:rPr>
          <w:spacing w:val="-11"/>
        </w:rPr>
        <w:t> </w:t>
      </w:r>
      <w:r>
        <w:rPr/>
        <w:t>into</w:t>
      </w:r>
      <w:r>
        <w:rPr>
          <w:spacing w:val="-13"/>
        </w:rPr>
        <w:t> </w:t>
      </w:r>
      <w:r>
        <w:rPr/>
        <w:t>a</w:t>
      </w:r>
      <w:r>
        <w:rPr>
          <w:spacing w:val="-13"/>
        </w:rPr>
        <w:t> </w:t>
      </w:r>
      <w:r>
        <w:rPr/>
        <w:t>sales</w:t>
      </w:r>
      <w:r>
        <w:rPr>
          <w:spacing w:val="-10"/>
        </w:rPr>
        <w:t> </w:t>
      </w:r>
      <w:r>
        <w:rPr/>
        <w:t>agreement</w:t>
      </w:r>
      <w:r>
        <w:rPr>
          <w:spacing w:val="-9"/>
        </w:rPr>
        <w:t> </w:t>
      </w:r>
      <w:r>
        <w:rPr/>
        <w:t>with</w:t>
      </w:r>
      <w:r>
        <w:rPr>
          <w:spacing w:val="-13"/>
        </w:rPr>
        <w:t> </w:t>
      </w:r>
      <w:r>
        <w:rPr/>
        <w:t>HOME</w:t>
      </w:r>
      <w:r>
        <w:rPr>
          <w:spacing w:val="-11"/>
        </w:rPr>
        <w:t> </w:t>
      </w:r>
      <w:r>
        <w:rPr/>
        <w:t>eligible</w:t>
      </w:r>
      <w:r>
        <w:rPr>
          <w:spacing w:val="-9"/>
        </w:rPr>
        <w:t> </w:t>
      </w:r>
      <w:r>
        <w:rPr/>
        <w:t>employees.</w:t>
      </w:r>
      <w:r>
        <w:rPr>
          <w:spacing w:val="-11"/>
        </w:rPr>
        <w:t> </w:t>
      </w:r>
      <w:r>
        <w:rPr/>
        <w:t>92.356(f)</w:t>
      </w:r>
      <w:r>
        <w:rPr>
          <w:spacing w:val="-10"/>
        </w:rPr>
        <w:t> </w:t>
      </w:r>
      <w:r>
        <w:rPr/>
        <w:t>provisions</w:t>
      </w:r>
      <w:r>
        <w:rPr>
          <w:spacing w:val="-10"/>
        </w:rPr>
        <w:t> </w:t>
      </w:r>
      <w:r>
        <w:rPr/>
        <w:t>apply to all HOME projects.</w:t>
      </w:r>
    </w:p>
    <w:p>
      <w:pPr>
        <w:pStyle w:val="ListParagraph"/>
        <w:numPr>
          <w:ilvl w:val="0"/>
          <w:numId w:val="26"/>
        </w:numPr>
        <w:tabs>
          <w:tab w:pos="306" w:val="left" w:leader="none"/>
        </w:tabs>
        <w:spacing w:line="506" w:lineRule="exact" w:before="54" w:after="0"/>
        <w:ind w:left="120" w:right="6985" w:firstLine="0"/>
        <w:jc w:val="left"/>
        <w:rPr>
          <w:sz w:val="22"/>
        </w:rPr>
      </w:pPr>
      <w:r>
        <w:rPr>
          <w:sz w:val="22"/>
        </w:rPr>
        <w:t>Structure</w:t>
      </w:r>
      <w:r>
        <w:rPr>
          <w:spacing w:val="-16"/>
          <w:sz w:val="22"/>
        </w:rPr>
        <w:t> </w:t>
      </w:r>
      <w:r>
        <w:rPr>
          <w:sz w:val="22"/>
        </w:rPr>
        <w:t>of</w:t>
      </w:r>
      <w:r>
        <w:rPr>
          <w:spacing w:val="-15"/>
          <w:sz w:val="22"/>
        </w:rPr>
        <w:t> </w:t>
      </w:r>
      <w:r>
        <w:rPr>
          <w:sz w:val="22"/>
        </w:rPr>
        <w:t>Transaction Loan Types and Terms</w:t>
      </w:r>
    </w:p>
    <w:p>
      <w:pPr>
        <w:pStyle w:val="BodyText"/>
        <w:spacing w:line="200" w:lineRule="exact"/>
        <w:ind w:left="120"/>
        <w:jc w:val="both"/>
      </w:pPr>
      <w:r>
        <w:rPr/>
        <w:t>The</w:t>
      </w:r>
      <w:r>
        <w:rPr>
          <w:spacing w:val="28"/>
        </w:rPr>
        <w:t> </w:t>
      </w:r>
      <w:r>
        <w:rPr/>
        <w:t>City</w:t>
      </w:r>
      <w:r>
        <w:rPr>
          <w:spacing w:val="27"/>
        </w:rPr>
        <w:t> </w:t>
      </w:r>
      <w:r>
        <w:rPr/>
        <w:t>of</w:t>
      </w:r>
      <w:r>
        <w:rPr>
          <w:spacing w:val="27"/>
        </w:rPr>
        <w:t> </w:t>
      </w:r>
      <w:r>
        <w:rPr/>
        <w:t>Dallas</w:t>
      </w:r>
      <w:r>
        <w:rPr>
          <w:spacing w:val="29"/>
        </w:rPr>
        <w:t> </w:t>
      </w:r>
      <w:r>
        <w:rPr/>
        <w:t>will</w:t>
      </w:r>
      <w:r>
        <w:rPr>
          <w:spacing w:val="28"/>
        </w:rPr>
        <w:t> </w:t>
      </w:r>
      <w:r>
        <w:rPr/>
        <w:t>provide</w:t>
      </w:r>
      <w:r>
        <w:rPr>
          <w:spacing w:val="27"/>
        </w:rPr>
        <w:t> </w:t>
      </w:r>
      <w:r>
        <w:rPr/>
        <w:t>HOME</w:t>
      </w:r>
      <w:r>
        <w:rPr>
          <w:spacing w:val="26"/>
        </w:rPr>
        <w:t> </w:t>
      </w:r>
      <w:r>
        <w:rPr/>
        <w:t>funds</w:t>
      </w:r>
      <w:r>
        <w:rPr>
          <w:spacing w:val="29"/>
        </w:rPr>
        <w:t> </w:t>
      </w:r>
      <w:r>
        <w:rPr/>
        <w:t>in</w:t>
      </w:r>
      <w:r>
        <w:rPr>
          <w:spacing w:val="26"/>
        </w:rPr>
        <w:t> </w:t>
      </w:r>
      <w:r>
        <w:rPr/>
        <w:t>the</w:t>
      </w:r>
      <w:r>
        <w:rPr>
          <w:spacing w:val="28"/>
        </w:rPr>
        <w:t> </w:t>
      </w:r>
      <w:r>
        <w:rPr/>
        <w:t>form</w:t>
      </w:r>
      <w:r>
        <w:rPr>
          <w:spacing w:val="27"/>
        </w:rPr>
        <w:t> </w:t>
      </w:r>
      <w:r>
        <w:rPr/>
        <w:t>of</w:t>
      </w:r>
      <w:r>
        <w:rPr>
          <w:spacing w:val="27"/>
        </w:rPr>
        <w:t> </w:t>
      </w:r>
      <w:r>
        <w:rPr/>
        <w:t>a</w:t>
      </w:r>
      <w:r>
        <w:rPr>
          <w:spacing w:val="28"/>
        </w:rPr>
        <w:t> </w:t>
      </w:r>
      <w:r>
        <w:rPr/>
        <w:t>loan</w:t>
      </w:r>
      <w:r>
        <w:rPr>
          <w:spacing w:val="27"/>
        </w:rPr>
        <w:t> </w:t>
      </w:r>
      <w:r>
        <w:rPr/>
        <w:t>to</w:t>
      </w:r>
      <w:r>
        <w:rPr>
          <w:spacing w:val="24"/>
        </w:rPr>
        <w:t> </w:t>
      </w:r>
      <w:r>
        <w:rPr/>
        <w:t>the</w:t>
      </w:r>
      <w:r>
        <w:rPr>
          <w:spacing w:val="26"/>
        </w:rPr>
        <w:t> </w:t>
      </w:r>
      <w:r>
        <w:rPr/>
        <w:t>entity</w:t>
      </w:r>
      <w:r>
        <w:rPr>
          <w:spacing w:val="27"/>
        </w:rPr>
        <w:t> </w:t>
      </w:r>
      <w:r>
        <w:rPr/>
        <w:t>that</w:t>
      </w:r>
      <w:r>
        <w:rPr>
          <w:spacing w:val="30"/>
        </w:rPr>
        <w:t> </w:t>
      </w:r>
      <w:r>
        <w:rPr/>
        <w:t>owns</w:t>
      </w:r>
      <w:r>
        <w:rPr>
          <w:spacing w:val="24"/>
        </w:rPr>
        <w:t> </w:t>
      </w:r>
      <w:r>
        <w:rPr>
          <w:spacing w:val="-5"/>
        </w:rPr>
        <w:t>the</w:t>
      </w:r>
    </w:p>
    <w:p>
      <w:pPr>
        <w:pStyle w:val="BodyText"/>
        <w:ind w:left="121" w:right="157" w:hanging="1"/>
        <w:jc w:val="both"/>
      </w:pPr>
      <w:r>
        <w:rPr/>
        <w:t>property.</w:t>
      </w:r>
      <w:r>
        <w:rPr>
          <w:spacing w:val="-5"/>
        </w:rPr>
        <w:t> </w:t>
      </w:r>
      <w:r>
        <w:rPr/>
        <w:t>No</w:t>
      </w:r>
      <w:r>
        <w:rPr>
          <w:spacing w:val="-7"/>
        </w:rPr>
        <w:t> </w:t>
      </w:r>
      <w:r>
        <w:rPr/>
        <w:t>grants</w:t>
      </w:r>
      <w:r>
        <w:rPr>
          <w:spacing w:val="-7"/>
        </w:rPr>
        <w:t> </w:t>
      </w:r>
      <w:r>
        <w:rPr/>
        <w:t>will</w:t>
      </w:r>
      <w:r>
        <w:rPr>
          <w:spacing w:val="-6"/>
        </w:rPr>
        <w:t> </w:t>
      </w:r>
      <w:r>
        <w:rPr/>
        <w:t>be</w:t>
      </w:r>
      <w:r>
        <w:rPr>
          <w:spacing w:val="-5"/>
        </w:rPr>
        <w:t> </w:t>
      </w:r>
      <w:r>
        <w:rPr/>
        <w:t>awarded,</w:t>
      </w:r>
      <w:r>
        <w:rPr>
          <w:spacing w:val="-6"/>
        </w:rPr>
        <w:t> </w:t>
      </w:r>
      <w:r>
        <w:rPr/>
        <w:t>and</w:t>
      </w:r>
      <w:r>
        <w:rPr>
          <w:spacing w:val="-7"/>
        </w:rPr>
        <w:t> </w:t>
      </w:r>
      <w:r>
        <w:rPr/>
        <w:t>Funding</w:t>
      </w:r>
      <w:r>
        <w:rPr>
          <w:spacing w:val="-7"/>
        </w:rPr>
        <w:t> </w:t>
      </w:r>
      <w:r>
        <w:rPr/>
        <w:t>commitments</w:t>
      </w:r>
      <w:r>
        <w:rPr>
          <w:spacing w:val="-7"/>
        </w:rPr>
        <w:t> </w:t>
      </w:r>
      <w:r>
        <w:rPr/>
        <w:t>are</w:t>
      </w:r>
      <w:r>
        <w:rPr>
          <w:spacing w:val="-7"/>
        </w:rPr>
        <w:t> </w:t>
      </w:r>
      <w:r>
        <w:rPr/>
        <w:t>not</w:t>
      </w:r>
      <w:r>
        <w:rPr>
          <w:spacing w:val="-6"/>
        </w:rPr>
        <w:t> </w:t>
      </w:r>
      <w:r>
        <w:rPr/>
        <w:t>transferable</w:t>
      </w:r>
      <w:r>
        <w:rPr>
          <w:spacing w:val="-7"/>
        </w:rPr>
        <w:t> </w:t>
      </w:r>
      <w:r>
        <w:rPr/>
        <w:t>without</w:t>
      </w:r>
      <w:r>
        <w:rPr>
          <w:spacing w:val="-6"/>
        </w:rPr>
        <w:t> </w:t>
      </w:r>
      <w:r>
        <w:rPr/>
        <w:t>prior written City of Dallas approval.</w:t>
      </w:r>
    </w:p>
    <w:p>
      <w:pPr>
        <w:pStyle w:val="BodyText"/>
        <w:spacing w:before="10"/>
        <w:rPr>
          <w:sz w:val="21"/>
        </w:rPr>
      </w:pPr>
    </w:p>
    <w:p>
      <w:pPr>
        <w:pStyle w:val="BodyText"/>
        <w:spacing w:before="1"/>
        <w:ind w:left="121" w:right="155"/>
        <w:jc w:val="both"/>
      </w:pPr>
      <w:r>
        <w:rPr/>
        <w:t>The</w:t>
      </w:r>
      <w:r>
        <w:rPr>
          <w:spacing w:val="-7"/>
        </w:rPr>
        <w:t> </w:t>
      </w:r>
      <w:r>
        <w:rPr/>
        <w:t>City</w:t>
      </w:r>
      <w:r>
        <w:rPr>
          <w:spacing w:val="-7"/>
        </w:rPr>
        <w:t> </w:t>
      </w:r>
      <w:r>
        <w:rPr/>
        <w:t>of</w:t>
      </w:r>
      <w:r>
        <w:rPr>
          <w:spacing w:val="-6"/>
        </w:rPr>
        <w:t> </w:t>
      </w:r>
      <w:r>
        <w:rPr/>
        <w:t>Dallas</w:t>
      </w:r>
      <w:r>
        <w:rPr>
          <w:spacing w:val="-7"/>
        </w:rPr>
        <w:t> </w:t>
      </w:r>
      <w:r>
        <w:rPr/>
        <w:t>HOME</w:t>
      </w:r>
      <w:r>
        <w:rPr>
          <w:spacing w:val="-10"/>
        </w:rPr>
        <w:t> </w:t>
      </w:r>
      <w:r>
        <w:rPr/>
        <w:t>Loan</w:t>
      </w:r>
      <w:r>
        <w:rPr>
          <w:spacing w:val="-7"/>
        </w:rPr>
        <w:t> </w:t>
      </w:r>
      <w:r>
        <w:rPr/>
        <w:t>may</w:t>
      </w:r>
      <w:r>
        <w:rPr>
          <w:spacing w:val="-7"/>
        </w:rPr>
        <w:t> </w:t>
      </w:r>
      <w:r>
        <w:rPr/>
        <w:t>be</w:t>
      </w:r>
      <w:r>
        <w:rPr>
          <w:spacing w:val="-10"/>
        </w:rPr>
        <w:t> </w:t>
      </w:r>
      <w:r>
        <w:rPr/>
        <w:t>used</w:t>
      </w:r>
      <w:r>
        <w:rPr>
          <w:spacing w:val="-10"/>
        </w:rPr>
        <w:t> </w:t>
      </w:r>
      <w:r>
        <w:rPr/>
        <w:t>for</w:t>
      </w:r>
      <w:r>
        <w:rPr>
          <w:spacing w:val="-6"/>
        </w:rPr>
        <w:t> </w:t>
      </w:r>
      <w:r>
        <w:rPr/>
        <w:t>acquisition</w:t>
      </w:r>
      <w:r>
        <w:rPr>
          <w:spacing w:val="-7"/>
        </w:rPr>
        <w:t> </w:t>
      </w:r>
      <w:r>
        <w:rPr/>
        <w:t>and</w:t>
      </w:r>
      <w:r>
        <w:rPr>
          <w:spacing w:val="-7"/>
        </w:rPr>
        <w:t> </w:t>
      </w:r>
      <w:r>
        <w:rPr/>
        <w:t>construction</w:t>
      </w:r>
      <w:r>
        <w:rPr>
          <w:spacing w:val="-7"/>
        </w:rPr>
        <w:t> </w:t>
      </w:r>
      <w:r>
        <w:rPr/>
        <w:t>financing.</w:t>
      </w:r>
      <w:r>
        <w:rPr>
          <w:spacing w:val="-3"/>
        </w:rPr>
        <w:t> </w:t>
      </w:r>
      <w:r>
        <w:rPr/>
        <w:t>Proceeds of the HOME loan will only be released following satisfaction of all requirements outlined below.</w:t>
      </w:r>
    </w:p>
    <w:p>
      <w:pPr>
        <w:pStyle w:val="BodyText"/>
        <w:spacing w:before="10"/>
        <w:rPr>
          <w:sz w:val="21"/>
        </w:rPr>
      </w:pPr>
    </w:p>
    <w:p>
      <w:pPr>
        <w:pStyle w:val="BodyText"/>
        <w:ind w:left="121"/>
        <w:jc w:val="both"/>
      </w:pPr>
      <w:r>
        <w:rPr/>
        <w:t>In</w:t>
      </w:r>
      <w:r>
        <w:rPr>
          <w:spacing w:val="-3"/>
        </w:rPr>
        <w:t> </w:t>
      </w:r>
      <w:r>
        <w:rPr/>
        <w:t>all</w:t>
      </w:r>
      <w:r>
        <w:rPr>
          <w:spacing w:val="-3"/>
        </w:rPr>
        <w:t> </w:t>
      </w:r>
      <w:r>
        <w:rPr/>
        <w:t>cases,</w:t>
      </w:r>
      <w:r>
        <w:rPr>
          <w:spacing w:val="-1"/>
        </w:rPr>
        <w:t> </w:t>
      </w:r>
      <w:r>
        <w:rPr/>
        <w:t>The</w:t>
      </w:r>
      <w:r>
        <w:rPr>
          <w:spacing w:val="-5"/>
        </w:rPr>
        <w:t> </w:t>
      </w:r>
      <w:r>
        <w:rPr/>
        <w:t>HOME</w:t>
      </w:r>
      <w:r>
        <w:rPr>
          <w:spacing w:val="-5"/>
        </w:rPr>
        <w:t> </w:t>
      </w:r>
      <w:r>
        <w:rPr/>
        <w:t>loan</w:t>
      </w:r>
      <w:r>
        <w:rPr>
          <w:spacing w:val="-2"/>
        </w:rPr>
        <w:t> will:</w:t>
      </w:r>
    </w:p>
    <w:p>
      <w:pPr>
        <w:pStyle w:val="BodyText"/>
        <w:spacing w:before="2"/>
      </w:pPr>
    </w:p>
    <w:p>
      <w:pPr>
        <w:pStyle w:val="ListParagraph"/>
        <w:numPr>
          <w:ilvl w:val="1"/>
          <w:numId w:val="26"/>
        </w:numPr>
        <w:tabs>
          <w:tab w:pos="841" w:val="left" w:leader="none"/>
        </w:tabs>
        <w:spacing w:line="268" w:lineRule="exact" w:before="1" w:after="0"/>
        <w:ind w:left="840" w:right="0" w:hanging="361"/>
        <w:jc w:val="both"/>
        <w:rPr>
          <w:sz w:val="22"/>
        </w:rPr>
      </w:pPr>
      <w:r>
        <w:rPr>
          <w:sz w:val="22"/>
        </w:rPr>
        <w:t>Have</w:t>
      </w:r>
      <w:r>
        <w:rPr>
          <w:spacing w:val="-3"/>
          <w:sz w:val="22"/>
        </w:rPr>
        <w:t> </w:t>
      </w:r>
      <w:r>
        <w:rPr>
          <w:sz w:val="22"/>
        </w:rPr>
        <w:t>a</w:t>
      </w:r>
      <w:r>
        <w:rPr>
          <w:spacing w:val="-5"/>
          <w:sz w:val="22"/>
        </w:rPr>
        <w:t> </w:t>
      </w:r>
      <w:r>
        <w:rPr>
          <w:sz w:val="22"/>
        </w:rPr>
        <w:t>maximum</w:t>
      </w:r>
      <w:r>
        <w:rPr>
          <w:spacing w:val="-3"/>
          <w:sz w:val="22"/>
        </w:rPr>
        <w:t> </w:t>
      </w:r>
      <w:r>
        <w:rPr>
          <w:sz w:val="22"/>
        </w:rPr>
        <w:t>term</w:t>
      </w:r>
      <w:r>
        <w:rPr>
          <w:spacing w:val="-4"/>
          <w:sz w:val="22"/>
        </w:rPr>
        <w:t> </w:t>
      </w:r>
      <w:r>
        <w:rPr>
          <w:sz w:val="22"/>
        </w:rPr>
        <w:t>of</w:t>
      </w:r>
      <w:r>
        <w:rPr>
          <w:spacing w:val="-1"/>
          <w:sz w:val="22"/>
        </w:rPr>
        <w:t> </w:t>
      </w:r>
      <w:r>
        <w:rPr>
          <w:sz w:val="22"/>
        </w:rPr>
        <w:t>2</w:t>
      </w:r>
      <w:r>
        <w:rPr>
          <w:spacing w:val="-4"/>
          <w:sz w:val="22"/>
        </w:rPr>
        <w:t> </w:t>
      </w:r>
      <w:r>
        <w:rPr>
          <w:spacing w:val="-2"/>
          <w:sz w:val="22"/>
        </w:rPr>
        <w:t>years;</w:t>
      </w:r>
    </w:p>
    <w:p>
      <w:pPr>
        <w:pStyle w:val="ListParagraph"/>
        <w:numPr>
          <w:ilvl w:val="1"/>
          <w:numId w:val="26"/>
        </w:numPr>
        <w:tabs>
          <w:tab w:pos="841" w:val="left" w:leader="none"/>
        </w:tabs>
        <w:spacing w:line="240" w:lineRule="auto" w:before="0" w:after="0"/>
        <w:ind w:left="840" w:right="155" w:hanging="361"/>
        <w:jc w:val="both"/>
        <w:rPr>
          <w:sz w:val="22"/>
        </w:rPr>
      </w:pPr>
      <w:r>
        <w:rPr>
          <w:sz w:val="22"/>
        </w:rPr>
        <w:t>Be repayable in full upon sale, refinancing, or transfer of the property or upon maturity, except</w:t>
      </w:r>
      <w:r>
        <w:rPr>
          <w:spacing w:val="-8"/>
          <w:sz w:val="22"/>
        </w:rPr>
        <w:t> </w:t>
      </w:r>
      <w:r>
        <w:rPr>
          <w:sz w:val="22"/>
        </w:rPr>
        <w:t>that</w:t>
      </w:r>
      <w:r>
        <w:rPr>
          <w:spacing w:val="-11"/>
          <w:sz w:val="22"/>
        </w:rPr>
        <w:t> </w:t>
      </w:r>
      <w:r>
        <w:rPr>
          <w:sz w:val="22"/>
        </w:rPr>
        <w:t>repayment</w:t>
      </w:r>
      <w:r>
        <w:rPr>
          <w:spacing w:val="-8"/>
          <w:sz w:val="22"/>
        </w:rPr>
        <w:t> </w:t>
      </w:r>
      <w:r>
        <w:rPr>
          <w:sz w:val="22"/>
        </w:rPr>
        <w:t>will</w:t>
      </w:r>
      <w:r>
        <w:rPr>
          <w:spacing w:val="-10"/>
          <w:sz w:val="22"/>
        </w:rPr>
        <w:t> </w:t>
      </w:r>
      <w:r>
        <w:rPr>
          <w:sz w:val="22"/>
        </w:rPr>
        <w:t>be</w:t>
      </w:r>
      <w:r>
        <w:rPr>
          <w:spacing w:val="-10"/>
          <w:sz w:val="22"/>
        </w:rPr>
        <w:t> </w:t>
      </w:r>
      <w:r>
        <w:rPr>
          <w:sz w:val="22"/>
        </w:rPr>
        <w:t>limited</w:t>
      </w:r>
      <w:r>
        <w:rPr>
          <w:spacing w:val="-10"/>
          <w:sz w:val="22"/>
        </w:rPr>
        <w:t> </w:t>
      </w:r>
      <w:r>
        <w:rPr>
          <w:sz w:val="22"/>
        </w:rPr>
        <w:t>to</w:t>
      </w:r>
      <w:r>
        <w:rPr>
          <w:spacing w:val="-10"/>
          <w:sz w:val="22"/>
        </w:rPr>
        <w:t> </w:t>
      </w:r>
      <w:r>
        <w:rPr>
          <w:sz w:val="22"/>
        </w:rPr>
        <w:t>the</w:t>
      </w:r>
      <w:r>
        <w:rPr>
          <w:spacing w:val="-10"/>
          <w:sz w:val="22"/>
        </w:rPr>
        <w:t> </w:t>
      </w:r>
      <w:r>
        <w:rPr>
          <w:sz w:val="22"/>
        </w:rPr>
        <w:t>net</w:t>
      </w:r>
      <w:r>
        <w:rPr>
          <w:spacing w:val="-8"/>
          <w:sz w:val="22"/>
        </w:rPr>
        <w:t> </w:t>
      </w:r>
      <w:r>
        <w:rPr>
          <w:sz w:val="22"/>
        </w:rPr>
        <w:t>proceeds</w:t>
      </w:r>
      <w:r>
        <w:rPr>
          <w:spacing w:val="-9"/>
          <w:sz w:val="22"/>
        </w:rPr>
        <w:t> </w:t>
      </w:r>
      <w:r>
        <w:rPr>
          <w:sz w:val="22"/>
        </w:rPr>
        <w:t>of</w:t>
      </w:r>
      <w:r>
        <w:rPr>
          <w:spacing w:val="-8"/>
          <w:sz w:val="22"/>
        </w:rPr>
        <w:t> </w:t>
      </w:r>
      <w:r>
        <w:rPr>
          <w:sz w:val="22"/>
        </w:rPr>
        <w:t>a</w:t>
      </w:r>
      <w:r>
        <w:rPr>
          <w:spacing w:val="-10"/>
          <w:sz w:val="22"/>
        </w:rPr>
        <w:t> </w:t>
      </w:r>
      <w:r>
        <w:rPr>
          <w:sz w:val="22"/>
        </w:rPr>
        <w:t>City</w:t>
      </w:r>
      <w:r>
        <w:rPr>
          <w:spacing w:val="-9"/>
          <w:sz w:val="22"/>
        </w:rPr>
        <w:t> </w:t>
      </w:r>
      <w:r>
        <w:rPr>
          <w:sz w:val="22"/>
        </w:rPr>
        <w:t>of</w:t>
      </w:r>
      <w:r>
        <w:rPr>
          <w:spacing w:val="-8"/>
          <w:sz w:val="22"/>
        </w:rPr>
        <w:t> </w:t>
      </w:r>
      <w:r>
        <w:rPr>
          <w:sz w:val="22"/>
        </w:rPr>
        <w:t>Dallas-approved</w:t>
      </w:r>
      <w:r>
        <w:rPr>
          <w:spacing w:val="-10"/>
          <w:sz w:val="22"/>
        </w:rPr>
        <w:t> </w:t>
      </w:r>
      <w:r>
        <w:rPr>
          <w:sz w:val="22"/>
        </w:rPr>
        <w:t>sale to a low-income buyer. Net sales proceeds will exclude any portion of the sale proceeds used to repay senior construction debt, return of City of Dallas-recognized developer equity, approved sales costs, and any HOME-assistance transferred to the buyer(s) at closing as direct homebuyer assistance.; and</w:t>
      </w:r>
    </w:p>
    <w:p>
      <w:pPr>
        <w:pStyle w:val="ListParagraph"/>
        <w:numPr>
          <w:ilvl w:val="1"/>
          <w:numId w:val="26"/>
        </w:numPr>
        <w:tabs>
          <w:tab w:pos="841" w:val="left" w:leader="none"/>
        </w:tabs>
        <w:spacing w:line="237" w:lineRule="auto" w:before="0" w:after="0"/>
        <w:ind w:left="840" w:right="155" w:hanging="361"/>
        <w:jc w:val="both"/>
        <w:rPr>
          <w:sz w:val="22"/>
        </w:rPr>
      </w:pPr>
      <w:r>
        <w:rPr>
          <w:sz w:val="22"/>
        </w:rPr>
        <w:t>Be</w:t>
      </w:r>
      <w:r>
        <w:rPr>
          <w:spacing w:val="-5"/>
          <w:sz w:val="22"/>
        </w:rPr>
        <w:t> </w:t>
      </w:r>
      <w:r>
        <w:rPr>
          <w:sz w:val="22"/>
        </w:rPr>
        <w:t>secured</w:t>
      </w:r>
      <w:r>
        <w:rPr>
          <w:spacing w:val="-7"/>
          <w:sz w:val="22"/>
        </w:rPr>
        <w:t> </w:t>
      </w:r>
      <w:r>
        <w:rPr>
          <w:sz w:val="22"/>
        </w:rPr>
        <w:t>with</w:t>
      </w:r>
      <w:r>
        <w:rPr>
          <w:spacing w:val="-5"/>
          <w:sz w:val="22"/>
        </w:rPr>
        <w:t> </w:t>
      </w:r>
      <w:r>
        <w:rPr>
          <w:sz w:val="22"/>
        </w:rPr>
        <w:t>a</w:t>
      </w:r>
      <w:r>
        <w:rPr>
          <w:spacing w:val="-7"/>
          <w:sz w:val="22"/>
        </w:rPr>
        <w:t> </w:t>
      </w:r>
      <w:r>
        <w:rPr>
          <w:sz w:val="22"/>
        </w:rPr>
        <w:t>promissory</w:t>
      </w:r>
      <w:r>
        <w:rPr>
          <w:spacing w:val="-7"/>
          <w:sz w:val="22"/>
        </w:rPr>
        <w:t> </w:t>
      </w:r>
      <w:r>
        <w:rPr>
          <w:sz w:val="22"/>
        </w:rPr>
        <w:t>note,</w:t>
      </w:r>
      <w:r>
        <w:rPr>
          <w:spacing w:val="-6"/>
          <w:sz w:val="22"/>
        </w:rPr>
        <w:t> </w:t>
      </w:r>
      <w:r>
        <w:rPr>
          <w:sz w:val="22"/>
        </w:rPr>
        <w:t>mortgage,</w:t>
      </w:r>
      <w:r>
        <w:rPr>
          <w:spacing w:val="-6"/>
          <w:sz w:val="22"/>
        </w:rPr>
        <w:t> </w:t>
      </w:r>
      <w:r>
        <w:rPr>
          <w:sz w:val="22"/>
        </w:rPr>
        <w:t>and</w:t>
      </w:r>
      <w:r>
        <w:rPr>
          <w:spacing w:val="-5"/>
          <w:sz w:val="22"/>
        </w:rPr>
        <w:t> </w:t>
      </w:r>
      <w:r>
        <w:rPr>
          <w:sz w:val="22"/>
        </w:rPr>
        <w:t>appropriate</w:t>
      </w:r>
      <w:r>
        <w:rPr>
          <w:spacing w:val="-5"/>
          <w:sz w:val="22"/>
        </w:rPr>
        <w:t> </w:t>
      </w:r>
      <w:r>
        <w:rPr>
          <w:sz w:val="22"/>
        </w:rPr>
        <w:t>UCC</w:t>
      </w:r>
      <w:r>
        <w:rPr>
          <w:spacing w:val="-6"/>
          <w:sz w:val="22"/>
        </w:rPr>
        <w:t> </w:t>
      </w:r>
      <w:r>
        <w:rPr>
          <w:sz w:val="22"/>
        </w:rPr>
        <w:t>liens.</w:t>
      </w:r>
      <w:r>
        <w:rPr>
          <w:spacing w:val="-6"/>
          <w:sz w:val="22"/>
        </w:rPr>
        <w:t> </w:t>
      </w:r>
      <w:r>
        <w:rPr>
          <w:sz w:val="22"/>
        </w:rPr>
        <w:t>Mortgages</w:t>
      </w:r>
      <w:r>
        <w:rPr>
          <w:spacing w:val="-7"/>
          <w:sz w:val="22"/>
        </w:rPr>
        <w:t> </w:t>
      </w:r>
      <w:r>
        <w:rPr>
          <w:sz w:val="22"/>
        </w:rPr>
        <w:t>will be recorded with the Dallas County Clerk and generally may be subordinate only to an approved amortizing first mortgage.</w:t>
      </w:r>
    </w:p>
    <w:p>
      <w:pPr>
        <w:spacing w:after="0" w:line="237" w:lineRule="auto"/>
        <w:jc w:val="both"/>
        <w:rPr>
          <w:sz w:val="22"/>
        </w:rPr>
        <w:sectPr>
          <w:pgSz w:w="12240" w:h="15840"/>
          <w:pgMar w:header="0" w:footer="1176" w:top="1360" w:bottom="1420" w:left="1320" w:right="1280"/>
        </w:sectPr>
      </w:pPr>
    </w:p>
    <w:p>
      <w:pPr>
        <w:pStyle w:val="ListParagraph"/>
        <w:numPr>
          <w:ilvl w:val="1"/>
          <w:numId w:val="26"/>
        </w:numPr>
        <w:tabs>
          <w:tab w:pos="841" w:val="left" w:leader="none"/>
        </w:tabs>
        <w:spacing w:line="240" w:lineRule="auto" w:before="82" w:after="0"/>
        <w:ind w:left="839" w:right="155" w:hanging="360"/>
        <w:jc w:val="both"/>
        <w:rPr>
          <w:sz w:val="22"/>
        </w:rPr>
      </w:pPr>
      <w:r>
        <w:rPr>
          <w:sz w:val="22"/>
        </w:rPr>
        <w:t>Allow for a percentage of proceeds to be retained by the CHDO as CHDO proceeds (as outlined in 24 CFR 92.300 (a) (2)).</w:t>
      </w:r>
      <w:r>
        <w:rPr>
          <w:spacing w:val="40"/>
          <w:sz w:val="22"/>
        </w:rPr>
        <w:t> </w:t>
      </w:r>
      <w:r>
        <w:rPr>
          <w:sz w:val="22"/>
        </w:rPr>
        <w:t>On a project-by-project basis, CHDO may request to retain proceeds from a HOME-funded project for eligible activities provided the CHDO remains</w:t>
      </w:r>
      <w:r>
        <w:rPr>
          <w:spacing w:val="-16"/>
          <w:sz w:val="22"/>
        </w:rPr>
        <w:t> </w:t>
      </w:r>
      <w:r>
        <w:rPr>
          <w:sz w:val="22"/>
        </w:rPr>
        <w:t>in</w:t>
      </w:r>
      <w:r>
        <w:rPr>
          <w:spacing w:val="-15"/>
          <w:sz w:val="22"/>
        </w:rPr>
        <w:t> </w:t>
      </w:r>
      <w:r>
        <w:rPr>
          <w:sz w:val="22"/>
        </w:rPr>
        <w:t>good</w:t>
      </w:r>
      <w:r>
        <w:rPr>
          <w:spacing w:val="-15"/>
          <w:sz w:val="22"/>
        </w:rPr>
        <w:t> </w:t>
      </w:r>
      <w:r>
        <w:rPr>
          <w:sz w:val="22"/>
        </w:rPr>
        <w:t>standing</w:t>
      </w:r>
      <w:r>
        <w:rPr>
          <w:spacing w:val="-16"/>
          <w:sz w:val="22"/>
        </w:rPr>
        <w:t> </w:t>
      </w:r>
      <w:r>
        <w:rPr>
          <w:sz w:val="22"/>
        </w:rPr>
        <w:t>as</w:t>
      </w:r>
      <w:r>
        <w:rPr>
          <w:spacing w:val="-15"/>
          <w:sz w:val="22"/>
        </w:rPr>
        <w:t> </w:t>
      </w:r>
      <w:r>
        <w:rPr>
          <w:sz w:val="22"/>
        </w:rPr>
        <w:t>a</w:t>
      </w:r>
      <w:r>
        <w:rPr>
          <w:spacing w:val="-15"/>
          <w:sz w:val="22"/>
        </w:rPr>
        <w:t> </w:t>
      </w:r>
      <w:r>
        <w:rPr>
          <w:sz w:val="22"/>
        </w:rPr>
        <w:t>certified</w:t>
      </w:r>
      <w:r>
        <w:rPr>
          <w:spacing w:val="-15"/>
          <w:sz w:val="22"/>
        </w:rPr>
        <w:t> </w:t>
      </w:r>
      <w:r>
        <w:rPr>
          <w:sz w:val="22"/>
        </w:rPr>
        <w:t>CHDO</w:t>
      </w:r>
      <w:r>
        <w:rPr>
          <w:spacing w:val="-16"/>
          <w:sz w:val="22"/>
        </w:rPr>
        <w:t> </w:t>
      </w:r>
      <w:r>
        <w:rPr>
          <w:sz w:val="22"/>
        </w:rPr>
        <w:t>and</w:t>
      </w:r>
      <w:r>
        <w:rPr>
          <w:spacing w:val="-15"/>
          <w:sz w:val="22"/>
        </w:rPr>
        <w:t> </w:t>
      </w:r>
      <w:r>
        <w:rPr>
          <w:sz w:val="22"/>
        </w:rPr>
        <w:t>complies</w:t>
      </w:r>
      <w:r>
        <w:rPr>
          <w:spacing w:val="-15"/>
          <w:sz w:val="22"/>
        </w:rPr>
        <w:t> </w:t>
      </w:r>
      <w:r>
        <w:rPr>
          <w:sz w:val="22"/>
        </w:rPr>
        <w:t>with</w:t>
      </w:r>
      <w:r>
        <w:rPr>
          <w:spacing w:val="-16"/>
          <w:sz w:val="22"/>
        </w:rPr>
        <w:t> </w:t>
      </w:r>
      <w:r>
        <w:rPr>
          <w:sz w:val="22"/>
        </w:rPr>
        <w:t>all</w:t>
      </w:r>
      <w:r>
        <w:rPr>
          <w:spacing w:val="-15"/>
          <w:sz w:val="22"/>
        </w:rPr>
        <w:t> </w:t>
      </w:r>
      <w:r>
        <w:rPr>
          <w:sz w:val="22"/>
        </w:rPr>
        <w:t>contractual</w:t>
      </w:r>
      <w:r>
        <w:rPr>
          <w:spacing w:val="-15"/>
          <w:sz w:val="22"/>
        </w:rPr>
        <w:t> </w:t>
      </w:r>
      <w:r>
        <w:rPr>
          <w:sz w:val="22"/>
        </w:rPr>
        <w:t>obligations as</w:t>
      </w:r>
      <w:r>
        <w:rPr>
          <w:spacing w:val="-4"/>
          <w:sz w:val="22"/>
        </w:rPr>
        <w:t> </w:t>
      </w:r>
      <w:r>
        <w:rPr>
          <w:sz w:val="22"/>
        </w:rPr>
        <w:t>determined</w:t>
      </w:r>
      <w:r>
        <w:rPr>
          <w:spacing w:val="-4"/>
          <w:sz w:val="22"/>
        </w:rPr>
        <w:t> </w:t>
      </w:r>
      <w:r>
        <w:rPr>
          <w:sz w:val="22"/>
        </w:rPr>
        <w:t>in</w:t>
      </w:r>
      <w:r>
        <w:rPr>
          <w:spacing w:val="-9"/>
          <w:sz w:val="22"/>
        </w:rPr>
        <w:t> </w:t>
      </w:r>
      <w:r>
        <w:rPr>
          <w:sz w:val="22"/>
        </w:rPr>
        <w:t>the</w:t>
      </w:r>
      <w:r>
        <w:rPr>
          <w:spacing w:val="-6"/>
          <w:sz w:val="22"/>
        </w:rPr>
        <w:t> </w:t>
      </w:r>
      <w:r>
        <w:rPr>
          <w:sz w:val="22"/>
        </w:rPr>
        <w:t>sole</w:t>
      </w:r>
      <w:r>
        <w:rPr>
          <w:spacing w:val="-4"/>
          <w:sz w:val="22"/>
        </w:rPr>
        <w:t> </w:t>
      </w:r>
      <w:r>
        <w:rPr>
          <w:sz w:val="22"/>
        </w:rPr>
        <w:t>discretion</w:t>
      </w:r>
      <w:r>
        <w:rPr>
          <w:spacing w:val="-6"/>
          <w:sz w:val="22"/>
        </w:rPr>
        <w:t> </w:t>
      </w:r>
      <w:r>
        <w:rPr>
          <w:sz w:val="22"/>
        </w:rPr>
        <w:t>of</w:t>
      </w:r>
      <w:r>
        <w:rPr>
          <w:spacing w:val="-7"/>
          <w:sz w:val="22"/>
        </w:rPr>
        <w:t> </w:t>
      </w:r>
      <w:r>
        <w:rPr>
          <w:sz w:val="22"/>
        </w:rPr>
        <w:t>the</w:t>
      </w:r>
      <w:r>
        <w:rPr>
          <w:spacing w:val="-6"/>
          <w:sz w:val="22"/>
        </w:rPr>
        <w:t> </w:t>
      </w:r>
      <w:r>
        <w:rPr>
          <w:sz w:val="22"/>
        </w:rPr>
        <w:t>City.</w:t>
      </w:r>
      <w:r>
        <w:rPr>
          <w:spacing w:val="-5"/>
          <w:sz w:val="22"/>
        </w:rPr>
        <w:t> </w:t>
      </w:r>
      <w:r>
        <w:rPr>
          <w:sz w:val="22"/>
        </w:rPr>
        <w:t>All</w:t>
      </w:r>
      <w:r>
        <w:rPr>
          <w:spacing w:val="-5"/>
          <w:sz w:val="22"/>
        </w:rPr>
        <w:t> </w:t>
      </w:r>
      <w:r>
        <w:rPr>
          <w:sz w:val="22"/>
        </w:rPr>
        <w:t>proceeds</w:t>
      </w:r>
      <w:r>
        <w:rPr>
          <w:spacing w:val="-6"/>
          <w:sz w:val="22"/>
        </w:rPr>
        <w:t> </w:t>
      </w:r>
      <w:r>
        <w:rPr>
          <w:sz w:val="22"/>
        </w:rPr>
        <w:t>retained</w:t>
      </w:r>
      <w:r>
        <w:rPr>
          <w:spacing w:val="-4"/>
          <w:sz w:val="22"/>
        </w:rPr>
        <w:t> </w:t>
      </w:r>
      <w:r>
        <w:rPr>
          <w:sz w:val="22"/>
        </w:rPr>
        <w:t>by</w:t>
      </w:r>
      <w:r>
        <w:rPr>
          <w:spacing w:val="-6"/>
          <w:sz w:val="22"/>
        </w:rPr>
        <w:t> </w:t>
      </w:r>
      <w:r>
        <w:rPr>
          <w:sz w:val="22"/>
        </w:rPr>
        <w:t>a</w:t>
      </w:r>
      <w:r>
        <w:rPr>
          <w:spacing w:val="-9"/>
          <w:sz w:val="22"/>
        </w:rPr>
        <w:t> </w:t>
      </w:r>
      <w:r>
        <w:rPr>
          <w:sz w:val="22"/>
        </w:rPr>
        <w:t>CHDO</w:t>
      </w:r>
      <w:r>
        <w:rPr>
          <w:spacing w:val="-5"/>
          <w:sz w:val="22"/>
        </w:rPr>
        <w:t> </w:t>
      </w:r>
      <w:r>
        <w:rPr>
          <w:sz w:val="22"/>
        </w:rPr>
        <w:t>that</w:t>
      </w:r>
      <w:r>
        <w:rPr>
          <w:spacing w:val="-5"/>
          <w:sz w:val="22"/>
        </w:rPr>
        <w:t> </w:t>
      </w:r>
      <w:r>
        <w:rPr>
          <w:sz w:val="22"/>
        </w:rPr>
        <w:t>are not used in accordance with the contract within two years after being generated must be returned to the City.</w:t>
      </w:r>
    </w:p>
    <w:p>
      <w:pPr>
        <w:pStyle w:val="BodyText"/>
        <w:spacing w:before="6"/>
        <w:rPr>
          <w:sz w:val="21"/>
        </w:rPr>
      </w:pPr>
    </w:p>
    <w:p>
      <w:pPr>
        <w:pStyle w:val="BodyText"/>
        <w:ind w:left="119"/>
      </w:pPr>
      <w:r>
        <w:rPr/>
        <w:pict>
          <v:shape style="position:absolute;margin-left:90.065002pt;margin-top:12.607638pt;width:395.3pt;height:419pt;mso-position-horizontal-relative:page;mso-position-vertical-relative:paragraph;z-index:-17682944" id="docshape121" coordorigin="1801,252" coordsize="7906,8380" path="m4498,7516l4492,7442,4477,7364,4455,7281,4432,7212,4403,7140,4367,7065,4325,6987,4276,6907,4237,6848,4200,6797,4200,7483,4197,7539,4186,7596,4167,7653,4138,7713,4097,7776,4044,7842,3979,7911,3674,8217,2216,6759,2517,6458,2598,6382,2672,6322,2740,6279,2801,6252,2868,6237,2941,6233,3020,6240,3105,6258,3195,6287,3255,6313,3317,6345,3380,6384,3446,6429,3514,6480,3584,6538,3656,6603,3729,6675,3789,6736,3845,6796,3896,6855,3943,6913,3986,6970,4025,7025,4059,7079,4101,7153,4136,7226,4163,7295,4183,7362,4196,7426,4200,7483,4200,6797,4194,6788,4148,6728,4098,6667,4045,6606,3989,6545,3929,6483,3865,6421,3801,6363,3737,6308,3673,6256,3643,6233,3609,6208,3546,6164,3482,6122,3419,6085,3346,6047,3274,6014,3203,5987,3132,5965,3062,5948,2992,5936,2923,5929,2850,5927,2779,5934,2709,5949,2642,5972,2577,6002,2528,6031,2476,6068,2420,6113,2359,6167,2294,6230,1801,6723,3710,8631,4124,8217,4226,8115,4287,8050,4341,7984,4386,7918,4424,7852,4454,7785,4476,7719,4491,7652,4498,7584,4498,7516xm6418,5923l6056,5795,5650,5652,5561,5623,5475,5599,5393,5580,5365,5575,5314,5566,5239,5556,5193,5554,5143,5557,5089,5564,5030,5575,5073,5505,5109,5436,5136,5366,5154,5298,5164,5229,5165,5161,5157,5093,5139,5015,5111,4939,5075,4864,5030,4792,4976,4721,4956,4698,4913,4652,4872,4614,4872,5171,4868,5227,4854,5282,4830,5338,4794,5397,4747,5458,4687,5521,4280,5929,3649,5297,4102,4844,4166,4787,4229,4744,4293,4715,4358,4699,4422,4698,4501,4713,4577,4743,4649,4788,4718,4847,4761,4895,4797,4946,4827,5000,4851,5056,4867,5114,4872,5171,4872,4614,4849,4593,4782,4540,4713,4495,4641,4456,4566,4424,4474,4396,4386,4383,4303,4385,4225,4401,4163,4426,4098,4462,4030,4511,3958,4570,3883,4641,3248,5276,5157,7184,5346,6995,4499,6147,4718,5929,4753,5894,4783,5867,4810,5846,4833,5831,4863,5818,4896,5807,4932,5799,4971,5795,5014,5795,5066,5800,5125,5811,5194,5827,5256,5844,5328,5865,5407,5890,5496,5919,6180,6161,6418,5923xm7780,4560l7415,4365,6555,3911,6555,4218,6070,4704,6030,4632,5989,4560,5748,4130,5708,4058,5668,3987,5629,3921,5590,3856,5550,3792,5509,3729,5467,3667,5424,3606,5380,3545,5436,3581,5498,3619,5564,3658,5635,3700,5792,3791,6555,4218,6555,3911,5862,3545,5286,3238,5082,3442,5277,3793,5316,3863,5701,4560,6207,5479,6441,5900,6642,5699,6565,5566,6298,5097,6221,4964,6481,4704,6820,4365,7173,4560,7565,4776,7780,4560xm8131,4210l7264,3343,7936,2671,7711,2446,7039,3118,6448,2527,7224,1751,6999,1525,6033,2491,7941,4399,8131,4210xm9707,2634l8024,951,8497,477,8272,252,7138,1387,7363,1612,7834,1140,9517,2823,9707,2634xe" filled="true" fillcolor="#c0c0c0" stroked="false">
            <v:path arrowok="t"/>
            <v:fill opacity="32896f" type="solid"/>
            <w10:wrap type="none"/>
          </v:shape>
        </w:pict>
      </w:r>
      <w:r>
        <w:rPr>
          <w:spacing w:val="-2"/>
        </w:rPr>
        <w:t>Guarantees</w:t>
      </w:r>
    </w:p>
    <w:p>
      <w:pPr>
        <w:pStyle w:val="BodyText"/>
        <w:spacing w:before="1"/>
        <w:ind w:left="119" w:right="155"/>
        <w:jc w:val="both"/>
      </w:pPr>
      <w:r>
        <w:rPr/>
        <w:t>Unless otherwise determined by the City of Dallas, all underlying individuals, corporate entities, partnerships,</w:t>
      </w:r>
      <w:r>
        <w:rPr>
          <w:spacing w:val="-13"/>
        </w:rPr>
        <w:t> </w:t>
      </w:r>
      <w:r>
        <w:rPr/>
        <w:t>or</w:t>
      </w:r>
      <w:r>
        <w:rPr>
          <w:spacing w:val="-11"/>
        </w:rPr>
        <w:t> </w:t>
      </w:r>
      <w:r>
        <w:rPr/>
        <w:t>limited</w:t>
      </w:r>
      <w:r>
        <w:rPr>
          <w:spacing w:val="-12"/>
        </w:rPr>
        <w:t> </w:t>
      </w:r>
      <w:r>
        <w:rPr/>
        <w:t>liability</w:t>
      </w:r>
      <w:r>
        <w:rPr>
          <w:spacing w:val="-12"/>
        </w:rPr>
        <w:t> </w:t>
      </w:r>
      <w:r>
        <w:rPr/>
        <w:t>companies</w:t>
      </w:r>
      <w:r>
        <w:rPr>
          <w:spacing w:val="-12"/>
        </w:rPr>
        <w:t> </w:t>
      </w:r>
      <w:r>
        <w:rPr/>
        <w:t>with</w:t>
      </w:r>
      <w:r>
        <w:rPr>
          <w:spacing w:val="-14"/>
        </w:rPr>
        <w:t> </w:t>
      </w:r>
      <w:r>
        <w:rPr/>
        <w:t>an</w:t>
      </w:r>
      <w:r>
        <w:rPr>
          <w:spacing w:val="-14"/>
        </w:rPr>
        <w:t> </w:t>
      </w:r>
      <w:r>
        <w:rPr/>
        <w:t>interest</w:t>
      </w:r>
      <w:r>
        <w:rPr>
          <w:spacing w:val="-11"/>
        </w:rPr>
        <w:t> </w:t>
      </w:r>
      <w:r>
        <w:rPr/>
        <w:t>in</w:t>
      </w:r>
      <w:r>
        <w:rPr>
          <w:spacing w:val="-14"/>
        </w:rPr>
        <w:t> </w:t>
      </w:r>
      <w:r>
        <w:rPr/>
        <w:t>the</w:t>
      </w:r>
      <w:r>
        <w:rPr>
          <w:spacing w:val="-12"/>
        </w:rPr>
        <w:t> </w:t>
      </w:r>
      <w:r>
        <w:rPr/>
        <w:t>project</w:t>
      </w:r>
      <w:r>
        <w:rPr>
          <w:spacing w:val="-13"/>
        </w:rPr>
        <w:t> </w:t>
      </w:r>
      <w:r>
        <w:rPr/>
        <w:t>will</w:t>
      </w:r>
      <w:r>
        <w:rPr>
          <w:spacing w:val="-10"/>
        </w:rPr>
        <w:t> </w:t>
      </w:r>
      <w:r>
        <w:rPr/>
        <w:t>be</w:t>
      </w:r>
      <w:r>
        <w:rPr>
          <w:spacing w:val="-12"/>
        </w:rPr>
        <w:t> </w:t>
      </w:r>
      <w:r>
        <w:rPr/>
        <w:t>required</w:t>
      </w:r>
      <w:r>
        <w:rPr>
          <w:spacing w:val="-14"/>
        </w:rPr>
        <w:t> </w:t>
      </w:r>
      <w:r>
        <w:rPr/>
        <w:t>to</w:t>
      </w:r>
      <w:r>
        <w:rPr>
          <w:spacing w:val="-12"/>
        </w:rPr>
        <w:t> </w:t>
      </w:r>
      <w:r>
        <w:rPr/>
        <w:t>provide a</w:t>
      </w:r>
      <w:r>
        <w:rPr>
          <w:spacing w:val="-7"/>
        </w:rPr>
        <w:t> </w:t>
      </w:r>
      <w:r>
        <w:rPr/>
        <w:t>completion</w:t>
      </w:r>
      <w:r>
        <w:rPr>
          <w:spacing w:val="-7"/>
        </w:rPr>
        <w:t> </w:t>
      </w:r>
      <w:r>
        <w:rPr/>
        <w:t>guarantee</w:t>
      </w:r>
      <w:r>
        <w:rPr>
          <w:spacing w:val="-7"/>
        </w:rPr>
        <w:t> </w:t>
      </w:r>
      <w:r>
        <w:rPr/>
        <w:t>including</w:t>
      </w:r>
      <w:r>
        <w:rPr>
          <w:spacing w:val="-7"/>
        </w:rPr>
        <w:t> </w:t>
      </w:r>
      <w:r>
        <w:rPr/>
        <w:t>provisions</w:t>
      </w:r>
      <w:r>
        <w:rPr>
          <w:spacing w:val="-8"/>
        </w:rPr>
        <w:t> </w:t>
      </w:r>
      <w:r>
        <w:rPr/>
        <w:t>guaranteeing</w:t>
      </w:r>
      <w:r>
        <w:rPr>
          <w:spacing w:val="-7"/>
        </w:rPr>
        <w:t> </w:t>
      </w:r>
      <w:r>
        <w:rPr/>
        <w:t>construction</w:t>
      </w:r>
      <w:r>
        <w:rPr>
          <w:spacing w:val="-8"/>
        </w:rPr>
        <w:t> </w:t>
      </w:r>
      <w:r>
        <w:rPr/>
        <w:t>completion</w:t>
      </w:r>
      <w:r>
        <w:rPr>
          <w:spacing w:val="-7"/>
        </w:rPr>
        <w:t> </w:t>
      </w:r>
      <w:r>
        <w:rPr/>
        <w:t>of</w:t>
      </w:r>
      <w:r>
        <w:rPr>
          <w:spacing w:val="-7"/>
        </w:rPr>
        <w:t> </w:t>
      </w:r>
      <w:r>
        <w:rPr/>
        <w:t>the</w:t>
      </w:r>
      <w:r>
        <w:rPr>
          <w:spacing w:val="-8"/>
        </w:rPr>
        <w:t> </w:t>
      </w:r>
      <w:r>
        <w:rPr/>
        <w:t>project. For nonprofit organizations, including community housing development organizations (CHDOs), a guarantee shall not be required, but in all cases the City of Dallas may require a performance bond or irrevocable letter of credit acceptable to the City of Dallas to ensure project completion.</w:t>
      </w:r>
    </w:p>
    <w:p>
      <w:pPr>
        <w:pStyle w:val="BodyText"/>
      </w:pPr>
    </w:p>
    <w:p>
      <w:pPr>
        <w:pStyle w:val="BodyText"/>
        <w:spacing w:line="252" w:lineRule="exact"/>
        <w:ind w:left="119"/>
        <w:jc w:val="both"/>
      </w:pPr>
      <w:r>
        <w:rPr/>
        <w:t>HOME</w:t>
      </w:r>
      <w:r>
        <w:rPr>
          <w:spacing w:val="-3"/>
        </w:rPr>
        <w:t> </w:t>
      </w:r>
      <w:r>
        <w:rPr>
          <w:spacing w:val="-2"/>
        </w:rPr>
        <w:t>Agreement</w:t>
      </w:r>
    </w:p>
    <w:p>
      <w:pPr>
        <w:pStyle w:val="BodyText"/>
        <w:ind w:left="119" w:right="154"/>
        <w:jc w:val="both"/>
      </w:pPr>
      <w:r>
        <w:rPr/>
        <w:t>In addition to any financing documents, developers of HOME-financed projects must sign a HOME agreement with the City of Dallas. The HOME agreement will identify requirements for compliance with the HOME regulations and the City of Dallas Single-Family Development. Program</w:t>
      </w:r>
      <w:r>
        <w:rPr>
          <w:spacing w:val="-12"/>
        </w:rPr>
        <w:t> </w:t>
      </w:r>
      <w:r>
        <w:rPr/>
        <w:t>requirements</w:t>
      </w:r>
      <w:r>
        <w:rPr>
          <w:spacing w:val="-11"/>
        </w:rPr>
        <w:t> </w:t>
      </w:r>
      <w:r>
        <w:rPr/>
        <w:t>and</w:t>
      </w:r>
      <w:r>
        <w:rPr>
          <w:spacing w:val="-11"/>
        </w:rPr>
        <w:t> </w:t>
      </w:r>
      <w:r>
        <w:rPr/>
        <w:t>will</w:t>
      </w:r>
      <w:r>
        <w:rPr>
          <w:spacing w:val="-12"/>
        </w:rPr>
        <w:t> </w:t>
      </w:r>
      <w:r>
        <w:rPr/>
        <w:t>remain</w:t>
      </w:r>
      <w:r>
        <w:rPr>
          <w:spacing w:val="-11"/>
        </w:rPr>
        <w:t> </w:t>
      </w:r>
      <w:r>
        <w:rPr/>
        <w:t>in</w:t>
      </w:r>
      <w:r>
        <w:rPr>
          <w:spacing w:val="-11"/>
        </w:rPr>
        <w:t> </w:t>
      </w:r>
      <w:r>
        <w:rPr/>
        <w:t>effect</w:t>
      </w:r>
      <w:r>
        <w:rPr>
          <w:spacing w:val="-10"/>
        </w:rPr>
        <w:t> </w:t>
      </w:r>
      <w:r>
        <w:rPr/>
        <w:t>in</w:t>
      </w:r>
      <w:r>
        <w:rPr>
          <w:spacing w:val="-14"/>
        </w:rPr>
        <w:t> </w:t>
      </w:r>
      <w:r>
        <w:rPr/>
        <w:t>the</w:t>
      </w:r>
      <w:r>
        <w:rPr>
          <w:spacing w:val="-11"/>
        </w:rPr>
        <w:t> </w:t>
      </w:r>
      <w:r>
        <w:rPr/>
        <w:t>event</w:t>
      </w:r>
      <w:r>
        <w:rPr>
          <w:spacing w:val="-10"/>
        </w:rPr>
        <w:t> </w:t>
      </w:r>
      <w:r>
        <w:rPr/>
        <w:t>of</w:t>
      </w:r>
      <w:r>
        <w:rPr>
          <w:spacing w:val="-10"/>
        </w:rPr>
        <w:t> </w:t>
      </w:r>
      <w:r>
        <w:rPr/>
        <w:t>any</w:t>
      </w:r>
      <w:r>
        <w:rPr>
          <w:spacing w:val="-11"/>
        </w:rPr>
        <w:t> </w:t>
      </w:r>
      <w:r>
        <w:rPr/>
        <w:t>prepayment</w:t>
      </w:r>
      <w:r>
        <w:rPr>
          <w:spacing w:val="-10"/>
        </w:rPr>
        <w:t> </w:t>
      </w:r>
      <w:r>
        <w:rPr/>
        <w:t>of</w:t>
      </w:r>
      <w:r>
        <w:rPr>
          <w:spacing w:val="-12"/>
        </w:rPr>
        <w:t> </w:t>
      </w:r>
      <w:r>
        <w:rPr/>
        <w:t>the</w:t>
      </w:r>
      <w:r>
        <w:rPr>
          <w:spacing w:val="-11"/>
        </w:rPr>
        <w:t> </w:t>
      </w:r>
      <w:r>
        <w:rPr/>
        <w:t>HOME</w:t>
      </w:r>
      <w:r>
        <w:rPr>
          <w:spacing w:val="-12"/>
        </w:rPr>
        <w:t> </w:t>
      </w:r>
      <w:r>
        <w:rPr/>
        <w:t>loan.</w:t>
      </w:r>
    </w:p>
    <w:p>
      <w:pPr>
        <w:pStyle w:val="ListParagraph"/>
        <w:numPr>
          <w:ilvl w:val="0"/>
          <w:numId w:val="26"/>
        </w:numPr>
        <w:tabs>
          <w:tab w:pos="355" w:val="left" w:leader="none"/>
        </w:tabs>
        <w:spacing w:line="506" w:lineRule="exact" w:before="54" w:after="0"/>
        <w:ind w:left="119" w:right="5201" w:firstLine="0"/>
        <w:jc w:val="left"/>
        <w:rPr>
          <w:sz w:val="22"/>
        </w:rPr>
      </w:pPr>
      <w:r>
        <w:rPr>
          <w:sz w:val="22"/>
        </w:rPr>
        <w:t>Underwriting</w:t>
      </w:r>
      <w:r>
        <w:rPr>
          <w:spacing w:val="-10"/>
          <w:sz w:val="22"/>
        </w:rPr>
        <w:t> </w:t>
      </w:r>
      <w:r>
        <w:rPr>
          <w:sz w:val="22"/>
        </w:rPr>
        <w:t>&amp;</w:t>
      </w:r>
      <w:r>
        <w:rPr>
          <w:spacing w:val="-12"/>
          <w:sz w:val="22"/>
        </w:rPr>
        <w:t> </w:t>
      </w:r>
      <w:r>
        <w:rPr>
          <w:sz w:val="22"/>
        </w:rPr>
        <w:t>Subsidy</w:t>
      </w:r>
      <w:r>
        <w:rPr>
          <w:spacing w:val="-9"/>
          <w:sz w:val="22"/>
        </w:rPr>
        <w:t> </w:t>
      </w:r>
      <w:r>
        <w:rPr>
          <w:sz w:val="22"/>
        </w:rPr>
        <w:t>Layering</w:t>
      </w:r>
      <w:r>
        <w:rPr>
          <w:spacing w:val="-12"/>
          <w:sz w:val="22"/>
        </w:rPr>
        <w:t> </w:t>
      </w:r>
      <w:r>
        <w:rPr>
          <w:sz w:val="22"/>
        </w:rPr>
        <w:t>Reviews Market Demand</w:t>
      </w:r>
    </w:p>
    <w:p>
      <w:pPr>
        <w:pStyle w:val="BodyText"/>
        <w:spacing w:line="198" w:lineRule="exact"/>
        <w:ind w:left="119"/>
        <w:jc w:val="both"/>
      </w:pPr>
      <w:r>
        <w:rPr/>
        <w:t>Developers</w:t>
      </w:r>
      <w:r>
        <w:rPr>
          <w:spacing w:val="36"/>
        </w:rPr>
        <w:t> </w:t>
      </w:r>
      <w:r>
        <w:rPr/>
        <w:t>must,</w:t>
      </w:r>
      <w:r>
        <w:rPr>
          <w:spacing w:val="39"/>
        </w:rPr>
        <w:t> </w:t>
      </w:r>
      <w:r>
        <w:rPr/>
        <w:t>as</w:t>
      </w:r>
      <w:r>
        <w:rPr>
          <w:spacing w:val="38"/>
        </w:rPr>
        <w:t> </w:t>
      </w:r>
      <w:r>
        <w:rPr/>
        <w:t>part</w:t>
      </w:r>
      <w:r>
        <w:rPr>
          <w:spacing w:val="40"/>
        </w:rPr>
        <w:t> </w:t>
      </w:r>
      <w:r>
        <w:rPr/>
        <w:t>of</w:t>
      </w:r>
      <w:r>
        <w:rPr>
          <w:spacing w:val="37"/>
        </w:rPr>
        <w:t> </w:t>
      </w:r>
      <w:r>
        <w:rPr/>
        <w:t>their</w:t>
      </w:r>
      <w:r>
        <w:rPr>
          <w:spacing w:val="39"/>
        </w:rPr>
        <w:t> </w:t>
      </w:r>
      <w:r>
        <w:rPr/>
        <w:t>application,</w:t>
      </w:r>
      <w:r>
        <w:rPr>
          <w:spacing w:val="37"/>
        </w:rPr>
        <w:t> </w:t>
      </w:r>
      <w:r>
        <w:rPr/>
        <w:t>provide</w:t>
      </w:r>
      <w:r>
        <w:rPr>
          <w:spacing w:val="37"/>
        </w:rPr>
        <w:t> </w:t>
      </w:r>
      <w:r>
        <w:rPr/>
        <w:t>evidence</w:t>
      </w:r>
      <w:r>
        <w:rPr>
          <w:spacing w:val="37"/>
        </w:rPr>
        <w:t> </w:t>
      </w:r>
      <w:r>
        <w:rPr/>
        <w:t>of</w:t>
      </w:r>
      <w:r>
        <w:rPr>
          <w:spacing w:val="39"/>
        </w:rPr>
        <w:t> </w:t>
      </w:r>
      <w:r>
        <w:rPr/>
        <w:t>sufficient</w:t>
      </w:r>
      <w:r>
        <w:rPr>
          <w:spacing w:val="40"/>
        </w:rPr>
        <w:t> </w:t>
      </w:r>
      <w:r>
        <w:rPr/>
        <w:t>demand</w:t>
      </w:r>
      <w:r>
        <w:rPr>
          <w:spacing w:val="35"/>
        </w:rPr>
        <w:t> </w:t>
      </w:r>
      <w:r>
        <w:rPr/>
        <w:t>for</w:t>
      </w:r>
      <w:r>
        <w:rPr>
          <w:spacing w:val="37"/>
        </w:rPr>
        <w:t> </w:t>
      </w:r>
      <w:r>
        <w:rPr>
          <w:spacing w:val="-5"/>
        </w:rPr>
        <w:t>the</w:t>
      </w:r>
    </w:p>
    <w:p>
      <w:pPr>
        <w:pStyle w:val="BodyText"/>
        <w:spacing w:before="1"/>
        <w:ind w:left="119" w:right="158"/>
        <w:jc w:val="both"/>
      </w:pPr>
      <w:r>
        <w:rPr/>
        <w:t>proposed units. Developers shall provide information from the multiple listing service pertaining to recent sales in the neighborhood, average time on the market for recent sales, availability of other product and average “months of supply” currently available, and any known or planned </w:t>
      </w:r>
      <w:r>
        <w:rPr>
          <w:spacing w:val="-2"/>
        </w:rPr>
        <w:t>projects.</w:t>
      </w:r>
    </w:p>
    <w:p>
      <w:pPr>
        <w:pStyle w:val="BodyText"/>
      </w:pPr>
    </w:p>
    <w:p>
      <w:pPr>
        <w:pStyle w:val="BodyText"/>
        <w:ind w:left="119" w:right="157"/>
        <w:jc w:val="both"/>
      </w:pPr>
      <w:r>
        <w:rPr/>
        <w:t>Additionally,</w:t>
      </w:r>
      <w:r>
        <w:rPr>
          <w:spacing w:val="-1"/>
        </w:rPr>
        <w:t> </w:t>
      </w:r>
      <w:r>
        <w:rPr/>
        <w:t>Developers</w:t>
      </w:r>
      <w:r>
        <w:rPr>
          <w:spacing w:val="-5"/>
        </w:rPr>
        <w:t> </w:t>
      </w:r>
      <w:r>
        <w:rPr/>
        <w:t>must</w:t>
      </w:r>
      <w:r>
        <w:rPr>
          <w:spacing w:val="-3"/>
        </w:rPr>
        <w:t> </w:t>
      </w:r>
      <w:r>
        <w:rPr/>
        <w:t>complete</w:t>
      </w:r>
      <w:r>
        <w:rPr>
          <w:spacing w:val="-5"/>
        </w:rPr>
        <w:t> </w:t>
      </w:r>
      <w:r>
        <w:rPr/>
        <w:t>the</w:t>
      </w:r>
      <w:r>
        <w:rPr>
          <w:spacing w:val="-3"/>
        </w:rPr>
        <w:t> </w:t>
      </w:r>
      <w:r>
        <w:rPr/>
        <w:t>HOME</w:t>
      </w:r>
      <w:r>
        <w:rPr>
          <w:spacing w:val="-3"/>
        </w:rPr>
        <w:t> </w:t>
      </w:r>
      <w:r>
        <w:rPr/>
        <w:t>Sales</w:t>
      </w:r>
      <w:r>
        <w:rPr>
          <w:spacing w:val="-2"/>
        </w:rPr>
        <w:t> </w:t>
      </w:r>
      <w:r>
        <w:rPr/>
        <w:t>and</w:t>
      </w:r>
      <w:r>
        <w:rPr>
          <w:spacing w:val="-3"/>
        </w:rPr>
        <w:t> </w:t>
      </w:r>
      <w:r>
        <w:rPr/>
        <w:t>Marketing</w:t>
      </w:r>
      <w:r>
        <w:rPr>
          <w:spacing w:val="-3"/>
        </w:rPr>
        <w:t> </w:t>
      </w:r>
      <w:r>
        <w:rPr/>
        <w:t>Plan,</w:t>
      </w:r>
      <w:r>
        <w:rPr>
          <w:spacing w:val="-1"/>
        </w:rPr>
        <w:t> </w:t>
      </w:r>
      <w:r>
        <w:rPr/>
        <w:t>identifying</w:t>
      </w:r>
      <w:r>
        <w:rPr>
          <w:spacing w:val="-3"/>
        </w:rPr>
        <w:t> </w:t>
      </w:r>
      <w:r>
        <w:rPr/>
        <w:t>among other items the profile of typical buyers, relationships with homeownership counseling agencies or other sources of buyer referrals, and plans for marketing the homes.</w:t>
      </w:r>
    </w:p>
    <w:p>
      <w:pPr>
        <w:pStyle w:val="BodyText"/>
        <w:spacing w:before="9"/>
        <w:rPr>
          <w:sz w:val="21"/>
        </w:rPr>
      </w:pPr>
    </w:p>
    <w:p>
      <w:pPr>
        <w:pStyle w:val="BodyText"/>
        <w:spacing w:before="1"/>
        <w:ind w:left="119" w:right="158"/>
        <w:jc w:val="both"/>
      </w:pPr>
      <w:r>
        <w:rPr/>
        <w:t>In some cases, the City</w:t>
      </w:r>
      <w:r>
        <w:rPr>
          <w:spacing w:val="-1"/>
        </w:rPr>
        <w:t> </w:t>
      </w:r>
      <w:r>
        <w:rPr/>
        <w:t>of Dallas may only commit to a specific project (or may limit the number of projects under construction by a given developer) upon demonstration that a home has been pre-sold to an identified low-income buyer who has, at least, executed a reservation or initial purchase agreement with the Developer.</w:t>
      </w:r>
    </w:p>
    <w:p>
      <w:pPr>
        <w:pStyle w:val="BodyText"/>
        <w:spacing w:before="11"/>
        <w:rPr>
          <w:sz w:val="21"/>
        </w:rPr>
      </w:pPr>
    </w:p>
    <w:p>
      <w:pPr>
        <w:pStyle w:val="BodyText"/>
        <w:ind w:left="119"/>
        <w:jc w:val="both"/>
      </w:pPr>
      <w:r>
        <w:rPr/>
        <w:t>Project</w:t>
      </w:r>
      <w:r>
        <w:rPr>
          <w:spacing w:val="-3"/>
        </w:rPr>
        <w:t> </w:t>
      </w:r>
      <w:r>
        <w:rPr>
          <w:spacing w:val="-2"/>
        </w:rPr>
        <w:t>Underwriting</w:t>
      </w:r>
    </w:p>
    <w:p>
      <w:pPr>
        <w:pStyle w:val="BodyText"/>
        <w:spacing w:before="1"/>
        <w:ind w:left="119" w:right="155"/>
        <w:jc w:val="both"/>
      </w:pPr>
      <w:r>
        <w:rPr/>
        <w:t>All HOME applications must include financial statements from all underlying owners and guarantors. Developers must have a net worth equal to 10% of the total development cost with net liquid assets equal to 3% of the total development cost.</w:t>
      </w:r>
    </w:p>
    <w:p>
      <w:pPr>
        <w:pStyle w:val="BodyText"/>
        <w:ind w:left="119" w:right="159"/>
        <w:jc w:val="both"/>
      </w:pPr>
      <w:r>
        <w:rPr/>
        <w:t>Applicant must provide the amounts and terms for any other financing being provided to the </w:t>
      </w:r>
      <w:r>
        <w:rPr>
          <w:spacing w:val="-2"/>
        </w:rPr>
        <w:t>project.</w:t>
      </w:r>
    </w:p>
    <w:p>
      <w:pPr>
        <w:pStyle w:val="BodyText"/>
        <w:spacing w:before="10"/>
        <w:rPr>
          <w:sz w:val="21"/>
        </w:rPr>
      </w:pPr>
    </w:p>
    <w:p>
      <w:pPr>
        <w:pStyle w:val="BodyText"/>
        <w:ind w:left="119"/>
        <w:jc w:val="both"/>
      </w:pPr>
      <w:r>
        <w:rPr/>
        <w:t>Proforma</w:t>
      </w:r>
      <w:r>
        <w:rPr>
          <w:spacing w:val="-6"/>
        </w:rPr>
        <w:t> </w:t>
      </w:r>
      <w:r>
        <w:rPr>
          <w:spacing w:val="-2"/>
        </w:rPr>
        <w:t>Requirements</w:t>
      </w:r>
    </w:p>
    <w:p>
      <w:pPr>
        <w:pStyle w:val="BodyText"/>
        <w:spacing w:before="2"/>
        <w:ind w:left="119"/>
        <w:jc w:val="both"/>
      </w:pPr>
      <w:r>
        <w:rPr/>
        <w:t>The</w:t>
      </w:r>
      <w:r>
        <w:rPr>
          <w:spacing w:val="-6"/>
        </w:rPr>
        <w:t> </w:t>
      </w:r>
      <w:r>
        <w:rPr/>
        <w:t>proforma</w:t>
      </w:r>
      <w:r>
        <w:rPr>
          <w:spacing w:val="-7"/>
        </w:rPr>
        <w:t> </w:t>
      </w:r>
      <w:r>
        <w:rPr/>
        <w:t>must</w:t>
      </w:r>
      <w:r>
        <w:rPr>
          <w:spacing w:val="-4"/>
        </w:rPr>
        <w:t> </w:t>
      </w:r>
      <w:r>
        <w:rPr/>
        <w:t>explicitly</w:t>
      </w:r>
      <w:r>
        <w:rPr>
          <w:spacing w:val="-5"/>
        </w:rPr>
        <w:t> </w:t>
      </w:r>
      <w:r>
        <w:rPr>
          <w:spacing w:val="-4"/>
        </w:rPr>
        <w:t>show:</w:t>
      </w:r>
    </w:p>
    <w:p>
      <w:pPr>
        <w:spacing w:after="0"/>
        <w:jc w:val="both"/>
        <w:sectPr>
          <w:pgSz w:w="12240" w:h="15840"/>
          <w:pgMar w:header="0" w:footer="1176" w:top="1360" w:bottom="1420" w:left="1320" w:right="1280"/>
        </w:sectPr>
      </w:pPr>
    </w:p>
    <w:p>
      <w:pPr>
        <w:pStyle w:val="ListParagraph"/>
        <w:numPr>
          <w:ilvl w:val="0"/>
          <w:numId w:val="28"/>
        </w:numPr>
        <w:tabs>
          <w:tab w:pos="841" w:val="left" w:leader="none"/>
        </w:tabs>
        <w:spacing w:line="237" w:lineRule="auto" w:before="84" w:after="0"/>
        <w:ind w:left="840" w:right="161" w:hanging="361"/>
        <w:jc w:val="both"/>
        <w:rPr>
          <w:sz w:val="22"/>
        </w:rPr>
      </w:pPr>
      <w:r>
        <w:rPr>
          <w:sz w:val="22"/>
        </w:rPr>
        <w:t>An itemized breakdown of development hard and soft costs by unit including any allowances for soft costs such as architectural fees, carrying costs, etc.</w:t>
      </w:r>
    </w:p>
    <w:p>
      <w:pPr>
        <w:pStyle w:val="ListParagraph"/>
        <w:numPr>
          <w:ilvl w:val="0"/>
          <w:numId w:val="28"/>
        </w:numPr>
        <w:tabs>
          <w:tab w:pos="841" w:val="left" w:leader="none"/>
        </w:tabs>
        <w:spacing w:line="240" w:lineRule="auto" w:before="1" w:after="0"/>
        <w:ind w:left="840" w:right="154" w:hanging="361"/>
        <w:jc w:val="both"/>
        <w:rPr>
          <w:sz w:val="22"/>
        </w:rPr>
      </w:pPr>
      <w:r>
        <w:rPr>
          <w:sz w:val="22"/>
        </w:rPr>
        <w:t>The hard costs of any stand-alone accessory buildings, including free-standing garages, carports,</w:t>
      </w:r>
      <w:r>
        <w:rPr>
          <w:spacing w:val="-16"/>
          <w:sz w:val="22"/>
        </w:rPr>
        <w:t> </w:t>
      </w:r>
      <w:r>
        <w:rPr>
          <w:sz w:val="22"/>
        </w:rPr>
        <w:t>or</w:t>
      </w:r>
      <w:r>
        <w:rPr>
          <w:spacing w:val="-15"/>
          <w:sz w:val="22"/>
        </w:rPr>
        <w:t> </w:t>
      </w:r>
      <w:r>
        <w:rPr>
          <w:sz w:val="22"/>
        </w:rPr>
        <w:t>storage</w:t>
      </w:r>
      <w:r>
        <w:rPr>
          <w:spacing w:val="-15"/>
          <w:sz w:val="22"/>
        </w:rPr>
        <w:t> </w:t>
      </w:r>
      <w:r>
        <w:rPr>
          <w:sz w:val="22"/>
        </w:rPr>
        <w:t>structures</w:t>
      </w:r>
      <w:r>
        <w:rPr>
          <w:spacing w:val="-16"/>
          <w:sz w:val="22"/>
        </w:rPr>
        <w:t> </w:t>
      </w:r>
      <w:r>
        <w:rPr>
          <w:sz w:val="22"/>
        </w:rPr>
        <w:t>should</w:t>
      </w:r>
      <w:r>
        <w:rPr>
          <w:spacing w:val="-15"/>
          <w:sz w:val="22"/>
        </w:rPr>
        <w:t> </w:t>
      </w:r>
      <w:r>
        <w:rPr>
          <w:sz w:val="22"/>
        </w:rPr>
        <w:t>be</w:t>
      </w:r>
      <w:r>
        <w:rPr>
          <w:spacing w:val="-15"/>
          <w:sz w:val="22"/>
        </w:rPr>
        <w:t> </w:t>
      </w:r>
      <w:r>
        <w:rPr>
          <w:sz w:val="22"/>
        </w:rPr>
        <w:t>specifically</w:t>
      </w:r>
      <w:r>
        <w:rPr>
          <w:spacing w:val="-15"/>
          <w:sz w:val="22"/>
        </w:rPr>
        <w:t> </w:t>
      </w:r>
      <w:r>
        <w:rPr>
          <w:sz w:val="22"/>
        </w:rPr>
        <w:t>itemized</w:t>
      </w:r>
      <w:r>
        <w:rPr>
          <w:spacing w:val="-16"/>
          <w:sz w:val="22"/>
        </w:rPr>
        <w:t> </w:t>
      </w:r>
      <w:r>
        <w:rPr>
          <w:sz w:val="22"/>
        </w:rPr>
        <w:t>in</w:t>
      </w:r>
      <w:r>
        <w:rPr>
          <w:spacing w:val="-15"/>
          <w:sz w:val="22"/>
        </w:rPr>
        <w:t> </w:t>
      </w:r>
      <w:r>
        <w:rPr>
          <w:sz w:val="22"/>
        </w:rPr>
        <w:t>the</w:t>
      </w:r>
      <w:r>
        <w:rPr>
          <w:spacing w:val="-15"/>
          <w:sz w:val="22"/>
        </w:rPr>
        <w:t> </w:t>
      </w:r>
      <w:r>
        <w:rPr>
          <w:sz w:val="22"/>
        </w:rPr>
        <w:t>Development</w:t>
      </w:r>
      <w:r>
        <w:rPr>
          <w:spacing w:val="-16"/>
          <w:sz w:val="22"/>
        </w:rPr>
        <w:t> </w:t>
      </w:r>
      <w:r>
        <w:rPr>
          <w:sz w:val="22"/>
        </w:rPr>
        <w:t>Sources and Uses so that the City of Dallas can complete preliminary HOME cost allocation calculations. (Stand-alone accessory structures like a detached garage may be included in</w:t>
      </w:r>
      <w:r>
        <w:rPr>
          <w:spacing w:val="-16"/>
          <w:sz w:val="22"/>
        </w:rPr>
        <w:t> </w:t>
      </w:r>
      <w:r>
        <w:rPr>
          <w:sz w:val="22"/>
        </w:rPr>
        <w:t>the</w:t>
      </w:r>
      <w:r>
        <w:rPr>
          <w:spacing w:val="-15"/>
          <w:sz w:val="22"/>
        </w:rPr>
        <w:t> </w:t>
      </w:r>
      <w:r>
        <w:rPr>
          <w:sz w:val="22"/>
        </w:rPr>
        <w:t>project</w:t>
      </w:r>
      <w:r>
        <w:rPr>
          <w:spacing w:val="-12"/>
          <w:sz w:val="22"/>
        </w:rPr>
        <w:t> </w:t>
      </w:r>
      <w:r>
        <w:rPr>
          <w:sz w:val="22"/>
        </w:rPr>
        <w:t>but</w:t>
      </w:r>
      <w:r>
        <w:rPr>
          <w:spacing w:val="-12"/>
          <w:sz w:val="22"/>
        </w:rPr>
        <w:t> </w:t>
      </w:r>
      <w:r>
        <w:rPr>
          <w:sz w:val="22"/>
        </w:rPr>
        <w:t>are</w:t>
      </w:r>
      <w:r>
        <w:rPr>
          <w:spacing w:val="-14"/>
          <w:sz w:val="22"/>
        </w:rPr>
        <w:t> </w:t>
      </w:r>
      <w:r>
        <w:rPr>
          <w:sz w:val="22"/>
        </w:rPr>
        <w:t>not</w:t>
      </w:r>
      <w:r>
        <w:rPr>
          <w:spacing w:val="-15"/>
          <w:sz w:val="22"/>
        </w:rPr>
        <w:t> </w:t>
      </w:r>
      <w:r>
        <w:rPr>
          <w:sz w:val="22"/>
        </w:rPr>
        <w:t>HOME-eligible</w:t>
      </w:r>
      <w:r>
        <w:rPr>
          <w:spacing w:val="-14"/>
          <w:sz w:val="22"/>
        </w:rPr>
        <w:t> </w:t>
      </w:r>
      <w:r>
        <w:rPr>
          <w:sz w:val="22"/>
        </w:rPr>
        <w:t>and</w:t>
      </w:r>
      <w:r>
        <w:rPr>
          <w:spacing w:val="-16"/>
          <w:sz w:val="22"/>
        </w:rPr>
        <w:t> </w:t>
      </w:r>
      <w:r>
        <w:rPr>
          <w:sz w:val="22"/>
        </w:rPr>
        <w:t>must</w:t>
      </w:r>
      <w:r>
        <w:rPr>
          <w:spacing w:val="-15"/>
          <w:sz w:val="22"/>
        </w:rPr>
        <w:t> </w:t>
      </w:r>
      <w:r>
        <w:rPr>
          <w:sz w:val="22"/>
        </w:rPr>
        <w:t>be</w:t>
      </w:r>
      <w:r>
        <w:rPr>
          <w:spacing w:val="-14"/>
          <w:sz w:val="22"/>
        </w:rPr>
        <w:t> </w:t>
      </w:r>
      <w:r>
        <w:rPr>
          <w:sz w:val="22"/>
        </w:rPr>
        <w:t>paid</w:t>
      </w:r>
      <w:r>
        <w:rPr>
          <w:spacing w:val="-14"/>
          <w:sz w:val="22"/>
        </w:rPr>
        <w:t> </w:t>
      </w:r>
      <w:r>
        <w:rPr>
          <w:sz w:val="22"/>
        </w:rPr>
        <w:t>for</w:t>
      </w:r>
      <w:r>
        <w:rPr>
          <w:spacing w:val="-12"/>
          <w:sz w:val="22"/>
        </w:rPr>
        <w:t> </w:t>
      </w:r>
      <w:r>
        <w:rPr>
          <w:sz w:val="22"/>
        </w:rPr>
        <w:t>with</w:t>
      </w:r>
      <w:r>
        <w:rPr>
          <w:spacing w:val="-16"/>
          <w:sz w:val="22"/>
        </w:rPr>
        <w:t> </w:t>
      </w:r>
      <w:r>
        <w:rPr>
          <w:sz w:val="22"/>
        </w:rPr>
        <w:t>another</w:t>
      </w:r>
      <w:r>
        <w:rPr>
          <w:spacing w:val="-15"/>
          <w:sz w:val="22"/>
        </w:rPr>
        <w:t> </w:t>
      </w:r>
      <w:r>
        <w:rPr>
          <w:sz w:val="22"/>
        </w:rPr>
        <w:t>funding</w:t>
      </w:r>
      <w:r>
        <w:rPr>
          <w:spacing w:val="-14"/>
          <w:sz w:val="22"/>
        </w:rPr>
        <w:t> </w:t>
      </w:r>
      <w:r>
        <w:rPr>
          <w:sz w:val="22"/>
        </w:rPr>
        <w:t>source.)</w:t>
      </w:r>
    </w:p>
    <w:p>
      <w:pPr>
        <w:pStyle w:val="ListParagraph"/>
        <w:numPr>
          <w:ilvl w:val="0"/>
          <w:numId w:val="28"/>
        </w:numPr>
        <w:tabs>
          <w:tab w:pos="841" w:val="left" w:leader="none"/>
        </w:tabs>
        <w:spacing w:line="240" w:lineRule="auto" w:before="0" w:after="0"/>
        <w:ind w:left="840" w:right="154" w:hanging="360"/>
        <w:jc w:val="both"/>
        <w:rPr>
          <w:sz w:val="22"/>
        </w:rPr>
      </w:pPr>
      <w:r>
        <w:rPr/>
        <w:pict>
          <v:shape style="position:absolute;margin-left:90.065002pt;margin-top:24.388828pt;width:395.3pt;height:419pt;mso-position-horizontal-relative:page;mso-position-vertical-relative:paragraph;z-index:-17682432" id="docshape122" coordorigin="1801,488" coordsize="7906,8380" path="m4498,7751l4492,7678,4477,7600,4455,7517,4432,7448,4403,7376,4367,7301,4325,7223,4276,7142,4237,7083,4200,7033,4200,7718,4197,7775,4186,7831,4167,7889,4138,7948,4097,8011,4044,8077,3979,8147,3674,8452,2216,6994,2517,6694,2598,6617,2672,6558,2740,6514,2801,6488,2868,6473,2941,6469,3020,6476,3105,6494,3195,6523,3255,6548,3317,6581,3380,6619,3446,6664,3514,6716,3584,6774,3656,6839,3729,6910,3789,6972,3845,7032,3896,7091,3943,7149,3986,7205,4025,7260,4059,7314,4101,7389,4136,7461,4163,7531,4183,7598,4196,7662,4200,7718,4200,7033,4194,7024,4148,6964,4098,6903,4045,6842,3989,6781,3929,6719,3865,6657,3801,6598,3737,6543,3673,6492,3643,6469,3609,6444,3546,6399,3482,6358,3419,6320,3346,6282,3274,6250,3203,6223,3132,6201,3062,6184,2992,6172,2923,6165,2850,6163,2779,6170,2709,6185,2642,6208,2577,6238,2528,6266,2476,6303,2420,6349,2359,6403,2294,6466,1801,6959,3710,8867,4124,8452,4226,8350,4287,8285,4341,8220,4386,8154,4424,8087,4454,8021,4476,7954,4491,7888,4498,7820,4498,7751xm6418,6158l6056,6031,5650,5888,5561,5859,5475,5835,5393,5816,5365,5810,5314,5801,5239,5791,5193,5790,5143,5793,5089,5800,5030,5810,5073,5741,5109,5671,5136,5602,5154,5533,5164,5465,5165,5396,5157,5329,5139,5251,5111,5174,5075,5100,5030,5027,4976,4957,4956,4934,4913,4888,4872,4850,4872,5407,4868,5463,4854,5518,4830,5574,4794,5632,4747,5693,4687,5757,4280,6164,3649,5533,4102,5080,4166,5023,4229,4980,4293,4950,4358,4935,4422,4934,4501,4949,4577,4979,4649,5023,4718,5083,4761,5131,4797,5181,4827,5235,4851,5292,4867,5350,4872,5407,4872,4850,4849,4828,4782,4776,4713,4730,4641,4692,4566,4660,4474,4631,4386,4619,4303,4621,4225,4637,4163,4662,4098,4698,4030,4746,3958,4806,3883,4877,3248,5512,5157,7420,5346,7230,4499,6383,4718,6164,4753,6130,4783,6102,4810,6081,4833,6067,4863,6053,4896,6042,4932,6035,4971,6031,5014,6031,5066,6036,5125,6046,5194,6063,5256,6080,5328,6101,5407,6126,5496,6155,6180,6396,6418,6158xm7780,4796l7415,4601,6555,4147,6555,4454,6070,4939,6030,4868,5989,4796,5748,4365,5708,4294,5668,4222,5629,4157,5590,4092,5550,4028,5509,3965,5467,3903,5424,3841,5380,3781,5436,3816,5498,3854,5564,3894,5635,3936,5792,4026,6555,4454,6555,4147,5862,3781,5286,3474,5082,3678,5277,4028,5316,4098,5701,4796,6207,5715,6441,6136,6642,5935,6565,5801,6298,5333,6221,5199,6481,4939,6820,4601,7173,4796,7565,5012,7780,4796xm8131,4446l7264,3579,7936,2907,7711,2682,7039,3353,6448,2763,7224,1986,6999,1761,6033,2727,7941,4635,8131,4446xm9707,2870l8024,1187,8497,713,8272,488,7138,1622,7363,1848,7834,1376,9517,3059,9707,2870xe" filled="true" fillcolor="#c0c0c0" stroked="false">
            <v:path arrowok="t"/>
            <v:fill opacity="32896f" type="solid"/>
            <w10:wrap type="none"/>
          </v:shape>
        </w:pict>
      </w:r>
      <w:r>
        <w:rPr>
          <w:sz w:val="22"/>
        </w:rPr>
        <w:t>Costs and fees to be paid to the City of Dallas as permitted by the HOME program. The HOME</w:t>
      </w:r>
      <w:r>
        <w:rPr>
          <w:spacing w:val="-8"/>
          <w:sz w:val="22"/>
        </w:rPr>
        <w:t> </w:t>
      </w:r>
      <w:r>
        <w:rPr>
          <w:sz w:val="22"/>
        </w:rPr>
        <w:t>program</w:t>
      </w:r>
      <w:r>
        <w:rPr>
          <w:spacing w:val="-6"/>
          <w:sz w:val="22"/>
        </w:rPr>
        <w:t> </w:t>
      </w:r>
      <w:r>
        <w:rPr>
          <w:sz w:val="22"/>
        </w:rPr>
        <w:t>allows</w:t>
      </w:r>
      <w:r>
        <w:rPr>
          <w:spacing w:val="-7"/>
          <w:sz w:val="22"/>
        </w:rPr>
        <w:t> </w:t>
      </w:r>
      <w:r>
        <w:rPr>
          <w:sz w:val="22"/>
        </w:rPr>
        <w:t>the</w:t>
      </w:r>
      <w:r>
        <w:rPr>
          <w:spacing w:val="-7"/>
          <w:sz w:val="22"/>
        </w:rPr>
        <w:t> </w:t>
      </w:r>
      <w:r>
        <w:rPr>
          <w:sz w:val="22"/>
        </w:rPr>
        <w:t>City</w:t>
      </w:r>
      <w:r>
        <w:rPr>
          <w:spacing w:val="-7"/>
          <w:sz w:val="22"/>
        </w:rPr>
        <w:t> </w:t>
      </w:r>
      <w:r>
        <w:rPr>
          <w:sz w:val="22"/>
        </w:rPr>
        <w:t>of</w:t>
      </w:r>
      <w:r>
        <w:rPr>
          <w:spacing w:val="-8"/>
          <w:sz w:val="22"/>
        </w:rPr>
        <w:t> </w:t>
      </w:r>
      <w:r>
        <w:rPr>
          <w:sz w:val="22"/>
        </w:rPr>
        <w:t>Dallas</w:t>
      </w:r>
      <w:r>
        <w:rPr>
          <w:spacing w:val="-7"/>
          <w:sz w:val="22"/>
        </w:rPr>
        <w:t> </w:t>
      </w:r>
      <w:r>
        <w:rPr>
          <w:sz w:val="22"/>
        </w:rPr>
        <w:t>to</w:t>
      </w:r>
      <w:r>
        <w:rPr>
          <w:spacing w:val="-7"/>
          <w:sz w:val="22"/>
        </w:rPr>
        <w:t> </w:t>
      </w:r>
      <w:r>
        <w:rPr>
          <w:sz w:val="22"/>
        </w:rPr>
        <w:t>include,</w:t>
      </w:r>
      <w:r>
        <w:rPr>
          <w:spacing w:val="-6"/>
          <w:sz w:val="22"/>
        </w:rPr>
        <w:t> </w:t>
      </w:r>
      <w:r>
        <w:rPr>
          <w:sz w:val="22"/>
        </w:rPr>
        <w:t>as</w:t>
      </w:r>
      <w:r>
        <w:rPr>
          <w:spacing w:val="-7"/>
          <w:sz w:val="22"/>
        </w:rPr>
        <w:t> </w:t>
      </w:r>
      <w:r>
        <w:rPr>
          <w:sz w:val="22"/>
        </w:rPr>
        <w:t>project</w:t>
      </w:r>
      <w:r>
        <w:rPr>
          <w:spacing w:val="-8"/>
          <w:sz w:val="22"/>
        </w:rPr>
        <w:t> </w:t>
      </w:r>
      <w:r>
        <w:rPr>
          <w:sz w:val="22"/>
        </w:rPr>
        <w:t>costs,</w:t>
      </w:r>
      <w:r>
        <w:rPr>
          <w:spacing w:val="-8"/>
          <w:sz w:val="22"/>
        </w:rPr>
        <w:t> </w:t>
      </w:r>
      <w:r>
        <w:rPr>
          <w:sz w:val="22"/>
        </w:rPr>
        <w:t>its</w:t>
      </w:r>
      <w:r>
        <w:rPr>
          <w:spacing w:val="-7"/>
          <w:sz w:val="22"/>
        </w:rPr>
        <w:t> </w:t>
      </w:r>
      <w:r>
        <w:rPr>
          <w:sz w:val="22"/>
        </w:rPr>
        <w:t>internal</w:t>
      </w:r>
      <w:r>
        <w:rPr>
          <w:spacing w:val="-8"/>
          <w:sz w:val="22"/>
        </w:rPr>
        <w:t> </w:t>
      </w:r>
      <w:r>
        <w:rPr>
          <w:sz w:val="22"/>
        </w:rPr>
        <w:t>soft</w:t>
      </w:r>
      <w:r>
        <w:rPr>
          <w:spacing w:val="-6"/>
          <w:sz w:val="22"/>
        </w:rPr>
        <w:t> </w:t>
      </w:r>
      <w:r>
        <w:rPr>
          <w:sz w:val="22"/>
        </w:rPr>
        <w:t>costs specifically</w:t>
      </w:r>
      <w:r>
        <w:rPr>
          <w:spacing w:val="-14"/>
          <w:sz w:val="22"/>
        </w:rPr>
        <w:t> </w:t>
      </w:r>
      <w:r>
        <w:rPr>
          <w:sz w:val="22"/>
        </w:rPr>
        <w:t>attributable</w:t>
      </w:r>
      <w:r>
        <w:rPr>
          <w:spacing w:val="-16"/>
          <w:sz w:val="22"/>
        </w:rPr>
        <w:t> </w:t>
      </w:r>
      <w:r>
        <w:rPr>
          <w:sz w:val="22"/>
        </w:rPr>
        <w:t>to</w:t>
      </w:r>
      <w:r>
        <w:rPr>
          <w:spacing w:val="-15"/>
          <w:sz w:val="22"/>
        </w:rPr>
        <w:t> </w:t>
      </w:r>
      <w:r>
        <w:rPr>
          <w:sz w:val="22"/>
        </w:rPr>
        <w:t>the</w:t>
      </w:r>
      <w:r>
        <w:rPr>
          <w:spacing w:val="-15"/>
          <w:sz w:val="22"/>
        </w:rPr>
        <w:t> </w:t>
      </w:r>
      <w:r>
        <w:rPr>
          <w:sz w:val="22"/>
        </w:rPr>
        <w:t>project.</w:t>
      </w:r>
      <w:r>
        <w:rPr>
          <w:spacing w:val="-12"/>
          <w:sz w:val="22"/>
        </w:rPr>
        <w:t> </w:t>
      </w:r>
      <w:r>
        <w:rPr>
          <w:sz w:val="22"/>
        </w:rPr>
        <w:t>These</w:t>
      </w:r>
      <w:r>
        <w:rPr>
          <w:spacing w:val="-16"/>
          <w:sz w:val="22"/>
        </w:rPr>
        <w:t> </w:t>
      </w:r>
      <w:r>
        <w:rPr>
          <w:sz w:val="22"/>
        </w:rPr>
        <w:t>may</w:t>
      </w:r>
      <w:r>
        <w:rPr>
          <w:spacing w:val="-14"/>
          <w:sz w:val="22"/>
        </w:rPr>
        <w:t> </w:t>
      </w:r>
      <w:r>
        <w:rPr>
          <w:sz w:val="22"/>
        </w:rPr>
        <w:t>include</w:t>
      </w:r>
      <w:r>
        <w:rPr>
          <w:spacing w:val="-13"/>
          <w:sz w:val="22"/>
        </w:rPr>
        <w:t> </w:t>
      </w:r>
      <w:r>
        <w:rPr>
          <w:sz w:val="22"/>
        </w:rPr>
        <w:t>consulting,</w:t>
      </w:r>
      <w:r>
        <w:rPr>
          <w:spacing w:val="-12"/>
          <w:sz w:val="22"/>
        </w:rPr>
        <w:t> </w:t>
      </w:r>
      <w:r>
        <w:rPr>
          <w:sz w:val="22"/>
        </w:rPr>
        <w:t>legal,</w:t>
      </w:r>
      <w:r>
        <w:rPr>
          <w:spacing w:val="-14"/>
          <w:sz w:val="22"/>
        </w:rPr>
        <w:t> </w:t>
      </w:r>
      <w:r>
        <w:rPr>
          <w:sz w:val="22"/>
        </w:rPr>
        <w:t>inspection,</w:t>
      </w:r>
      <w:r>
        <w:rPr>
          <w:spacing w:val="-14"/>
          <w:sz w:val="22"/>
        </w:rPr>
        <w:t> </w:t>
      </w:r>
      <w:r>
        <w:rPr>
          <w:sz w:val="22"/>
        </w:rPr>
        <w:t>and staff costs associated with reviewing, processing, and monitoring award of funds to a project. The City of Dallas will notify Developers of the amounts to include in their Development Sources and Uses for City of Dallas-Lender Due Diligence &amp; Legal Costs.</w:t>
      </w:r>
    </w:p>
    <w:p>
      <w:pPr>
        <w:pStyle w:val="ListParagraph"/>
        <w:numPr>
          <w:ilvl w:val="0"/>
          <w:numId w:val="28"/>
        </w:numPr>
        <w:tabs>
          <w:tab w:pos="841" w:val="left" w:leader="none"/>
        </w:tabs>
        <w:spacing w:line="240" w:lineRule="auto" w:before="0" w:after="0"/>
        <w:ind w:left="840" w:right="155" w:hanging="361"/>
        <w:jc w:val="both"/>
        <w:rPr>
          <w:sz w:val="22"/>
        </w:rPr>
      </w:pPr>
      <w:r>
        <w:rPr>
          <w:sz w:val="22"/>
        </w:rPr>
        <w:t>Estimates</w:t>
      </w:r>
      <w:r>
        <w:rPr>
          <w:spacing w:val="-2"/>
          <w:sz w:val="22"/>
        </w:rPr>
        <w:t> </w:t>
      </w:r>
      <w:r>
        <w:rPr>
          <w:sz w:val="22"/>
        </w:rPr>
        <w:t>of</w:t>
      </w:r>
      <w:r>
        <w:rPr>
          <w:spacing w:val="-4"/>
          <w:sz w:val="22"/>
        </w:rPr>
        <w:t> </w:t>
      </w:r>
      <w:r>
        <w:rPr>
          <w:sz w:val="22"/>
        </w:rPr>
        <w:t>the</w:t>
      </w:r>
      <w:r>
        <w:rPr>
          <w:spacing w:val="-5"/>
          <w:sz w:val="22"/>
        </w:rPr>
        <w:t> </w:t>
      </w:r>
      <w:r>
        <w:rPr>
          <w:sz w:val="22"/>
        </w:rPr>
        <w:t>sales</w:t>
      </w:r>
      <w:r>
        <w:rPr>
          <w:spacing w:val="-5"/>
          <w:sz w:val="22"/>
        </w:rPr>
        <w:t> </w:t>
      </w:r>
      <w:r>
        <w:rPr>
          <w:sz w:val="22"/>
        </w:rPr>
        <w:t>transaction</w:t>
      </w:r>
      <w:r>
        <w:rPr>
          <w:spacing w:val="-3"/>
          <w:sz w:val="22"/>
        </w:rPr>
        <w:t> </w:t>
      </w:r>
      <w:r>
        <w:rPr>
          <w:sz w:val="22"/>
        </w:rPr>
        <w:t>to</w:t>
      </w:r>
      <w:r>
        <w:rPr>
          <w:spacing w:val="-5"/>
          <w:sz w:val="22"/>
        </w:rPr>
        <w:t> </w:t>
      </w:r>
      <w:r>
        <w:rPr>
          <w:sz w:val="22"/>
        </w:rPr>
        <w:t>an</w:t>
      </w:r>
      <w:r>
        <w:rPr>
          <w:spacing w:val="-3"/>
          <w:sz w:val="22"/>
        </w:rPr>
        <w:t> </w:t>
      </w:r>
      <w:r>
        <w:rPr>
          <w:sz w:val="22"/>
        </w:rPr>
        <w:t>eligible</w:t>
      </w:r>
      <w:r>
        <w:rPr>
          <w:spacing w:val="-3"/>
          <w:sz w:val="22"/>
        </w:rPr>
        <w:t> </w:t>
      </w:r>
      <w:r>
        <w:rPr>
          <w:sz w:val="22"/>
        </w:rPr>
        <w:t>homebuyer,</w:t>
      </w:r>
      <w:r>
        <w:rPr>
          <w:spacing w:val="-1"/>
          <w:sz w:val="22"/>
        </w:rPr>
        <w:t> </w:t>
      </w:r>
      <w:r>
        <w:rPr>
          <w:sz w:val="22"/>
        </w:rPr>
        <w:t>including</w:t>
      </w:r>
      <w:r>
        <w:rPr>
          <w:spacing w:val="-3"/>
          <w:sz w:val="22"/>
        </w:rPr>
        <w:t> </w:t>
      </w:r>
      <w:r>
        <w:rPr>
          <w:sz w:val="22"/>
        </w:rPr>
        <w:t>a</w:t>
      </w:r>
      <w:r>
        <w:rPr>
          <w:spacing w:val="-3"/>
          <w:sz w:val="22"/>
        </w:rPr>
        <w:t> </w:t>
      </w:r>
      <w:r>
        <w:rPr>
          <w:sz w:val="22"/>
        </w:rPr>
        <w:t>calculation</w:t>
      </w:r>
      <w:r>
        <w:rPr>
          <w:spacing w:val="-3"/>
          <w:sz w:val="22"/>
        </w:rPr>
        <w:t> </w:t>
      </w:r>
      <w:r>
        <w:rPr>
          <w:sz w:val="22"/>
        </w:rPr>
        <w:t>of</w:t>
      </w:r>
      <w:r>
        <w:rPr>
          <w:spacing w:val="-1"/>
          <w:sz w:val="22"/>
        </w:rPr>
        <w:t> </w:t>
      </w:r>
      <w:r>
        <w:rPr>
          <w:sz w:val="22"/>
        </w:rPr>
        <w:t>the proposed</w:t>
      </w:r>
      <w:r>
        <w:rPr>
          <w:spacing w:val="-9"/>
          <w:sz w:val="22"/>
        </w:rPr>
        <w:t> </w:t>
      </w:r>
      <w:r>
        <w:rPr>
          <w:sz w:val="22"/>
        </w:rPr>
        <w:t>buyer’s</w:t>
      </w:r>
      <w:r>
        <w:rPr>
          <w:spacing w:val="-8"/>
          <w:sz w:val="22"/>
        </w:rPr>
        <w:t> </w:t>
      </w:r>
      <w:r>
        <w:rPr>
          <w:sz w:val="22"/>
        </w:rPr>
        <w:t>ability</w:t>
      </w:r>
      <w:r>
        <w:rPr>
          <w:spacing w:val="-11"/>
          <w:sz w:val="22"/>
        </w:rPr>
        <w:t> </w:t>
      </w:r>
      <w:r>
        <w:rPr>
          <w:sz w:val="22"/>
        </w:rPr>
        <w:t>to</w:t>
      </w:r>
      <w:r>
        <w:rPr>
          <w:spacing w:val="-9"/>
          <w:sz w:val="22"/>
        </w:rPr>
        <w:t> </w:t>
      </w:r>
      <w:r>
        <w:rPr>
          <w:sz w:val="22"/>
        </w:rPr>
        <w:t>qualify</w:t>
      </w:r>
      <w:r>
        <w:rPr>
          <w:spacing w:val="-8"/>
          <w:sz w:val="22"/>
        </w:rPr>
        <w:t> </w:t>
      </w:r>
      <w:r>
        <w:rPr>
          <w:sz w:val="22"/>
        </w:rPr>
        <w:t>for</w:t>
      </w:r>
      <w:r>
        <w:rPr>
          <w:spacing w:val="-8"/>
          <w:sz w:val="22"/>
        </w:rPr>
        <w:t> </w:t>
      </w:r>
      <w:r>
        <w:rPr>
          <w:sz w:val="22"/>
        </w:rPr>
        <w:t>a</w:t>
      </w:r>
      <w:r>
        <w:rPr>
          <w:spacing w:val="-11"/>
          <w:sz w:val="22"/>
        </w:rPr>
        <w:t> </w:t>
      </w:r>
      <w:r>
        <w:rPr>
          <w:sz w:val="22"/>
        </w:rPr>
        <w:t>mortgage</w:t>
      </w:r>
      <w:r>
        <w:rPr>
          <w:spacing w:val="-11"/>
          <w:sz w:val="22"/>
        </w:rPr>
        <w:t> </w:t>
      </w:r>
      <w:r>
        <w:rPr>
          <w:sz w:val="22"/>
        </w:rPr>
        <w:t>meeting</w:t>
      </w:r>
      <w:r>
        <w:rPr>
          <w:spacing w:val="-9"/>
          <w:sz w:val="22"/>
        </w:rPr>
        <w:t> </w:t>
      </w:r>
      <w:r>
        <w:rPr>
          <w:sz w:val="22"/>
        </w:rPr>
        <w:t>City</w:t>
      </w:r>
      <w:r>
        <w:rPr>
          <w:spacing w:val="-8"/>
          <w:sz w:val="22"/>
        </w:rPr>
        <w:t> </w:t>
      </w:r>
      <w:r>
        <w:rPr>
          <w:sz w:val="22"/>
        </w:rPr>
        <w:t>of</w:t>
      </w:r>
      <w:r>
        <w:rPr>
          <w:spacing w:val="-7"/>
          <w:sz w:val="22"/>
        </w:rPr>
        <w:t> </w:t>
      </w:r>
      <w:r>
        <w:rPr>
          <w:sz w:val="22"/>
        </w:rPr>
        <w:t>Dallas</w:t>
      </w:r>
      <w:r>
        <w:rPr>
          <w:spacing w:val="-8"/>
          <w:sz w:val="22"/>
        </w:rPr>
        <w:t> </w:t>
      </w:r>
      <w:r>
        <w:rPr>
          <w:sz w:val="22"/>
        </w:rPr>
        <w:t>requirements,</w:t>
      </w:r>
      <w:r>
        <w:rPr>
          <w:spacing w:val="-10"/>
          <w:sz w:val="22"/>
        </w:rPr>
        <w:t> </w:t>
      </w:r>
      <w:r>
        <w:rPr>
          <w:sz w:val="22"/>
        </w:rPr>
        <w:t>the anticipated</w:t>
      </w:r>
      <w:r>
        <w:rPr>
          <w:spacing w:val="-7"/>
          <w:sz w:val="22"/>
        </w:rPr>
        <w:t> </w:t>
      </w:r>
      <w:r>
        <w:rPr>
          <w:sz w:val="22"/>
        </w:rPr>
        <w:t>need</w:t>
      </w:r>
      <w:r>
        <w:rPr>
          <w:spacing w:val="-10"/>
          <w:sz w:val="22"/>
        </w:rPr>
        <w:t> </w:t>
      </w:r>
      <w:r>
        <w:rPr>
          <w:sz w:val="22"/>
        </w:rPr>
        <w:t>to</w:t>
      </w:r>
      <w:r>
        <w:rPr>
          <w:spacing w:val="-7"/>
          <w:sz w:val="22"/>
        </w:rPr>
        <w:t> </w:t>
      </w:r>
      <w:r>
        <w:rPr>
          <w:sz w:val="22"/>
        </w:rPr>
        <w:t>provide</w:t>
      </w:r>
      <w:r>
        <w:rPr>
          <w:spacing w:val="-7"/>
          <w:sz w:val="22"/>
        </w:rPr>
        <w:t> </w:t>
      </w:r>
      <w:r>
        <w:rPr>
          <w:sz w:val="22"/>
        </w:rPr>
        <w:t>direct</w:t>
      </w:r>
      <w:r>
        <w:rPr>
          <w:spacing w:val="-8"/>
          <w:sz w:val="22"/>
        </w:rPr>
        <w:t> </w:t>
      </w:r>
      <w:r>
        <w:rPr>
          <w:sz w:val="22"/>
        </w:rPr>
        <w:t>HOME</w:t>
      </w:r>
      <w:r>
        <w:rPr>
          <w:spacing w:val="-8"/>
          <w:sz w:val="22"/>
        </w:rPr>
        <w:t> </w:t>
      </w:r>
      <w:r>
        <w:rPr>
          <w:sz w:val="22"/>
        </w:rPr>
        <w:t>assistance</w:t>
      </w:r>
      <w:r>
        <w:rPr>
          <w:spacing w:val="-7"/>
          <w:sz w:val="22"/>
        </w:rPr>
        <w:t> </w:t>
      </w:r>
      <w:r>
        <w:rPr>
          <w:sz w:val="22"/>
        </w:rPr>
        <w:t>(e.g.</w:t>
      </w:r>
      <w:r>
        <w:rPr>
          <w:spacing w:val="-8"/>
          <w:sz w:val="22"/>
        </w:rPr>
        <w:t> </w:t>
      </w:r>
      <w:r>
        <w:rPr>
          <w:sz w:val="22"/>
        </w:rPr>
        <w:t>down</w:t>
      </w:r>
      <w:r>
        <w:rPr>
          <w:spacing w:val="-7"/>
          <w:sz w:val="22"/>
        </w:rPr>
        <w:t> </w:t>
      </w:r>
      <w:r>
        <w:rPr>
          <w:sz w:val="22"/>
        </w:rPr>
        <w:t>payment</w:t>
      </w:r>
      <w:r>
        <w:rPr>
          <w:spacing w:val="-8"/>
          <w:sz w:val="22"/>
        </w:rPr>
        <w:t> </w:t>
      </w:r>
      <w:r>
        <w:rPr>
          <w:sz w:val="22"/>
        </w:rPr>
        <w:t>and</w:t>
      </w:r>
      <w:r>
        <w:rPr>
          <w:spacing w:val="-7"/>
          <w:sz w:val="22"/>
        </w:rPr>
        <w:t> </w:t>
      </w:r>
      <w:r>
        <w:rPr>
          <w:sz w:val="22"/>
        </w:rPr>
        <w:t>closing</w:t>
      </w:r>
      <w:r>
        <w:rPr>
          <w:spacing w:val="-7"/>
          <w:sz w:val="22"/>
        </w:rPr>
        <w:t> </w:t>
      </w:r>
      <w:r>
        <w:rPr>
          <w:sz w:val="22"/>
        </w:rPr>
        <w:t>cost assistance) to the buyer, projected sales costs (e.g. realtor’s commissions), and the distribution of sales proceeds (including toward repayment of private construction </w:t>
      </w:r>
      <w:r>
        <w:rPr>
          <w:spacing w:val="-2"/>
          <w:sz w:val="22"/>
        </w:rPr>
        <w:t>financing)</w:t>
      </w:r>
    </w:p>
    <w:p>
      <w:pPr>
        <w:pStyle w:val="BodyText"/>
        <w:spacing w:before="3"/>
        <w:rPr>
          <w:sz w:val="21"/>
        </w:rPr>
      </w:pPr>
    </w:p>
    <w:p>
      <w:pPr>
        <w:pStyle w:val="BodyText"/>
        <w:spacing w:line="252" w:lineRule="exact" w:before="1"/>
        <w:ind w:left="120"/>
        <w:jc w:val="both"/>
      </w:pPr>
      <w:r>
        <w:rPr/>
        <w:t>Cost</w:t>
      </w:r>
      <w:r>
        <w:rPr>
          <w:spacing w:val="-1"/>
        </w:rPr>
        <w:t> </w:t>
      </w:r>
      <w:r>
        <w:rPr>
          <w:spacing w:val="-2"/>
        </w:rPr>
        <w:t>Limitations</w:t>
      </w:r>
    </w:p>
    <w:p>
      <w:pPr>
        <w:pStyle w:val="BodyText"/>
        <w:ind w:left="120" w:right="156"/>
        <w:jc w:val="both"/>
      </w:pPr>
      <w:r>
        <w:rPr>
          <w:spacing w:val="-2"/>
        </w:rPr>
        <w:t>All</w:t>
      </w:r>
      <w:r>
        <w:rPr>
          <w:spacing w:val="-7"/>
        </w:rPr>
        <w:t> </w:t>
      </w:r>
      <w:r>
        <w:rPr>
          <w:spacing w:val="-2"/>
        </w:rPr>
        <w:t>project</w:t>
      </w:r>
      <w:r>
        <w:rPr>
          <w:spacing w:val="-7"/>
        </w:rPr>
        <w:t> </w:t>
      </w:r>
      <w:r>
        <w:rPr>
          <w:spacing w:val="-2"/>
        </w:rPr>
        <w:t>costs</w:t>
      </w:r>
      <w:r>
        <w:rPr>
          <w:spacing w:val="-10"/>
        </w:rPr>
        <w:t> </w:t>
      </w:r>
      <w:r>
        <w:rPr>
          <w:spacing w:val="-2"/>
        </w:rPr>
        <w:t>must</w:t>
      </w:r>
      <w:r>
        <w:rPr>
          <w:spacing w:val="-4"/>
        </w:rPr>
        <w:t> </w:t>
      </w:r>
      <w:r>
        <w:rPr>
          <w:spacing w:val="-2"/>
        </w:rPr>
        <w:t>be</w:t>
      </w:r>
      <w:r>
        <w:rPr>
          <w:spacing w:val="-11"/>
        </w:rPr>
        <w:t> </w:t>
      </w:r>
      <w:r>
        <w:rPr>
          <w:spacing w:val="-2"/>
        </w:rPr>
        <w:t>reasonable</w:t>
      </w:r>
      <w:r>
        <w:rPr>
          <w:spacing w:val="-5"/>
        </w:rPr>
        <w:t> </w:t>
      </w:r>
      <w:r>
        <w:rPr>
          <w:spacing w:val="-2"/>
        </w:rPr>
        <w:t>and</w:t>
      </w:r>
      <w:r>
        <w:rPr>
          <w:spacing w:val="-8"/>
        </w:rPr>
        <w:t> </w:t>
      </w:r>
      <w:r>
        <w:rPr>
          <w:spacing w:val="-2"/>
        </w:rPr>
        <w:t>customary. The</w:t>
      </w:r>
      <w:r>
        <w:rPr>
          <w:spacing w:val="-8"/>
        </w:rPr>
        <w:t> </w:t>
      </w:r>
      <w:r>
        <w:rPr>
          <w:spacing w:val="-2"/>
        </w:rPr>
        <w:t>City</w:t>
      </w:r>
      <w:r>
        <w:rPr>
          <w:spacing w:val="-8"/>
        </w:rPr>
        <w:t> </w:t>
      </w:r>
      <w:r>
        <w:rPr>
          <w:spacing w:val="-2"/>
        </w:rPr>
        <w:t>of</w:t>
      </w:r>
      <w:r>
        <w:rPr>
          <w:spacing w:val="-4"/>
        </w:rPr>
        <w:t> </w:t>
      </w:r>
      <w:r>
        <w:rPr>
          <w:spacing w:val="-2"/>
        </w:rPr>
        <w:t>Dallas</w:t>
      </w:r>
      <w:r>
        <w:rPr>
          <w:spacing w:val="-8"/>
        </w:rPr>
        <w:t> </w:t>
      </w:r>
      <w:r>
        <w:rPr>
          <w:spacing w:val="-2"/>
        </w:rPr>
        <w:t>reserves</w:t>
      </w:r>
      <w:r>
        <w:rPr>
          <w:spacing w:val="-8"/>
        </w:rPr>
        <w:t> </w:t>
      </w:r>
      <w:r>
        <w:rPr>
          <w:spacing w:val="-2"/>
        </w:rPr>
        <w:t>the</w:t>
      </w:r>
      <w:r>
        <w:rPr>
          <w:spacing w:val="-9"/>
        </w:rPr>
        <w:t> </w:t>
      </w:r>
      <w:r>
        <w:rPr>
          <w:spacing w:val="-2"/>
        </w:rPr>
        <w:t>right</w:t>
      </w:r>
      <w:r>
        <w:rPr>
          <w:spacing w:val="-7"/>
        </w:rPr>
        <w:t> </w:t>
      </w:r>
      <w:r>
        <w:rPr>
          <w:spacing w:val="-2"/>
        </w:rPr>
        <w:t>to</w:t>
      </w:r>
      <w:r>
        <w:rPr>
          <w:spacing w:val="-11"/>
        </w:rPr>
        <w:t> </w:t>
      </w:r>
      <w:r>
        <w:rPr>
          <w:spacing w:val="-2"/>
        </w:rPr>
        <w:t>review </w:t>
      </w:r>
      <w:r>
        <w:rPr/>
        <w:t>any</w:t>
      </w:r>
      <w:r>
        <w:rPr>
          <w:spacing w:val="-16"/>
        </w:rPr>
        <w:t> </w:t>
      </w:r>
      <w:r>
        <w:rPr/>
        <w:t>line-item</w:t>
      </w:r>
      <w:r>
        <w:rPr>
          <w:spacing w:val="-15"/>
        </w:rPr>
        <w:t> </w:t>
      </w:r>
      <w:r>
        <w:rPr/>
        <w:t>cost</w:t>
      </w:r>
      <w:r>
        <w:rPr>
          <w:spacing w:val="-15"/>
        </w:rPr>
        <w:t> </w:t>
      </w:r>
      <w:r>
        <w:rPr/>
        <w:t>to</w:t>
      </w:r>
      <w:r>
        <w:rPr>
          <w:spacing w:val="-16"/>
        </w:rPr>
        <w:t> </w:t>
      </w:r>
      <w:r>
        <w:rPr/>
        <w:t>ensure</w:t>
      </w:r>
      <w:r>
        <w:rPr>
          <w:spacing w:val="-15"/>
        </w:rPr>
        <w:t> </w:t>
      </w:r>
      <w:r>
        <w:rPr/>
        <w:t>that</w:t>
      </w:r>
      <w:r>
        <w:rPr>
          <w:spacing w:val="-15"/>
        </w:rPr>
        <w:t> </w:t>
      </w:r>
      <w:r>
        <w:rPr/>
        <w:t>total</w:t>
      </w:r>
      <w:r>
        <w:rPr>
          <w:spacing w:val="-15"/>
        </w:rPr>
        <w:t> </w:t>
      </w:r>
      <w:r>
        <w:rPr/>
        <w:t>project</w:t>
      </w:r>
      <w:r>
        <w:rPr>
          <w:spacing w:val="-13"/>
        </w:rPr>
        <w:t> </w:t>
      </w:r>
      <w:r>
        <w:rPr/>
        <w:t>costs</w:t>
      </w:r>
      <w:r>
        <w:rPr>
          <w:spacing w:val="-16"/>
        </w:rPr>
        <w:t> </w:t>
      </w:r>
      <w:r>
        <w:rPr/>
        <w:t>are</w:t>
      </w:r>
      <w:r>
        <w:rPr>
          <w:spacing w:val="-15"/>
        </w:rPr>
        <w:t> </w:t>
      </w:r>
      <w:r>
        <w:rPr/>
        <w:t>not</w:t>
      </w:r>
      <w:r>
        <w:rPr>
          <w:spacing w:val="-13"/>
        </w:rPr>
        <w:t> </w:t>
      </w:r>
      <w:r>
        <w:rPr/>
        <w:t>excessive.</w:t>
      </w:r>
      <w:r>
        <w:rPr>
          <w:spacing w:val="-12"/>
        </w:rPr>
        <w:t> </w:t>
      </w:r>
      <w:r>
        <w:rPr/>
        <w:t>Additionally,</w:t>
      </w:r>
      <w:r>
        <w:rPr>
          <w:spacing w:val="-13"/>
        </w:rPr>
        <w:t> </w:t>
      </w:r>
      <w:r>
        <w:rPr/>
        <w:t>HOME</w:t>
      </w:r>
      <w:r>
        <w:rPr>
          <w:spacing w:val="-15"/>
        </w:rPr>
        <w:t> </w:t>
      </w:r>
      <w:r>
        <w:rPr/>
        <w:t>projects will be subject to the following specific cost limitations:</w:t>
      </w:r>
    </w:p>
    <w:p>
      <w:pPr>
        <w:pStyle w:val="BodyText"/>
        <w:spacing w:before="1"/>
      </w:pPr>
    </w:p>
    <w:p>
      <w:pPr>
        <w:pStyle w:val="ListParagraph"/>
        <w:numPr>
          <w:ilvl w:val="0"/>
          <w:numId w:val="28"/>
        </w:numPr>
        <w:tabs>
          <w:tab w:pos="841" w:val="left" w:leader="none"/>
        </w:tabs>
        <w:spacing w:line="237" w:lineRule="auto" w:before="0" w:after="0"/>
        <w:ind w:left="840" w:right="157" w:hanging="361"/>
        <w:jc w:val="both"/>
        <w:rPr>
          <w:sz w:val="22"/>
        </w:rPr>
      </w:pPr>
      <w:r>
        <w:rPr>
          <w:sz w:val="22"/>
        </w:rPr>
        <w:t>The maximum allowable developer fee is 15% of total development costs less the developer fee itself and seller’s closing costs.</w:t>
      </w:r>
    </w:p>
    <w:p>
      <w:pPr>
        <w:pStyle w:val="ListParagraph"/>
        <w:numPr>
          <w:ilvl w:val="0"/>
          <w:numId w:val="28"/>
        </w:numPr>
        <w:tabs>
          <w:tab w:pos="841" w:val="left" w:leader="none"/>
        </w:tabs>
        <w:spacing w:line="269" w:lineRule="exact" w:before="2" w:after="0"/>
        <w:ind w:left="840" w:right="0" w:hanging="361"/>
        <w:jc w:val="both"/>
        <w:rPr>
          <w:sz w:val="22"/>
        </w:rPr>
      </w:pPr>
      <w:r>
        <w:rPr>
          <w:sz w:val="22"/>
        </w:rPr>
        <w:t>Acquisition</w:t>
      </w:r>
      <w:r>
        <w:rPr>
          <w:spacing w:val="-7"/>
          <w:sz w:val="22"/>
        </w:rPr>
        <w:t> </w:t>
      </w:r>
      <w:r>
        <w:rPr>
          <w:sz w:val="22"/>
        </w:rPr>
        <w:t>costs</w:t>
      </w:r>
      <w:r>
        <w:rPr>
          <w:spacing w:val="-6"/>
          <w:sz w:val="22"/>
        </w:rPr>
        <w:t> </w:t>
      </w:r>
      <w:r>
        <w:rPr>
          <w:sz w:val="22"/>
        </w:rPr>
        <w:t>are</w:t>
      </w:r>
      <w:r>
        <w:rPr>
          <w:spacing w:val="-4"/>
          <w:sz w:val="22"/>
        </w:rPr>
        <w:t> </w:t>
      </w:r>
      <w:r>
        <w:rPr>
          <w:sz w:val="22"/>
        </w:rPr>
        <w:t>limited</w:t>
      </w:r>
      <w:r>
        <w:rPr>
          <w:spacing w:val="-6"/>
          <w:sz w:val="22"/>
        </w:rPr>
        <w:t> </w:t>
      </w:r>
      <w:r>
        <w:rPr>
          <w:sz w:val="22"/>
        </w:rPr>
        <w:t>to</w:t>
      </w:r>
      <w:r>
        <w:rPr>
          <w:spacing w:val="-6"/>
          <w:sz w:val="22"/>
        </w:rPr>
        <w:t> </w:t>
      </w:r>
      <w:r>
        <w:rPr>
          <w:sz w:val="22"/>
        </w:rPr>
        <w:t>fair</w:t>
      </w:r>
      <w:r>
        <w:rPr>
          <w:spacing w:val="-5"/>
          <w:sz w:val="22"/>
        </w:rPr>
        <w:t> </w:t>
      </w:r>
      <w:r>
        <w:rPr>
          <w:sz w:val="22"/>
        </w:rPr>
        <w:t>market</w:t>
      </w:r>
      <w:r>
        <w:rPr>
          <w:spacing w:val="-5"/>
          <w:sz w:val="22"/>
        </w:rPr>
        <w:t> </w:t>
      </w:r>
      <w:r>
        <w:rPr>
          <w:sz w:val="22"/>
        </w:rPr>
        <w:t>value</w:t>
      </w:r>
      <w:r>
        <w:rPr>
          <w:spacing w:val="-5"/>
          <w:sz w:val="22"/>
        </w:rPr>
        <w:t> </w:t>
      </w:r>
      <w:r>
        <w:rPr>
          <w:sz w:val="22"/>
        </w:rPr>
        <w:t>as</w:t>
      </w:r>
      <w:r>
        <w:rPr>
          <w:spacing w:val="-3"/>
          <w:sz w:val="22"/>
        </w:rPr>
        <w:t> </w:t>
      </w:r>
      <w:r>
        <w:rPr>
          <w:sz w:val="22"/>
        </w:rPr>
        <w:t>determined</w:t>
      </w:r>
      <w:r>
        <w:rPr>
          <w:spacing w:val="-4"/>
          <w:sz w:val="22"/>
        </w:rPr>
        <w:t> </w:t>
      </w:r>
      <w:r>
        <w:rPr>
          <w:sz w:val="22"/>
        </w:rPr>
        <w:t>by</w:t>
      </w:r>
      <w:r>
        <w:rPr>
          <w:spacing w:val="-6"/>
          <w:sz w:val="22"/>
        </w:rPr>
        <w:t> </w:t>
      </w:r>
      <w:r>
        <w:rPr>
          <w:sz w:val="22"/>
        </w:rPr>
        <w:t>a</w:t>
      </w:r>
      <w:r>
        <w:rPr>
          <w:spacing w:val="-6"/>
          <w:sz w:val="22"/>
        </w:rPr>
        <w:t> </w:t>
      </w:r>
      <w:r>
        <w:rPr>
          <w:sz w:val="22"/>
        </w:rPr>
        <w:t>third-party</w:t>
      </w:r>
      <w:r>
        <w:rPr>
          <w:spacing w:val="-6"/>
          <w:sz w:val="22"/>
        </w:rPr>
        <w:t> </w:t>
      </w:r>
      <w:r>
        <w:rPr>
          <w:spacing w:val="-2"/>
          <w:sz w:val="22"/>
        </w:rPr>
        <w:t>appraisal.</w:t>
      </w:r>
    </w:p>
    <w:p>
      <w:pPr>
        <w:pStyle w:val="ListParagraph"/>
        <w:numPr>
          <w:ilvl w:val="0"/>
          <w:numId w:val="28"/>
        </w:numPr>
        <w:tabs>
          <w:tab w:pos="841" w:val="left" w:leader="none"/>
        </w:tabs>
        <w:spacing w:line="240" w:lineRule="auto" w:before="0" w:after="0"/>
        <w:ind w:left="840" w:right="156" w:hanging="361"/>
        <w:jc w:val="both"/>
        <w:rPr>
          <w:sz w:val="22"/>
        </w:rPr>
      </w:pPr>
      <w:r>
        <w:rPr>
          <w:sz w:val="22"/>
        </w:rPr>
        <w:t>Unless</w:t>
      </w:r>
      <w:r>
        <w:rPr>
          <w:spacing w:val="-11"/>
          <w:sz w:val="22"/>
        </w:rPr>
        <w:t> </w:t>
      </w:r>
      <w:r>
        <w:rPr>
          <w:sz w:val="22"/>
        </w:rPr>
        <w:t>prior</w:t>
      </w:r>
      <w:r>
        <w:rPr>
          <w:spacing w:val="-10"/>
          <w:sz w:val="22"/>
        </w:rPr>
        <w:t> </w:t>
      </w:r>
      <w:r>
        <w:rPr>
          <w:sz w:val="22"/>
        </w:rPr>
        <w:t>approval</w:t>
      </w:r>
      <w:r>
        <w:rPr>
          <w:spacing w:val="-12"/>
          <w:sz w:val="22"/>
        </w:rPr>
        <w:t> </w:t>
      </w:r>
      <w:r>
        <w:rPr>
          <w:sz w:val="22"/>
        </w:rPr>
        <w:t>has</w:t>
      </w:r>
      <w:r>
        <w:rPr>
          <w:spacing w:val="-11"/>
          <w:sz w:val="22"/>
        </w:rPr>
        <w:t> </w:t>
      </w:r>
      <w:r>
        <w:rPr>
          <w:sz w:val="22"/>
        </w:rPr>
        <w:t>been</w:t>
      </w:r>
      <w:r>
        <w:rPr>
          <w:spacing w:val="-11"/>
          <w:sz w:val="22"/>
        </w:rPr>
        <w:t> </w:t>
      </w:r>
      <w:r>
        <w:rPr>
          <w:sz w:val="22"/>
        </w:rPr>
        <w:t>obtained</w:t>
      </w:r>
      <w:r>
        <w:rPr>
          <w:spacing w:val="-11"/>
          <w:sz w:val="22"/>
        </w:rPr>
        <w:t> </w:t>
      </w:r>
      <w:r>
        <w:rPr>
          <w:sz w:val="22"/>
        </w:rPr>
        <w:t>from</w:t>
      </w:r>
      <w:r>
        <w:rPr>
          <w:spacing w:val="-12"/>
          <w:sz w:val="22"/>
        </w:rPr>
        <w:t> </w:t>
      </w:r>
      <w:r>
        <w:rPr>
          <w:sz w:val="22"/>
        </w:rPr>
        <w:t>the</w:t>
      </w:r>
      <w:r>
        <w:rPr>
          <w:spacing w:val="-14"/>
          <w:sz w:val="22"/>
        </w:rPr>
        <w:t> </w:t>
      </w:r>
      <w:r>
        <w:rPr>
          <w:sz w:val="22"/>
        </w:rPr>
        <w:t>City</w:t>
      </w:r>
      <w:r>
        <w:rPr>
          <w:spacing w:val="-11"/>
          <w:sz w:val="22"/>
        </w:rPr>
        <w:t> </w:t>
      </w:r>
      <w:r>
        <w:rPr>
          <w:sz w:val="22"/>
        </w:rPr>
        <w:t>of</w:t>
      </w:r>
      <w:r>
        <w:rPr>
          <w:spacing w:val="-10"/>
          <w:sz w:val="22"/>
        </w:rPr>
        <w:t> </w:t>
      </w:r>
      <w:r>
        <w:rPr>
          <w:sz w:val="22"/>
        </w:rPr>
        <w:t>Dallas.</w:t>
      </w:r>
      <w:r>
        <w:rPr>
          <w:spacing w:val="-10"/>
          <w:sz w:val="22"/>
        </w:rPr>
        <w:t> </w:t>
      </w:r>
      <w:r>
        <w:rPr>
          <w:sz w:val="22"/>
        </w:rPr>
        <w:t>All</w:t>
      </w:r>
      <w:r>
        <w:rPr>
          <w:spacing w:val="-12"/>
          <w:sz w:val="22"/>
        </w:rPr>
        <w:t> </w:t>
      </w:r>
      <w:r>
        <w:rPr>
          <w:sz w:val="22"/>
        </w:rPr>
        <w:t>project</w:t>
      </w:r>
      <w:r>
        <w:rPr>
          <w:spacing w:val="-12"/>
          <w:sz w:val="22"/>
        </w:rPr>
        <w:t> </w:t>
      </w:r>
      <w:r>
        <w:rPr>
          <w:sz w:val="22"/>
        </w:rPr>
        <w:t>hard</w:t>
      </w:r>
      <w:r>
        <w:rPr>
          <w:spacing w:val="-11"/>
          <w:sz w:val="22"/>
        </w:rPr>
        <w:t> </w:t>
      </w:r>
      <w:r>
        <w:rPr>
          <w:sz w:val="22"/>
        </w:rPr>
        <w:t>costs</w:t>
      </w:r>
      <w:r>
        <w:rPr>
          <w:spacing w:val="-11"/>
          <w:sz w:val="22"/>
        </w:rPr>
        <w:t> </w:t>
      </w:r>
      <w:r>
        <w:rPr>
          <w:sz w:val="22"/>
        </w:rPr>
        <w:t>and all project professional fees should be the result of a competitive bidding process. While developers are not subject to federal procurement rules and may use less formal bid processes, the City of Dallas generally expects developers to seek multiple bids and identify the most advantageous bidder based on cost, track record, and other pertinent </w:t>
      </w:r>
      <w:r>
        <w:rPr>
          <w:spacing w:val="-2"/>
          <w:sz w:val="22"/>
        </w:rPr>
        <w:t>factors.</w:t>
      </w:r>
    </w:p>
    <w:p>
      <w:pPr>
        <w:pStyle w:val="BodyText"/>
        <w:spacing w:before="9"/>
        <w:rPr>
          <w:sz w:val="21"/>
        </w:rPr>
      </w:pPr>
    </w:p>
    <w:p>
      <w:pPr>
        <w:pStyle w:val="BodyText"/>
        <w:spacing w:line="252" w:lineRule="exact"/>
        <w:ind w:left="120"/>
        <w:jc w:val="both"/>
      </w:pPr>
      <w:r>
        <w:rPr/>
        <w:t>Other</w:t>
      </w:r>
      <w:r>
        <w:rPr>
          <w:spacing w:val="-3"/>
        </w:rPr>
        <w:t> </w:t>
      </w:r>
      <w:r>
        <w:rPr/>
        <w:t>Funding</w:t>
      </w:r>
      <w:r>
        <w:rPr>
          <w:spacing w:val="-3"/>
        </w:rPr>
        <w:t> </w:t>
      </w:r>
      <w:r>
        <w:rPr>
          <w:spacing w:val="-2"/>
        </w:rPr>
        <w:t>Sources</w:t>
      </w:r>
    </w:p>
    <w:p>
      <w:pPr>
        <w:pStyle w:val="BodyText"/>
        <w:ind w:left="120" w:right="153"/>
        <w:jc w:val="both"/>
      </w:pPr>
      <w:r>
        <w:rPr/>
        <w:t>Developers</w:t>
      </w:r>
      <w:r>
        <w:rPr>
          <w:spacing w:val="-12"/>
        </w:rPr>
        <w:t> </w:t>
      </w:r>
      <w:r>
        <w:rPr/>
        <w:t>must</w:t>
      </w:r>
      <w:r>
        <w:rPr>
          <w:spacing w:val="-11"/>
        </w:rPr>
        <w:t> </w:t>
      </w:r>
      <w:r>
        <w:rPr/>
        <w:t>disclose</w:t>
      </w:r>
      <w:r>
        <w:rPr>
          <w:spacing w:val="-12"/>
        </w:rPr>
        <w:t> </w:t>
      </w:r>
      <w:r>
        <w:rPr/>
        <w:t>all</w:t>
      </w:r>
      <w:r>
        <w:rPr>
          <w:spacing w:val="-13"/>
        </w:rPr>
        <w:t> </w:t>
      </w:r>
      <w:r>
        <w:rPr/>
        <w:t>other</w:t>
      </w:r>
      <w:r>
        <w:rPr>
          <w:spacing w:val="-11"/>
        </w:rPr>
        <w:t> </w:t>
      </w:r>
      <w:r>
        <w:rPr/>
        <w:t>public</w:t>
      </w:r>
      <w:r>
        <w:rPr>
          <w:spacing w:val="-12"/>
        </w:rPr>
        <w:t> </w:t>
      </w:r>
      <w:r>
        <w:rPr/>
        <w:t>and</w:t>
      </w:r>
      <w:r>
        <w:rPr>
          <w:spacing w:val="-12"/>
        </w:rPr>
        <w:t> </w:t>
      </w:r>
      <w:r>
        <w:rPr/>
        <w:t>private</w:t>
      </w:r>
      <w:r>
        <w:rPr>
          <w:spacing w:val="-12"/>
        </w:rPr>
        <w:t> </w:t>
      </w:r>
      <w:r>
        <w:rPr/>
        <w:t>sources</w:t>
      </w:r>
      <w:r>
        <w:rPr>
          <w:spacing w:val="-12"/>
        </w:rPr>
        <w:t> </w:t>
      </w:r>
      <w:r>
        <w:rPr/>
        <w:t>or</w:t>
      </w:r>
      <w:r>
        <w:rPr>
          <w:spacing w:val="-11"/>
        </w:rPr>
        <w:t> </w:t>
      </w:r>
      <w:r>
        <w:rPr/>
        <w:t>applications</w:t>
      </w:r>
      <w:r>
        <w:rPr>
          <w:spacing w:val="-12"/>
        </w:rPr>
        <w:t> </w:t>
      </w:r>
      <w:r>
        <w:rPr/>
        <w:t>for</w:t>
      </w:r>
      <w:r>
        <w:rPr>
          <w:spacing w:val="-11"/>
        </w:rPr>
        <w:t> </w:t>
      </w:r>
      <w:r>
        <w:rPr/>
        <w:t>funding</w:t>
      </w:r>
      <w:r>
        <w:rPr>
          <w:spacing w:val="-12"/>
        </w:rPr>
        <w:t> </w:t>
      </w:r>
      <w:r>
        <w:rPr/>
        <w:t>with</w:t>
      </w:r>
      <w:r>
        <w:rPr>
          <w:spacing w:val="-12"/>
        </w:rPr>
        <w:t> </w:t>
      </w:r>
      <w:r>
        <w:rPr/>
        <w:t>their initial</w:t>
      </w:r>
      <w:r>
        <w:rPr>
          <w:spacing w:val="-13"/>
        </w:rPr>
        <w:t> </w:t>
      </w:r>
      <w:r>
        <w:rPr/>
        <w:t>HOME</w:t>
      </w:r>
      <w:r>
        <w:rPr>
          <w:spacing w:val="-14"/>
        </w:rPr>
        <w:t> </w:t>
      </w:r>
      <w:r>
        <w:rPr/>
        <w:t>Single-Family</w:t>
      </w:r>
      <w:r>
        <w:rPr>
          <w:spacing w:val="-11"/>
        </w:rPr>
        <w:t> </w:t>
      </w:r>
      <w:r>
        <w:rPr/>
        <w:t>Development</w:t>
      </w:r>
      <w:r>
        <w:rPr>
          <w:spacing w:val="-12"/>
        </w:rPr>
        <w:t> </w:t>
      </w:r>
      <w:r>
        <w:rPr/>
        <w:t>application</w:t>
      </w:r>
      <w:r>
        <w:rPr>
          <w:spacing w:val="-11"/>
        </w:rPr>
        <w:t> </w:t>
      </w:r>
      <w:r>
        <w:rPr/>
        <w:t>to</w:t>
      </w:r>
      <w:r>
        <w:rPr>
          <w:spacing w:val="-16"/>
        </w:rPr>
        <w:t> </w:t>
      </w:r>
      <w:r>
        <w:rPr/>
        <w:t>the</w:t>
      </w:r>
      <w:r>
        <w:rPr>
          <w:spacing w:val="-11"/>
        </w:rPr>
        <w:t> </w:t>
      </w:r>
      <w:r>
        <w:rPr/>
        <w:t>City</w:t>
      </w:r>
      <w:r>
        <w:rPr>
          <w:spacing w:val="-13"/>
        </w:rPr>
        <w:t> </w:t>
      </w:r>
      <w:r>
        <w:rPr/>
        <w:t>of</w:t>
      </w:r>
      <w:r>
        <w:rPr>
          <w:spacing w:val="-10"/>
        </w:rPr>
        <w:t> </w:t>
      </w:r>
      <w:r>
        <w:rPr/>
        <w:t>Dallas</w:t>
      </w:r>
      <w:r>
        <w:rPr>
          <w:spacing w:val="-11"/>
        </w:rPr>
        <w:t> </w:t>
      </w:r>
      <w:r>
        <w:rPr/>
        <w:t>at</w:t>
      </w:r>
      <w:r>
        <w:rPr>
          <w:spacing w:val="-15"/>
        </w:rPr>
        <w:t> </w:t>
      </w:r>
      <w:r>
        <w:rPr/>
        <w:t>the</w:t>
      </w:r>
      <w:r>
        <w:rPr>
          <w:spacing w:val="-14"/>
        </w:rPr>
        <w:t> </w:t>
      </w:r>
      <w:r>
        <w:rPr/>
        <w:t>time</w:t>
      </w:r>
      <w:r>
        <w:rPr>
          <w:spacing w:val="-14"/>
        </w:rPr>
        <w:t> </w:t>
      </w:r>
      <w:r>
        <w:rPr/>
        <w:t>of</w:t>
      </w:r>
      <w:r>
        <w:rPr>
          <w:spacing w:val="-12"/>
        </w:rPr>
        <w:t> </w:t>
      </w:r>
      <w:r>
        <w:rPr/>
        <w:t>application and upon receiving any additional commitments of public source funding. The City of Dallas will conduct a subsidy layering review as part of the underwriting process for all projects. Using its underwriting criteria, the City of Dallas will assess the project and may require changes to the transaction</w:t>
      </w:r>
      <w:r>
        <w:rPr>
          <w:spacing w:val="-9"/>
        </w:rPr>
        <w:t> </w:t>
      </w:r>
      <w:r>
        <w:rPr/>
        <w:t>to</w:t>
      </w:r>
      <w:r>
        <w:rPr>
          <w:spacing w:val="-9"/>
        </w:rPr>
        <w:t> </w:t>
      </w:r>
      <w:r>
        <w:rPr/>
        <w:t>ensure</w:t>
      </w:r>
      <w:r>
        <w:rPr>
          <w:spacing w:val="-11"/>
        </w:rPr>
        <w:t> </w:t>
      </w:r>
      <w:r>
        <w:rPr/>
        <w:t>that</w:t>
      </w:r>
      <w:r>
        <w:rPr>
          <w:spacing w:val="-7"/>
        </w:rPr>
        <w:t> </w:t>
      </w:r>
      <w:r>
        <w:rPr/>
        <w:t>return</w:t>
      </w:r>
      <w:r>
        <w:rPr>
          <w:spacing w:val="-9"/>
        </w:rPr>
        <w:t> </w:t>
      </w:r>
      <w:r>
        <w:rPr/>
        <w:t>to</w:t>
      </w:r>
      <w:r>
        <w:rPr>
          <w:spacing w:val="-9"/>
        </w:rPr>
        <w:t> </w:t>
      </w:r>
      <w:r>
        <w:rPr/>
        <w:t>the</w:t>
      </w:r>
      <w:r>
        <w:rPr>
          <w:spacing w:val="-9"/>
        </w:rPr>
        <w:t> </w:t>
      </w:r>
      <w:r>
        <w:rPr/>
        <w:t>owner/developer</w:t>
      </w:r>
      <w:r>
        <w:rPr>
          <w:spacing w:val="-6"/>
        </w:rPr>
        <w:t> </w:t>
      </w:r>
      <w:r>
        <w:rPr/>
        <w:t>are</w:t>
      </w:r>
      <w:r>
        <w:rPr>
          <w:spacing w:val="-9"/>
        </w:rPr>
        <w:t> </w:t>
      </w:r>
      <w:r>
        <w:rPr/>
        <w:t>not</w:t>
      </w:r>
      <w:r>
        <w:rPr>
          <w:spacing w:val="-6"/>
        </w:rPr>
        <w:t> </w:t>
      </w:r>
      <w:r>
        <w:rPr/>
        <w:t>excessive.</w:t>
      </w:r>
      <w:r>
        <w:rPr>
          <w:spacing w:val="-6"/>
        </w:rPr>
        <w:t> </w:t>
      </w:r>
      <w:r>
        <w:rPr/>
        <w:t>Changes</w:t>
      </w:r>
      <w:r>
        <w:rPr>
          <w:spacing w:val="-8"/>
        </w:rPr>
        <w:t> </w:t>
      </w:r>
      <w:r>
        <w:rPr/>
        <w:t>may</w:t>
      </w:r>
      <w:r>
        <w:rPr>
          <w:spacing w:val="-8"/>
        </w:rPr>
        <w:t> </w:t>
      </w:r>
      <w:r>
        <w:rPr/>
        <w:t>include a reduction in HOME funds awarded.</w:t>
      </w:r>
    </w:p>
    <w:p>
      <w:pPr>
        <w:pStyle w:val="BodyText"/>
        <w:spacing w:before="10"/>
        <w:rPr>
          <w:sz w:val="21"/>
        </w:rPr>
      </w:pPr>
    </w:p>
    <w:p>
      <w:pPr>
        <w:pStyle w:val="BodyText"/>
        <w:ind w:left="120" w:right="157"/>
        <w:jc w:val="both"/>
      </w:pPr>
      <w:r>
        <w:rPr/>
        <w:t>The</w:t>
      </w:r>
      <w:r>
        <w:rPr>
          <w:spacing w:val="-10"/>
        </w:rPr>
        <w:t> </w:t>
      </w:r>
      <w:r>
        <w:rPr/>
        <w:t>City</w:t>
      </w:r>
      <w:r>
        <w:rPr>
          <w:spacing w:val="-9"/>
        </w:rPr>
        <w:t> </w:t>
      </w:r>
      <w:r>
        <w:rPr/>
        <w:t>of</w:t>
      </w:r>
      <w:r>
        <w:rPr>
          <w:spacing w:val="-11"/>
        </w:rPr>
        <w:t> </w:t>
      </w:r>
      <w:r>
        <w:rPr/>
        <w:t>Dallas</w:t>
      </w:r>
      <w:r>
        <w:rPr>
          <w:spacing w:val="-9"/>
        </w:rPr>
        <w:t> </w:t>
      </w:r>
      <w:r>
        <w:rPr/>
        <w:t>will</w:t>
      </w:r>
      <w:r>
        <w:rPr>
          <w:spacing w:val="-10"/>
        </w:rPr>
        <w:t> </w:t>
      </w:r>
      <w:r>
        <w:rPr/>
        <w:t>consider</w:t>
      </w:r>
      <w:r>
        <w:rPr>
          <w:spacing w:val="-9"/>
        </w:rPr>
        <w:t> </w:t>
      </w:r>
      <w:r>
        <w:rPr/>
        <w:t>adjusting</w:t>
      </w:r>
      <w:r>
        <w:rPr>
          <w:spacing w:val="-10"/>
        </w:rPr>
        <w:t> </w:t>
      </w:r>
      <w:r>
        <w:rPr/>
        <w:t>its</w:t>
      </w:r>
      <w:r>
        <w:rPr>
          <w:spacing w:val="-12"/>
        </w:rPr>
        <w:t> </w:t>
      </w:r>
      <w:r>
        <w:rPr/>
        <w:t>underwriting</w:t>
      </w:r>
      <w:r>
        <w:rPr>
          <w:spacing w:val="-10"/>
        </w:rPr>
        <w:t> </w:t>
      </w:r>
      <w:r>
        <w:rPr/>
        <w:t>in</w:t>
      </w:r>
      <w:r>
        <w:rPr>
          <w:spacing w:val="-10"/>
        </w:rPr>
        <w:t> </w:t>
      </w:r>
      <w:r>
        <w:rPr/>
        <w:t>consultation</w:t>
      </w:r>
      <w:r>
        <w:rPr>
          <w:spacing w:val="-10"/>
        </w:rPr>
        <w:t> </w:t>
      </w:r>
      <w:r>
        <w:rPr/>
        <w:t>with</w:t>
      </w:r>
      <w:r>
        <w:rPr>
          <w:spacing w:val="-10"/>
        </w:rPr>
        <w:t> </w:t>
      </w:r>
      <w:r>
        <w:rPr/>
        <w:t>other</w:t>
      </w:r>
      <w:r>
        <w:rPr>
          <w:spacing w:val="-11"/>
        </w:rPr>
        <w:t> </w:t>
      </w:r>
      <w:r>
        <w:rPr/>
        <w:t>public</w:t>
      </w:r>
      <w:r>
        <w:rPr>
          <w:spacing w:val="-9"/>
        </w:rPr>
        <w:t> </w:t>
      </w:r>
      <w:r>
        <w:rPr/>
        <w:t>funders, if applicable, to the project. The City of Dallas retains, at its sole discretion, the power to decide whether to accept alternative standards.</w:t>
      </w:r>
    </w:p>
    <w:p>
      <w:pPr>
        <w:pStyle w:val="BodyText"/>
      </w:pPr>
    </w:p>
    <w:p>
      <w:pPr>
        <w:pStyle w:val="ListParagraph"/>
        <w:numPr>
          <w:ilvl w:val="0"/>
          <w:numId w:val="26"/>
        </w:numPr>
        <w:tabs>
          <w:tab w:pos="392" w:val="left" w:leader="none"/>
        </w:tabs>
        <w:spacing w:line="240" w:lineRule="auto" w:before="1" w:after="0"/>
        <w:ind w:left="391" w:right="0" w:hanging="272"/>
        <w:jc w:val="left"/>
        <w:rPr>
          <w:sz w:val="22"/>
        </w:rPr>
      </w:pPr>
      <w:r>
        <w:rPr>
          <w:sz w:val="22"/>
        </w:rPr>
        <w:t>Construction</w:t>
      </w:r>
      <w:r>
        <w:rPr>
          <w:spacing w:val="-13"/>
          <w:sz w:val="22"/>
        </w:rPr>
        <w:t> </w:t>
      </w:r>
      <w:r>
        <w:rPr>
          <w:spacing w:val="-2"/>
          <w:sz w:val="22"/>
        </w:rPr>
        <w:t>Process</w:t>
      </w:r>
    </w:p>
    <w:p>
      <w:pPr>
        <w:spacing w:after="0" w:line="240" w:lineRule="auto"/>
        <w:jc w:val="left"/>
        <w:rPr>
          <w:sz w:val="22"/>
        </w:rPr>
        <w:sectPr>
          <w:pgSz w:w="12240" w:h="15840"/>
          <w:pgMar w:header="0" w:footer="1176" w:top="1360" w:bottom="1420" w:left="1320" w:right="1280"/>
        </w:sectPr>
      </w:pPr>
    </w:p>
    <w:p>
      <w:pPr>
        <w:pStyle w:val="BodyText"/>
        <w:spacing w:line="252" w:lineRule="exact" w:before="80"/>
        <w:ind w:left="119"/>
        <w:jc w:val="both"/>
      </w:pPr>
      <w:r>
        <w:rPr/>
        <w:t>City</w:t>
      </w:r>
      <w:r>
        <w:rPr>
          <w:spacing w:val="-6"/>
        </w:rPr>
        <w:t> </w:t>
      </w:r>
      <w:r>
        <w:rPr/>
        <w:t>of</w:t>
      </w:r>
      <w:r>
        <w:rPr>
          <w:spacing w:val="-7"/>
        </w:rPr>
        <w:t> </w:t>
      </w:r>
      <w:r>
        <w:rPr/>
        <w:t>Dallas</w:t>
      </w:r>
      <w:r>
        <w:rPr>
          <w:spacing w:val="-5"/>
        </w:rPr>
        <w:t> </w:t>
      </w:r>
      <w:r>
        <w:rPr/>
        <w:t>Construction</w:t>
      </w:r>
      <w:r>
        <w:rPr>
          <w:spacing w:val="-6"/>
        </w:rPr>
        <w:t> </w:t>
      </w:r>
      <w:r>
        <w:rPr>
          <w:spacing w:val="-2"/>
        </w:rPr>
        <w:t>Inspections</w:t>
      </w:r>
    </w:p>
    <w:p>
      <w:pPr>
        <w:pStyle w:val="BodyText"/>
        <w:ind w:left="119" w:right="157"/>
        <w:jc w:val="both"/>
      </w:pPr>
      <w:r>
        <w:rPr/>
        <w:t>The</w:t>
      </w:r>
      <w:r>
        <w:rPr>
          <w:spacing w:val="-16"/>
        </w:rPr>
        <w:t> </w:t>
      </w:r>
      <w:r>
        <w:rPr/>
        <w:t>City</w:t>
      </w:r>
      <w:r>
        <w:rPr>
          <w:spacing w:val="-14"/>
        </w:rPr>
        <w:t> </w:t>
      </w:r>
      <w:r>
        <w:rPr/>
        <w:t>of</w:t>
      </w:r>
      <w:r>
        <w:rPr>
          <w:spacing w:val="-12"/>
        </w:rPr>
        <w:t> </w:t>
      </w:r>
      <w:r>
        <w:rPr/>
        <w:t>Dallas</w:t>
      </w:r>
      <w:r>
        <w:rPr>
          <w:spacing w:val="-16"/>
        </w:rPr>
        <w:t> </w:t>
      </w:r>
      <w:r>
        <w:rPr/>
        <w:t>must</w:t>
      </w:r>
      <w:r>
        <w:rPr>
          <w:spacing w:val="-15"/>
        </w:rPr>
        <w:t> </w:t>
      </w:r>
      <w:r>
        <w:rPr/>
        <w:t>be</w:t>
      </w:r>
      <w:r>
        <w:rPr>
          <w:spacing w:val="-14"/>
        </w:rPr>
        <w:t> </w:t>
      </w:r>
      <w:r>
        <w:rPr/>
        <w:t>provided</w:t>
      </w:r>
      <w:r>
        <w:rPr>
          <w:spacing w:val="-15"/>
        </w:rPr>
        <w:t> </w:t>
      </w:r>
      <w:r>
        <w:rPr/>
        <w:t>with</w:t>
      </w:r>
      <w:r>
        <w:rPr>
          <w:spacing w:val="-16"/>
        </w:rPr>
        <w:t> </w:t>
      </w:r>
      <w:r>
        <w:rPr/>
        <w:t>copies</w:t>
      </w:r>
      <w:r>
        <w:rPr>
          <w:spacing w:val="-13"/>
        </w:rPr>
        <w:t> </w:t>
      </w:r>
      <w:r>
        <w:rPr/>
        <w:t>of</w:t>
      </w:r>
      <w:r>
        <w:rPr>
          <w:spacing w:val="-15"/>
        </w:rPr>
        <w:t> </w:t>
      </w:r>
      <w:r>
        <w:rPr/>
        <w:t>all</w:t>
      </w:r>
      <w:r>
        <w:rPr>
          <w:spacing w:val="-15"/>
        </w:rPr>
        <w:t> </w:t>
      </w:r>
      <w:r>
        <w:rPr/>
        <w:t>contractor</w:t>
      </w:r>
      <w:r>
        <w:rPr>
          <w:spacing w:val="-15"/>
        </w:rPr>
        <w:t> </w:t>
      </w:r>
      <w:r>
        <w:rPr/>
        <w:t>invoices</w:t>
      </w:r>
      <w:r>
        <w:rPr>
          <w:spacing w:val="-14"/>
        </w:rPr>
        <w:t> </w:t>
      </w:r>
      <w:r>
        <w:rPr/>
        <w:t>and</w:t>
      </w:r>
      <w:r>
        <w:rPr>
          <w:spacing w:val="-15"/>
        </w:rPr>
        <w:t> </w:t>
      </w:r>
      <w:r>
        <w:rPr/>
        <w:t>provided</w:t>
      </w:r>
      <w:r>
        <w:rPr>
          <w:spacing w:val="-16"/>
        </w:rPr>
        <w:t> </w:t>
      </w:r>
      <w:r>
        <w:rPr/>
        <w:t>reasonable notice of monthly draw inspections during the construction period. City of Dallas staff will participate in all draw reviews whether or not the specific draw is being funded with HOME or other project funds and conduct inspections to ensure that the project is progressing and that work completed is consistent with all applicable HOME requirements.</w:t>
      </w:r>
    </w:p>
    <w:p>
      <w:pPr>
        <w:pStyle w:val="BodyText"/>
      </w:pPr>
    </w:p>
    <w:p>
      <w:pPr>
        <w:pStyle w:val="BodyText"/>
        <w:spacing w:line="252" w:lineRule="exact"/>
        <w:ind w:left="120"/>
        <w:jc w:val="both"/>
      </w:pPr>
      <w:r>
        <w:rPr/>
        <w:t>Davis</w:t>
      </w:r>
      <w:r>
        <w:rPr>
          <w:spacing w:val="-5"/>
        </w:rPr>
        <w:t> </w:t>
      </w:r>
      <w:r>
        <w:rPr>
          <w:spacing w:val="-4"/>
        </w:rPr>
        <w:t>Bacon</w:t>
      </w:r>
    </w:p>
    <w:p>
      <w:pPr>
        <w:pStyle w:val="BodyText"/>
        <w:ind w:left="119" w:right="157"/>
        <w:jc w:val="both"/>
      </w:pPr>
      <w:r>
        <w:rPr/>
        <w:pict>
          <v:shape style="position:absolute;margin-left:90.065002pt;margin-top:13.325229pt;width:395.3pt;height:419pt;mso-position-horizontal-relative:page;mso-position-vertical-relative:paragraph;z-index:-17681920" id="docshape123" coordorigin="1801,267" coordsize="7906,8380" path="m4498,7530l4492,7457,4477,7379,4455,7296,4432,7227,4403,7155,4367,7080,4325,7002,4276,6921,4237,6862,4200,6811,4200,7497,4197,7553,4186,7610,4167,7668,4138,7727,4097,7790,4044,7856,3979,7925,3674,8231,2216,6773,2517,6472,2598,6396,2672,6336,2740,6293,2801,6266,2868,6252,2941,6248,3020,6254,3105,6272,3195,6301,3255,6327,3317,6359,3380,6398,3446,6443,3514,6495,3584,6553,3656,6618,3729,6689,3789,6750,3845,6811,3896,6870,3943,6927,3986,6984,4025,7039,4059,7093,4101,7168,4136,7240,4163,7310,4183,7377,4196,7441,4200,7497,4200,6811,4194,6802,4148,6742,4098,6682,4045,6621,3989,6559,3929,6498,3865,6435,3801,6377,3737,6322,3673,6271,3643,6248,3609,6223,3546,6178,3482,6137,3419,6099,3346,6061,3274,6029,3203,6002,3132,5980,3062,5963,2992,5951,2923,5943,2850,5942,2779,5949,2709,5964,2642,5986,2577,6017,2528,6045,2476,6082,2420,6128,2359,6182,2294,6244,1801,6737,3710,8646,4124,8231,4226,8129,4287,8064,4341,7999,4386,7933,4424,7866,4454,7800,4476,7733,4491,7666,4498,7599,4498,7530xm6418,5937l6056,5809,5650,5667,5561,5637,5475,5613,5393,5594,5365,5589,5314,5580,5239,5570,5193,5568,5143,5571,5089,5578,5030,5589,5073,5520,5109,5450,5136,5381,5154,5312,5164,5243,5165,5175,5157,5107,5139,5029,5111,4953,5075,4879,5030,4806,4976,4735,4956,4713,4913,4667,4872,4628,4872,5186,4868,5241,4854,5296,4830,5353,4794,5411,4747,5472,4687,5536,4280,5943,3649,5312,4102,4859,4166,4802,4229,4758,4293,4729,4358,4714,4422,4713,4501,4728,4577,4758,4649,4802,4718,4862,4761,4909,4797,4960,4827,5014,4851,5070,4867,5129,4872,5186,4872,4628,4849,4607,4782,4555,4713,4509,4641,4471,4566,4438,4474,4410,4386,4397,4303,4399,4225,4415,4163,4440,4098,4477,4030,4525,3958,4585,3883,4656,3248,5290,5157,7199,5346,7009,4499,6162,4718,5943,4753,5908,4783,5881,4810,5860,4833,5846,4863,5832,4896,5821,4932,5814,4971,5809,5014,5810,5066,5815,5125,5825,5194,5841,5256,5859,5328,5880,5407,5905,5496,5934,6180,6175,6418,5937xm7780,4575l7415,4380,6555,3926,6555,4233,6070,4718,6030,4646,5989,4575,5748,4144,5708,4072,5668,4001,5629,3935,5590,3871,5550,3807,5509,3744,5467,3681,5424,3620,5380,3559,5436,3595,5498,3633,5564,3673,5635,3715,5792,3805,6555,4233,6555,3926,5862,3559,5286,3252,5082,3457,5277,3807,5316,3877,5701,4575,6207,5494,6441,5915,6642,5713,6565,5580,6298,5112,6221,4978,6481,4718,6820,4380,7173,4575,7565,4791,7780,4575xm8131,4224l7264,3357,7936,2686,7711,2460,7039,3132,6448,2541,7224,1765,6999,1540,6033,2505,7941,4414,8131,4224xm9707,2648l8024,965,8497,492,8272,267,7138,1401,7363,1626,7834,1155,9517,2838,9707,2648xe" filled="true" fillcolor="#c0c0c0" stroked="false">
            <v:path arrowok="t"/>
            <v:fill opacity="32896f" type="solid"/>
            <w10:wrap type="none"/>
          </v:shape>
        </w:pict>
      </w:r>
      <w:r>
        <w:rPr/>
        <w:t>When Davis Bacon applies to a project, the City of Dallas must be provided with compliance documentation</w:t>
      </w:r>
      <w:r>
        <w:rPr>
          <w:spacing w:val="-4"/>
        </w:rPr>
        <w:t> </w:t>
      </w:r>
      <w:r>
        <w:rPr/>
        <w:t>throughout</w:t>
      </w:r>
      <w:r>
        <w:rPr>
          <w:spacing w:val="-2"/>
        </w:rPr>
        <w:t> </w:t>
      </w:r>
      <w:r>
        <w:rPr/>
        <w:t>the</w:t>
      </w:r>
      <w:r>
        <w:rPr>
          <w:spacing w:val="-4"/>
        </w:rPr>
        <w:t> </w:t>
      </w:r>
      <w:r>
        <w:rPr/>
        <w:t>construction</w:t>
      </w:r>
      <w:r>
        <w:rPr>
          <w:spacing w:val="-1"/>
        </w:rPr>
        <w:t> </w:t>
      </w:r>
      <w:r>
        <w:rPr/>
        <w:t>period. Prior</w:t>
      </w:r>
      <w:r>
        <w:rPr>
          <w:spacing w:val="-2"/>
        </w:rPr>
        <w:t> </w:t>
      </w:r>
      <w:r>
        <w:rPr/>
        <w:t>to</w:t>
      </w:r>
      <w:r>
        <w:rPr>
          <w:spacing w:val="-4"/>
        </w:rPr>
        <w:t> </w:t>
      </w:r>
      <w:r>
        <w:rPr/>
        <w:t>commencing</w:t>
      </w:r>
      <w:r>
        <w:rPr>
          <w:spacing w:val="-4"/>
        </w:rPr>
        <w:t> </w:t>
      </w:r>
      <w:r>
        <w:rPr/>
        <w:t>construction,</w:t>
      </w:r>
      <w:r>
        <w:rPr>
          <w:spacing w:val="-5"/>
        </w:rPr>
        <w:t> </w:t>
      </w:r>
      <w:r>
        <w:rPr/>
        <w:t>the</w:t>
      </w:r>
      <w:r>
        <w:rPr>
          <w:spacing w:val="-1"/>
        </w:rPr>
        <w:t> </w:t>
      </w:r>
      <w:r>
        <w:rPr/>
        <w:t>City</w:t>
      </w:r>
      <w:r>
        <w:rPr>
          <w:spacing w:val="-1"/>
        </w:rPr>
        <w:t> </w:t>
      </w:r>
      <w:r>
        <w:rPr/>
        <w:t>of Dallas</w:t>
      </w:r>
      <w:r>
        <w:rPr>
          <w:spacing w:val="-9"/>
        </w:rPr>
        <w:t> </w:t>
      </w:r>
      <w:r>
        <w:rPr/>
        <w:t>must</w:t>
      </w:r>
      <w:r>
        <w:rPr>
          <w:spacing w:val="-8"/>
        </w:rPr>
        <w:t> </w:t>
      </w:r>
      <w:r>
        <w:rPr/>
        <w:t>approve</w:t>
      </w:r>
      <w:r>
        <w:rPr>
          <w:spacing w:val="-10"/>
        </w:rPr>
        <w:t> </w:t>
      </w:r>
      <w:r>
        <w:rPr/>
        <w:t>current</w:t>
      </w:r>
      <w:r>
        <w:rPr>
          <w:spacing w:val="-8"/>
        </w:rPr>
        <w:t> </w:t>
      </w:r>
      <w:r>
        <w:rPr/>
        <w:t>wage</w:t>
      </w:r>
      <w:r>
        <w:rPr>
          <w:spacing w:val="-10"/>
        </w:rPr>
        <w:t> </w:t>
      </w:r>
      <w:r>
        <w:rPr/>
        <w:t>determinations</w:t>
      </w:r>
      <w:r>
        <w:rPr>
          <w:spacing w:val="-12"/>
        </w:rPr>
        <w:t> </w:t>
      </w:r>
      <w:r>
        <w:rPr/>
        <w:t>applicable</w:t>
      </w:r>
      <w:r>
        <w:rPr>
          <w:spacing w:val="-10"/>
        </w:rPr>
        <w:t> </w:t>
      </w:r>
      <w:r>
        <w:rPr/>
        <w:t>to</w:t>
      </w:r>
      <w:r>
        <w:rPr>
          <w:spacing w:val="-10"/>
        </w:rPr>
        <w:t> </w:t>
      </w:r>
      <w:r>
        <w:rPr/>
        <w:t>the</w:t>
      </w:r>
      <w:r>
        <w:rPr>
          <w:spacing w:val="-10"/>
        </w:rPr>
        <w:t> </w:t>
      </w:r>
      <w:r>
        <w:rPr/>
        <w:t>project.</w:t>
      </w:r>
      <w:r>
        <w:rPr>
          <w:spacing w:val="-8"/>
        </w:rPr>
        <w:t> </w:t>
      </w:r>
      <w:r>
        <w:rPr/>
        <w:t>The</w:t>
      </w:r>
      <w:r>
        <w:rPr>
          <w:spacing w:val="-10"/>
        </w:rPr>
        <w:t> </w:t>
      </w:r>
      <w:r>
        <w:rPr/>
        <w:t>contractor</w:t>
      </w:r>
      <w:r>
        <w:rPr>
          <w:spacing w:val="-9"/>
        </w:rPr>
        <w:t> </w:t>
      </w:r>
      <w:r>
        <w:rPr/>
        <w:t>will</w:t>
      </w:r>
      <w:r>
        <w:rPr>
          <w:spacing w:val="-10"/>
        </w:rPr>
        <w:t> </w:t>
      </w:r>
      <w:r>
        <w:rPr/>
        <w:t>be required to provide weekly payroll forms to the City of Dallas and allow access to the site and workers for the purpose of completing worker interviews.</w:t>
      </w:r>
    </w:p>
    <w:p>
      <w:pPr>
        <w:pStyle w:val="BodyText"/>
      </w:pPr>
    </w:p>
    <w:p>
      <w:pPr>
        <w:pStyle w:val="BodyText"/>
        <w:spacing w:line="252" w:lineRule="exact" w:before="1"/>
        <w:ind w:left="119"/>
        <w:jc w:val="both"/>
      </w:pPr>
      <w:r>
        <w:rPr/>
        <w:t>Drawing</w:t>
      </w:r>
      <w:r>
        <w:rPr>
          <w:spacing w:val="-5"/>
        </w:rPr>
        <w:t> </w:t>
      </w:r>
      <w:r>
        <w:rPr/>
        <w:t>City</w:t>
      </w:r>
      <w:r>
        <w:rPr>
          <w:spacing w:val="-4"/>
        </w:rPr>
        <w:t> </w:t>
      </w:r>
      <w:r>
        <w:rPr/>
        <w:t>of</w:t>
      </w:r>
      <w:r>
        <w:rPr>
          <w:spacing w:val="-5"/>
        </w:rPr>
        <w:t> </w:t>
      </w:r>
      <w:r>
        <w:rPr/>
        <w:t>Dallas</w:t>
      </w:r>
      <w:r>
        <w:rPr>
          <w:spacing w:val="-4"/>
        </w:rPr>
        <w:t> </w:t>
      </w:r>
      <w:r>
        <w:rPr/>
        <w:t>HOME</w:t>
      </w:r>
      <w:r>
        <w:rPr>
          <w:spacing w:val="-6"/>
        </w:rPr>
        <w:t> </w:t>
      </w:r>
      <w:r>
        <w:rPr>
          <w:spacing w:val="-2"/>
        </w:rPr>
        <w:t>Funds</w:t>
      </w:r>
    </w:p>
    <w:p>
      <w:pPr>
        <w:pStyle w:val="BodyText"/>
        <w:ind w:left="119" w:right="158"/>
        <w:jc w:val="both"/>
      </w:pPr>
      <w:r>
        <w:rPr/>
        <w:t>Proceeds of the HOME loan will only be released as reimbursement for eligible project costs </w:t>
      </w:r>
      <w:r>
        <w:rPr>
          <w:spacing w:val="-2"/>
        </w:rPr>
        <w:t>following:</w:t>
      </w:r>
    </w:p>
    <w:p>
      <w:pPr>
        <w:pStyle w:val="BodyText"/>
        <w:spacing w:before="2"/>
      </w:pPr>
    </w:p>
    <w:p>
      <w:pPr>
        <w:pStyle w:val="ListParagraph"/>
        <w:numPr>
          <w:ilvl w:val="0"/>
          <w:numId w:val="29"/>
        </w:numPr>
        <w:tabs>
          <w:tab w:pos="840" w:val="left" w:leader="none"/>
        </w:tabs>
        <w:spacing w:line="237" w:lineRule="auto" w:before="1" w:after="0"/>
        <w:ind w:left="839" w:right="158" w:hanging="361"/>
        <w:jc w:val="both"/>
        <w:rPr>
          <w:sz w:val="22"/>
        </w:rPr>
      </w:pPr>
      <w:r>
        <w:rPr>
          <w:sz w:val="22"/>
        </w:rPr>
        <w:t>Review and acceptance of appropriate source documentation by the City of Dallas including evidence of appropriate lien waivers and/or title endorsements.</w:t>
      </w:r>
    </w:p>
    <w:p>
      <w:pPr>
        <w:pStyle w:val="ListParagraph"/>
        <w:numPr>
          <w:ilvl w:val="0"/>
          <w:numId w:val="29"/>
        </w:numPr>
        <w:tabs>
          <w:tab w:pos="841" w:val="left" w:leader="none"/>
        </w:tabs>
        <w:spacing w:line="237" w:lineRule="auto" w:before="3" w:after="0"/>
        <w:ind w:left="840" w:right="156" w:hanging="361"/>
        <w:jc w:val="both"/>
        <w:rPr>
          <w:sz w:val="22"/>
        </w:rPr>
      </w:pPr>
      <w:r>
        <w:rPr>
          <w:sz w:val="22"/>
        </w:rPr>
        <w:t>A determination by the City of Dallas that all HOME requirements pertaining to the development</w:t>
      </w:r>
      <w:r>
        <w:rPr>
          <w:spacing w:val="-11"/>
          <w:sz w:val="22"/>
        </w:rPr>
        <w:t> </w:t>
      </w:r>
      <w:r>
        <w:rPr>
          <w:sz w:val="22"/>
        </w:rPr>
        <w:t>of</w:t>
      </w:r>
      <w:r>
        <w:rPr>
          <w:spacing w:val="-11"/>
          <w:sz w:val="22"/>
        </w:rPr>
        <w:t> </w:t>
      </w:r>
      <w:r>
        <w:rPr>
          <w:sz w:val="22"/>
        </w:rPr>
        <w:t>the</w:t>
      </w:r>
      <w:r>
        <w:rPr>
          <w:spacing w:val="-12"/>
          <w:sz w:val="22"/>
        </w:rPr>
        <w:t> </w:t>
      </w:r>
      <w:r>
        <w:rPr>
          <w:sz w:val="22"/>
        </w:rPr>
        <w:t>Project</w:t>
      </w:r>
      <w:r>
        <w:rPr>
          <w:spacing w:val="-8"/>
          <w:sz w:val="22"/>
        </w:rPr>
        <w:t> </w:t>
      </w:r>
      <w:r>
        <w:rPr>
          <w:sz w:val="22"/>
        </w:rPr>
        <w:t>have</w:t>
      </w:r>
      <w:r>
        <w:rPr>
          <w:spacing w:val="-10"/>
          <w:sz w:val="22"/>
        </w:rPr>
        <w:t> </w:t>
      </w:r>
      <w:r>
        <w:rPr>
          <w:sz w:val="22"/>
        </w:rPr>
        <w:t>been</w:t>
      </w:r>
      <w:r>
        <w:rPr>
          <w:spacing w:val="-12"/>
          <w:sz w:val="22"/>
        </w:rPr>
        <w:t> </w:t>
      </w:r>
      <w:r>
        <w:rPr>
          <w:sz w:val="22"/>
        </w:rPr>
        <w:t>met,</w:t>
      </w:r>
      <w:r>
        <w:rPr>
          <w:spacing w:val="-8"/>
          <w:sz w:val="22"/>
        </w:rPr>
        <w:t> </w:t>
      </w:r>
      <w:r>
        <w:rPr>
          <w:sz w:val="22"/>
        </w:rPr>
        <w:t>including</w:t>
      </w:r>
      <w:r>
        <w:rPr>
          <w:spacing w:val="-10"/>
          <w:sz w:val="22"/>
        </w:rPr>
        <w:t> </w:t>
      </w:r>
      <w:r>
        <w:rPr>
          <w:sz w:val="22"/>
        </w:rPr>
        <w:t>but</w:t>
      </w:r>
      <w:r>
        <w:rPr>
          <w:spacing w:val="-11"/>
          <w:sz w:val="22"/>
        </w:rPr>
        <w:t> </w:t>
      </w:r>
      <w:r>
        <w:rPr>
          <w:sz w:val="22"/>
        </w:rPr>
        <w:t>not</w:t>
      </w:r>
      <w:r>
        <w:rPr>
          <w:spacing w:val="-11"/>
          <w:sz w:val="22"/>
        </w:rPr>
        <w:t> </w:t>
      </w:r>
      <w:r>
        <w:rPr>
          <w:sz w:val="22"/>
        </w:rPr>
        <w:t>limited</w:t>
      </w:r>
      <w:r>
        <w:rPr>
          <w:spacing w:val="-12"/>
          <w:sz w:val="22"/>
        </w:rPr>
        <w:t> </w:t>
      </w:r>
      <w:r>
        <w:rPr>
          <w:sz w:val="22"/>
        </w:rPr>
        <w:t>to</w:t>
      </w:r>
      <w:r>
        <w:rPr>
          <w:spacing w:val="-15"/>
          <w:sz w:val="22"/>
        </w:rPr>
        <w:t> </w:t>
      </w:r>
      <w:r>
        <w:rPr>
          <w:sz w:val="22"/>
        </w:rPr>
        <w:t>monitoring</w:t>
      </w:r>
      <w:r>
        <w:rPr>
          <w:spacing w:val="-10"/>
          <w:sz w:val="22"/>
        </w:rPr>
        <w:t> </w:t>
      </w:r>
      <w:r>
        <w:rPr>
          <w:sz w:val="22"/>
        </w:rPr>
        <w:t>of</w:t>
      </w:r>
      <w:r>
        <w:rPr>
          <w:spacing w:val="-8"/>
          <w:sz w:val="22"/>
        </w:rPr>
        <w:t> </w:t>
      </w:r>
      <w:r>
        <w:rPr>
          <w:sz w:val="22"/>
        </w:rPr>
        <w:t>Davis Bacon compliance.</w:t>
      </w:r>
    </w:p>
    <w:p>
      <w:pPr>
        <w:pStyle w:val="BodyText"/>
        <w:spacing w:before="2"/>
      </w:pPr>
    </w:p>
    <w:p>
      <w:pPr>
        <w:pStyle w:val="BodyText"/>
        <w:ind w:left="120" w:right="154"/>
        <w:jc w:val="both"/>
      </w:pPr>
      <w:r>
        <w:rPr/>
        <w:t>For</w:t>
      </w:r>
      <w:r>
        <w:rPr>
          <w:spacing w:val="-1"/>
        </w:rPr>
        <w:t> </w:t>
      </w:r>
      <w:r>
        <w:rPr/>
        <w:t>nonprofit</w:t>
      </w:r>
      <w:r>
        <w:rPr>
          <w:spacing w:val="-1"/>
        </w:rPr>
        <w:t> </w:t>
      </w:r>
      <w:r>
        <w:rPr/>
        <w:t>developers,</w:t>
      </w:r>
      <w:r>
        <w:rPr>
          <w:spacing w:val="-3"/>
        </w:rPr>
        <w:t> </w:t>
      </w:r>
      <w:r>
        <w:rPr/>
        <w:t>including</w:t>
      </w:r>
      <w:r>
        <w:rPr>
          <w:spacing w:val="-2"/>
        </w:rPr>
        <w:t> </w:t>
      </w:r>
      <w:r>
        <w:rPr/>
        <w:t>CHDOs,</w:t>
      </w:r>
      <w:r>
        <w:rPr>
          <w:spacing w:val="-4"/>
        </w:rPr>
        <w:t> </w:t>
      </w:r>
      <w:r>
        <w:rPr/>
        <w:t>the</w:t>
      </w:r>
      <w:r>
        <w:rPr>
          <w:spacing w:val="-3"/>
        </w:rPr>
        <w:t> </w:t>
      </w:r>
      <w:r>
        <w:rPr/>
        <w:t>City</w:t>
      </w:r>
      <w:r>
        <w:rPr>
          <w:spacing w:val="-2"/>
        </w:rPr>
        <w:t> </w:t>
      </w:r>
      <w:r>
        <w:rPr/>
        <w:t>of</w:t>
      </w:r>
      <w:r>
        <w:rPr>
          <w:spacing w:val="-1"/>
        </w:rPr>
        <w:t> </w:t>
      </w:r>
      <w:r>
        <w:rPr/>
        <w:t>Dallas</w:t>
      </w:r>
      <w:r>
        <w:rPr>
          <w:spacing w:val="-2"/>
        </w:rPr>
        <w:t> </w:t>
      </w:r>
      <w:r>
        <w:rPr/>
        <w:t>may</w:t>
      </w:r>
      <w:r>
        <w:rPr>
          <w:spacing w:val="-5"/>
        </w:rPr>
        <w:t> </w:t>
      </w:r>
      <w:r>
        <w:rPr/>
        <w:t>release</w:t>
      </w:r>
      <w:r>
        <w:rPr>
          <w:spacing w:val="-5"/>
        </w:rPr>
        <w:t> </w:t>
      </w:r>
      <w:r>
        <w:rPr/>
        <w:t>payment</w:t>
      </w:r>
      <w:r>
        <w:rPr>
          <w:spacing w:val="-4"/>
        </w:rPr>
        <w:t> </w:t>
      </w:r>
      <w:r>
        <w:rPr/>
        <w:t>based</w:t>
      </w:r>
      <w:r>
        <w:rPr>
          <w:spacing w:val="-3"/>
        </w:rPr>
        <w:t> </w:t>
      </w:r>
      <w:r>
        <w:rPr/>
        <w:t>upon outstanding invoices for costs incurred and work completed. In such cases, the City of Dallas reserves the right to disburse through a title company, directly to the vendor, or with two-party </w:t>
      </w:r>
      <w:r>
        <w:rPr>
          <w:spacing w:val="-2"/>
        </w:rPr>
        <w:t>checks.</w:t>
      </w:r>
    </w:p>
    <w:p>
      <w:pPr>
        <w:pStyle w:val="BodyText"/>
        <w:spacing w:before="11"/>
        <w:rPr>
          <w:sz w:val="21"/>
        </w:rPr>
      </w:pPr>
    </w:p>
    <w:p>
      <w:pPr>
        <w:pStyle w:val="BodyText"/>
        <w:ind w:left="120"/>
        <w:jc w:val="both"/>
      </w:pPr>
      <w:r>
        <w:rPr/>
        <w:t>Project</w:t>
      </w:r>
      <w:r>
        <w:rPr>
          <w:spacing w:val="-5"/>
        </w:rPr>
        <w:t> </w:t>
      </w:r>
      <w:r>
        <w:rPr>
          <w:spacing w:val="-2"/>
        </w:rPr>
        <w:t>Closeout</w:t>
      </w:r>
    </w:p>
    <w:p>
      <w:pPr>
        <w:pStyle w:val="BodyText"/>
        <w:spacing w:before="2"/>
        <w:ind w:left="120" w:right="155"/>
        <w:jc w:val="both"/>
      </w:pPr>
      <w:r>
        <w:rPr/>
        <w:t>Developers are required to submit homebuyer eligibility packets to the City for approval of the homebuyers. Data</w:t>
      </w:r>
      <w:r>
        <w:rPr>
          <w:spacing w:val="-1"/>
        </w:rPr>
        <w:t> </w:t>
      </w:r>
      <w:r>
        <w:rPr/>
        <w:t>shall include elderly status, race, gender,</w:t>
      </w:r>
      <w:r>
        <w:rPr>
          <w:spacing w:val="-2"/>
        </w:rPr>
        <w:t> </w:t>
      </w:r>
      <w:r>
        <w:rPr/>
        <w:t>female</w:t>
      </w:r>
      <w:r>
        <w:rPr>
          <w:spacing w:val="-1"/>
        </w:rPr>
        <w:t> </w:t>
      </w:r>
      <w:r>
        <w:rPr/>
        <w:t>head</w:t>
      </w:r>
      <w:r>
        <w:rPr>
          <w:spacing w:val="-1"/>
        </w:rPr>
        <w:t> </w:t>
      </w:r>
      <w:r>
        <w:rPr/>
        <w:t>of household, number of household members, and income.</w:t>
      </w:r>
    </w:p>
    <w:p>
      <w:pPr>
        <w:pStyle w:val="BodyText"/>
        <w:spacing w:before="9"/>
        <w:rPr>
          <w:sz w:val="21"/>
        </w:rPr>
      </w:pPr>
    </w:p>
    <w:p>
      <w:pPr>
        <w:pStyle w:val="BodyText"/>
        <w:ind w:left="120" w:right="155"/>
        <w:jc w:val="both"/>
      </w:pPr>
      <w:r>
        <w:rPr/>
        <w:t>The</w:t>
      </w:r>
      <w:r>
        <w:rPr>
          <w:spacing w:val="-6"/>
        </w:rPr>
        <w:t> </w:t>
      </w:r>
      <w:r>
        <w:rPr/>
        <w:t>City</w:t>
      </w:r>
      <w:r>
        <w:rPr>
          <w:spacing w:val="-8"/>
        </w:rPr>
        <w:t> </w:t>
      </w:r>
      <w:r>
        <w:rPr/>
        <w:t>of</w:t>
      </w:r>
      <w:r>
        <w:rPr>
          <w:spacing w:val="-7"/>
        </w:rPr>
        <w:t> </w:t>
      </w:r>
      <w:r>
        <w:rPr/>
        <w:t>Dallas</w:t>
      </w:r>
      <w:r>
        <w:rPr>
          <w:spacing w:val="-6"/>
        </w:rPr>
        <w:t> </w:t>
      </w:r>
      <w:r>
        <w:rPr/>
        <w:t>requires</w:t>
      </w:r>
      <w:r>
        <w:rPr>
          <w:spacing w:val="-6"/>
        </w:rPr>
        <w:t> </w:t>
      </w:r>
      <w:r>
        <w:rPr/>
        <w:t>a</w:t>
      </w:r>
      <w:r>
        <w:rPr>
          <w:spacing w:val="-9"/>
        </w:rPr>
        <w:t> </w:t>
      </w:r>
      <w:r>
        <w:rPr/>
        <w:t>copy</w:t>
      </w:r>
      <w:r>
        <w:rPr>
          <w:spacing w:val="-8"/>
        </w:rPr>
        <w:t> </w:t>
      </w:r>
      <w:r>
        <w:rPr/>
        <w:t>of</w:t>
      </w:r>
      <w:r>
        <w:rPr>
          <w:spacing w:val="-7"/>
        </w:rPr>
        <w:t> </w:t>
      </w:r>
      <w:r>
        <w:rPr/>
        <w:t>the</w:t>
      </w:r>
      <w:r>
        <w:rPr>
          <w:spacing w:val="-11"/>
        </w:rPr>
        <w:t> </w:t>
      </w:r>
      <w:r>
        <w:rPr/>
        <w:t>final</w:t>
      </w:r>
      <w:r>
        <w:rPr>
          <w:spacing w:val="-7"/>
        </w:rPr>
        <w:t> </w:t>
      </w:r>
      <w:r>
        <w:rPr/>
        <w:t>project</w:t>
      </w:r>
      <w:r>
        <w:rPr>
          <w:spacing w:val="-7"/>
        </w:rPr>
        <w:t> </w:t>
      </w:r>
      <w:r>
        <w:rPr/>
        <w:t>sources</w:t>
      </w:r>
      <w:r>
        <w:rPr>
          <w:spacing w:val="-8"/>
        </w:rPr>
        <w:t> </w:t>
      </w:r>
      <w:r>
        <w:rPr/>
        <w:t>and</w:t>
      </w:r>
      <w:r>
        <w:rPr>
          <w:spacing w:val="-9"/>
        </w:rPr>
        <w:t> </w:t>
      </w:r>
      <w:r>
        <w:rPr/>
        <w:t>uses</w:t>
      </w:r>
      <w:r>
        <w:rPr>
          <w:spacing w:val="-8"/>
        </w:rPr>
        <w:t> </w:t>
      </w:r>
      <w:r>
        <w:rPr/>
        <w:t>statement</w:t>
      </w:r>
      <w:r>
        <w:rPr>
          <w:spacing w:val="-5"/>
        </w:rPr>
        <w:t> </w:t>
      </w:r>
      <w:r>
        <w:rPr/>
        <w:t>and,</w:t>
      </w:r>
      <w:r>
        <w:rPr>
          <w:spacing w:val="-7"/>
        </w:rPr>
        <w:t> </w:t>
      </w:r>
      <w:r>
        <w:rPr/>
        <w:t>at</w:t>
      </w:r>
      <w:r>
        <w:rPr>
          <w:spacing w:val="-7"/>
        </w:rPr>
        <w:t> </w:t>
      </w:r>
      <w:r>
        <w:rPr/>
        <w:t>the</w:t>
      </w:r>
      <w:r>
        <w:rPr>
          <w:spacing w:val="-9"/>
        </w:rPr>
        <w:t> </w:t>
      </w:r>
      <w:r>
        <w:rPr/>
        <w:t>City of Dallas option, may require the submission of the project cost certification prepared by an independent Certified Public Accountant following completion of construction and payment of all development costs.</w:t>
      </w:r>
    </w:p>
    <w:p>
      <w:pPr>
        <w:spacing w:after="0"/>
        <w:jc w:val="both"/>
        <w:sectPr>
          <w:pgSz w:w="12240" w:h="15840"/>
          <w:pgMar w:header="0" w:footer="1176" w:top="1360" w:bottom="1420" w:left="1320" w:right="1280"/>
        </w:sectPr>
      </w:pPr>
    </w:p>
    <w:p>
      <w:pPr>
        <w:pStyle w:val="Heading3"/>
        <w:jc w:val="both"/>
      </w:pPr>
      <w:bookmarkStart w:name="Rental Development Underwriting" w:id="88"/>
      <w:bookmarkEnd w:id="88"/>
      <w:r>
        <w:rPr/>
      </w:r>
      <w:bookmarkStart w:name="_bookmark38" w:id="89"/>
      <w:bookmarkEnd w:id="89"/>
      <w:r>
        <w:rPr/>
      </w:r>
      <w:r>
        <w:rPr>
          <w:color w:val="001F5F"/>
        </w:rPr>
        <w:t>Rental</w:t>
      </w:r>
      <w:r>
        <w:rPr>
          <w:color w:val="001F5F"/>
          <w:spacing w:val="-19"/>
        </w:rPr>
        <w:t> </w:t>
      </w:r>
      <w:r>
        <w:rPr>
          <w:color w:val="001F5F"/>
        </w:rPr>
        <w:t>Development</w:t>
      </w:r>
      <w:r>
        <w:rPr>
          <w:color w:val="001F5F"/>
          <w:spacing w:val="-19"/>
        </w:rPr>
        <w:t> </w:t>
      </w:r>
      <w:r>
        <w:rPr>
          <w:color w:val="001F5F"/>
          <w:spacing w:val="-2"/>
        </w:rPr>
        <w:t>Underwriting</w:t>
      </w:r>
    </w:p>
    <w:p>
      <w:pPr>
        <w:pStyle w:val="BodyText"/>
        <w:spacing w:before="282"/>
        <w:ind w:left="120" w:right="156"/>
        <w:jc w:val="both"/>
      </w:pPr>
      <w:r>
        <w:rPr/>
        <w:t>In</w:t>
      </w:r>
      <w:r>
        <w:rPr>
          <w:spacing w:val="-3"/>
        </w:rPr>
        <w:t> </w:t>
      </w:r>
      <w:r>
        <w:rPr/>
        <w:t>reviewing applications</w:t>
      </w:r>
      <w:r>
        <w:rPr>
          <w:spacing w:val="-2"/>
        </w:rPr>
        <w:t> </w:t>
      </w:r>
      <w:r>
        <w:rPr/>
        <w:t>for</w:t>
      </w:r>
      <w:r>
        <w:rPr>
          <w:spacing w:val="-1"/>
        </w:rPr>
        <w:t> </w:t>
      </w:r>
      <w:r>
        <w:rPr/>
        <w:t>HOME</w:t>
      </w:r>
      <w:r>
        <w:rPr>
          <w:spacing w:val="-3"/>
        </w:rPr>
        <w:t> </w:t>
      </w:r>
      <w:r>
        <w:rPr/>
        <w:t>assistance,</w:t>
      </w:r>
      <w:r>
        <w:rPr>
          <w:spacing w:val="-1"/>
        </w:rPr>
        <w:t> </w:t>
      </w:r>
      <w:r>
        <w:rPr/>
        <w:t>as</w:t>
      </w:r>
      <w:r>
        <w:rPr>
          <w:spacing w:val="-2"/>
        </w:rPr>
        <w:t> </w:t>
      </w:r>
      <w:r>
        <w:rPr/>
        <w:t>required</w:t>
      </w:r>
      <w:r>
        <w:rPr>
          <w:spacing w:val="-3"/>
        </w:rPr>
        <w:t> </w:t>
      </w:r>
      <w:r>
        <w:rPr/>
        <w:t>by</w:t>
      </w:r>
      <w:r>
        <w:rPr>
          <w:spacing w:val="-2"/>
        </w:rPr>
        <w:t> </w:t>
      </w:r>
      <w:r>
        <w:rPr/>
        <w:t>§92.250(b)</w:t>
      </w:r>
      <w:r>
        <w:rPr>
          <w:spacing w:val="-1"/>
        </w:rPr>
        <w:t> </w:t>
      </w:r>
      <w:r>
        <w:rPr/>
        <w:t>and</w:t>
      </w:r>
      <w:r>
        <w:rPr>
          <w:spacing w:val="-3"/>
        </w:rPr>
        <w:t> </w:t>
      </w:r>
      <w:r>
        <w:rPr/>
        <w:t>prudent</w:t>
      </w:r>
      <w:r>
        <w:rPr>
          <w:spacing w:val="-1"/>
        </w:rPr>
        <w:t> </w:t>
      </w:r>
      <w:r>
        <w:rPr/>
        <w:t>business practices, the City’s underwriting framework includes evaluations of:</w:t>
      </w:r>
    </w:p>
    <w:p>
      <w:pPr>
        <w:pStyle w:val="BodyText"/>
        <w:spacing w:before="3"/>
      </w:pPr>
    </w:p>
    <w:p>
      <w:pPr>
        <w:pStyle w:val="ListParagraph"/>
        <w:numPr>
          <w:ilvl w:val="0"/>
          <w:numId w:val="29"/>
        </w:numPr>
        <w:tabs>
          <w:tab w:pos="841" w:val="left" w:leader="none"/>
        </w:tabs>
        <w:spacing w:line="237" w:lineRule="auto" w:before="1" w:after="0"/>
        <w:ind w:left="840" w:right="153" w:hanging="361"/>
        <w:jc w:val="both"/>
        <w:rPr>
          <w:sz w:val="22"/>
        </w:rPr>
      </w:pPr>
      <w:r>
        <w:rPr>
          <w:b/>
          <w:sz w:val="22"/>
        </w:rPr>
        <w:t>Regulatory requirements applicable to the project</w:t>
      </w:r>
      <w:r>
        <w:rPr>
          <w:sz w:val="22"/>
        </w:rPr>
        <w:t>, including compliance (or ability to become compliant) with</w:t>
      </w:r>
      <w:r>
        <w:rPr>
          <w:spacing w:val="-3"/>
          <w:sz w:val="22"/>
        </w:rPr>
        <w:t> </w:t>
      </w:r>
      <w:r>
        <w:rPr>
          <w:sz w:val="22"/>
        </w:rPr>
        <w:t>HOME’s affordability</w:t>
      </w:r>
      <w:r>
        <w:rPr>
          <w:spacing w:val="-2"/>
          <w:sz w:val="22"/>
        </w:rPr>
        <w:t> </w:t>
      </w:r>
      <w:r>
        <w:rPr>
          <w:sz w:val="22"/>
        </w:rPr>
        <w:t>restrictions, property standards, and cross- cutting federal requirements;</w:t>
      </w:r>
    </w:p>
    <w:p>
      <w:pPr>
        <w:pStyle w:val="ListParagraph"/>
        <w:numPr>
          <w:ilvl w:val="0"/>
          <w:numId w:val="29"/>
        </w:numPr>
        <w:tabs>
          <w:tab w:pos="841" w:val="left" w:leader="none"/>
        </w:tabs>
        <w:spacing w:line="237" w:lineRule="auto" w:before="4" w:after="0"/>
        <w:ind w:left="840" w:right="156" w:hanging="361"/>
        <w:jc w:val="both"/>
        <w:rPr>
          <w:sz w:val="22"/>
        </w:rPr>
      </w:pPr>
      <w:r>
        <w:rPr/>
        <w:pict>
          <v:shape style="position:absolute;margin-left:90.065002pt;margin-top:5.391994pt;width:395.3pt;height:419pt;mso-position-horizontal-relative:page;mso-position-vertical-relative:paragraph;z-index:-17681408" id="docshape124" coordorigin="1801,108" coordsize="7906,8380" path="m4498,7371l4492,7298,4477,7220,4455,7137,4432,7068,4403,6996,4367,6921,4325,6843,4276,6762,4237,6703,4200,6653,4200,7338,4197,7395,4186,7451,4167,7509,4138,7568,4097,7631,4044,7697,3979,7767,3674,8072,2216,6614,2517,6314,2598,6238,2672,6178,2740,6134,2801,6108,2868,6093,2941,6089,3020,6096,3105,6114,3195,6143,3255,6169,3317,6201,3380,6239,3446,6284,3514,6336,3584,6394,3656,6459,3729,6530,3789,6592,3845,6652,3896,6711,3943,6769,3986,6825,4025,6881,4059,6935,4101,7009,4136,7081,4163,7151,4183,7218,4196,7282,4200,7338,4200,6653,4194,6644,4148,6584,4098,6523,4045,6462,3989,6401,3929,6339,3865,6277,3801,6218,3737,6163,3673,6112,3643,6089,3609,6064,3546,6019,3482,5978,3419,5940,3346,5903,3274,5870,3203,5843,3132,5821,3062,5804,2992,5792,2923,5785,2850,5783,2779,5790,2709,5805,2642,5828,2577,5858,2528,5886,2476,5923,2420,5969,2359,6023,2294,6086,1801,6579,3710,8487,4124,8072,4226,7970,4287,7905,4341,7840,4386,7774,4424,7707,4454,7641,4476,7575,4491,7508,4498,7440,4498,7371xm6418,5778l6056,5651,5650,5508,5561,5479,5475,5455,5393,5436,5365,5431,5314,5421,5239,5411,5193,5410,5143,5413,5089,5420,5030,5431,5073,5361,5109,5291,5136,5222,5154,5153,5164,5085,5165,5017,5157,4949,5139,4871,5111,4795,5075,4720,5030,4647,4976,4577,4956,4554,4913,4508,4872,4470,4872,5027,4868,5083,4854,5138,4830,5194,4794,5252,4747,5313,4687,5377,4280,5784,3649,5153,4102,4700,4166,4643,4229,4600,4293,4570,4358,4555,4422,4554,4501,4569,4577,4599,4649,4643,4718,4703,4761,4751,4797,4801,4827,4855,4851,4912,4867,4970,4872,5027,4872,4470,4849,4448,4782,4396,4713,4350,4641,4312,4566,4280,4474,4252,4386,4239,4303,4241,4225,4257,4163,4282,4098,4318,4030,4366,3958,4426,3883,4497,3248,5132,5157,7040,5346,6850,4499,6003,4718,5784,4753,5750,4783,5722,4810,5701,4833,5687,4863,5673,4896,5663,4932,5655,4971,5651,5014,5651,5066,5656,5125,5666,5194,5683,5256,5700,5328,5721,5407,5746,5496,5775,6180,6017,6418,5778xm7780,4416l7415,4221,6555,3767,6555,4074,6070,4559,6030,4488,5989,4416,5748,3985,5708,3914,5668,3842,5629,3777,5590,3712,5550,3648,5509,3585,5467,3523,5424,3461,5380,3401,5436,3436,5498,3474,5564,3514,5635,3556,5792,3646,6555,4074,6555,3767,5862,3401,5286,3094,5082,3298,5277,3648,5316,3719,5701,4416,6207,5335,6441,5756,6642,5555,6565,5421,6298,4953,6221,4820,6481,4559,6820,4221,7173,4416,7565,4632,7780,4416xm8131,4066l7264,3199,7936,2527,7711,2302,7039,2974,6448,2383,7224,1606,6999,1381,6033,2347,7941,4255,8131,4066xm9707,2490l8024,807,8497,333,8272,108,7138,1242,7363,1468,7834,996,9517,2679,9707,2490xe" filled="true" fillcolor="#c0c0c0" stroked="false">
            <v:path arrowok="t"/>
            <v:fill opacity="32896f" type="solid"/>
            <w10:wrap type="none"/>
          </v:shape>
        </w:pict>
      </w:r>
      <w:r>
        <w:rPr>
          <w:b/>
          <w:sz w:val="22"/>
        </w:rPr>
        <w:t>Market risk</w:t>
      </w:r>
      <w:r>
        <w:rPr>
          <w:sz w:val="22"/>
        </w:rPr>
        <w:t>, including whether or not sufficient demand exists for the project, the anticipated lease-up period, and whether general economic conditions and other competition supports ongoing viability;</w:t>
      </w:r>
    </w:p>
    <w:p>
      <w:pPr>
        <w:pStyle w:val="ListParagraph"/>
        <w:numPr>
          <w:ilvl w:val="0"/>
          <w:numId w:val="29"/>
        </w:numPr>
        <w:tabs>
          <w:tab w:pos="841" w:val="left" w:leader="none"/>
        </w:tabs>
        <w:spacing w:line="240" w:lineRule="auto" w:before="3" w:after="0"/>
        <w:ind w:left="840" w:right="154" w:hanging="361"/>
        <w:jc w:val="both"/>
        <w:rPr>
          <w:sz w:val="22"/>
        </w:rPr>
      </w:pPr>
      <w:r>
        <w:rPr>
          <w:b/>
          <w:sz w:val="22"/>
        </w:rPr>
        <w:t>Developer</w:t>
      </w:r>
      <w:r>
        <w:rPr>
          <w:b/>
          <w:spacing w:val="-9"/>
          <w:sz w:val="22"/>
        </w:rPr>
        <w:t> </w:t>
      </w:r>
      <w:r>
        <w:rPr>
          <w:b/>
          <w:sz w:val="22"/>
        </w:rPr>
        <w:t>risk</w:t>
      </w:r>
      <w:r>
        <w:rPr>
          <w:sz w:val="22"/>
        </w:rPr>
        <w:t>,</w:t>
      </w:r>
      <w:r>
        <w:rPr>
          <w:spacing w:val="-8"/>
          <w:sz w:val="22"/>
        </w:rPr>
        <w:t> </w:t>
      </w:r>
      <w:r>
        <w:rPr>
          <w:sz w:val="22"/>
        </w:rPr>
        <w:t>focusing</w:t>
      </w:r>
      <w:r>
        <w:rPr>
          <w:spacing w:val="-7"/>
          <w:sz w:val="22"/>
        </w:rPr>
        <w:t> </w:t>
      </w:r>
      <w:r>
        <w:rPr>
          <w:sz w:val="22"/>
        </w:rPr>
        <w:t>on</w:t>
      </w:r>
      <w:r>
        <w:rPr>
          <w:spacing w:val="-10"/>
          <w:sz w:val="22"/>
        </w:rPr>
        <w:t> </w:t>
      </w:r>
      <w:r>
        <w:rPr>
          <w:sz w:val="22"/>
        </w:rPr>
        <w:t>whether</w:t>
      </w:r>
      <w:r>
        <w:rPr>
          <w:spacing w:val="-9"/>
          <w:sz w:val="22"/>
        </w:rPr>
        <w:t> </w:t>
      </w:r>
      <w:r>
        <w:rPr>
          <w:sz w:val="22"/>
        </w:rPr>
        <w:t>the</w:t>
      </w:r>
      <w:r>
        <w:rPr>
          <w:spacing w:val="-10"/>
          <w:sz w:val="22"/>
        </w:rPr>
        <w:t> </w:t>
      </w:r>
      <w:r>
        <w:rPr>
          <w:sz w:val="22"/>
        </w:rPr>
        <w:t>owner/developer</w:t>
      </w:r>
      <w:r>
        <w:rPr>
          <w:spacing w:val="-9"/>
          <w:sz w:val="22"/>
        </w:rPr>
        <w:t> </w:t>
      </w:r>
      <w:r>
        <w:rPr>
          <w:sz w:val="22"/>
        </w:rPr>
        <w:t>(including</w:t>
      </w:r>
      <w:r>
        <w:rPr>
          <w:spacing w:val="-7"/>
          <w:sz w:val="22"/>
        </w:rPr>
        <w:t> </w:t>
      </w:r>
      <w:r>
        <w:rPr>
          <w:sz w:val="22"/>
        </w:rPr>
        <w:t>but</w:t>
      </w:r>
      <w:r>
        <w:rPr>
          <w:spacing w:val="-8"/>
          <w:sz w:val="22"/>
        </w:rPr>
        <w:t> </w:t>
      </w:r>
      <w:r>
        <w:rPr>
          <w:sz w:val="22"/>
        </w:rPr>
        <w:t>not</w:t>
      </w:r>
      <w:r>
        <w:rPr>
          <w:spacing w:val="-7"/>
          <w:sz w:val="22"/>
        </w:rPr>
        <w:t> </w:t>
      </w:r>
      <w:r>
        <w:rPr>
          <w:sz w:val="22"/>
        </w:rPr>
        <w:t>limited</w:t>
      </w:r>
      <w:r>
        <w:rPr>
          <w:spacing w:val="-10"/>
          <w:sz w:val="22"/>
        </w:rPr>
        <w:t> </w:t>
      </w:r>
      <w:r>
        <w:rPr>
          <w:sz w:val="22"/>
        </w:rPr>
        <w:t>to</w:t>
      </w:r>
      <w:r>
        <w:rPr>
          <w:spacing w:val="-10"/>
          <w:sz w:val="22"/>
        </w:rPr>
        <w:t> </w:t>
      </w:r>
      <w:r>
        <w:rPr>
          <w:sz w:val="22"/>
        </w:rPr>
        <w:t>the underlying</w:t>
      </w:r>
      <w:r>
        <w:rPr>
          <w:spacing w:val="-5"/>
          <w:sz w:val="22"/>
        </w:rPr>
        <w:t> </w:t>
      </w:r>
      <w:r>
        <w:rPr>
          <w:sz w:val="22"/>
        </w:rPr>
        <w:t>owners</w:t>
      </w:r>
      <w:r>
        <w:rPr>
          <w:spacing w:val="-7"/>
          <w:sz w:val="22"/>
        </w:rPr>
        <w:t> </w:t>
      </w:r>
      <w:r>
        <w:rPr>
          <w:sz w:val="22"/>
        </w:rPr>
        <w:t>of</w:t>
      </w:r>
      <w:r>
        <w:rPr>
          <w:spacing w:val="-6"/>
          <w:sz w:val="22"/>
        </w:rPr>
        <w:t> </w:t>
      </w:r>
      <w:r>
        <w:rPr>
          <w:sz w:val="22"/>
        </w:rPr>
        <w:t>special</w:t>
      </w:r>
      <w:r>
        <w:rPr>
          <w:spacing w:val="-6"/>
          <w:sz w:val="22"/>
        </w:rPr>
        <w:t> </w:t>
      </w:r>
      <w:r>
        <w:rPr>
          <w:sz w:val="22"/>
        </w:rPr>
        <w:t>purpose</w:t>
      </w:r>
      <w:r>
        <w:rPr>
          <w:spacing w:val="-5"/>
          <w:sz w:val="22"/>
        </w:rPr>
        <w:t> </w:t>
      </w:r>
      <w:r>
        <w:rPr>
          <w:sz w:val="22"/>
        </w:rPr>
        <w:t>entities)</w:t>
      </w:r>
      <w:r>
        <w:rPr>
          <w:spacing w:val="-6"/>
          <w:sz w:val="22"/>
        </w:rPr>
        <w:t> </w:t>
      </w:r>
      <w:r>
        <w:rPr>
          <w:sz w:val="22"/>
        </w:rPr>
        <w:t>have</w:t>
      </w:r>
      <w:r>
        <w:rPr>
          <w:spacing w:val="-5"/>
          <w:sz w:val="22"/>
        </w:rPr>
        <w:t> </w:t>
      </w:r>
      <w:r>
        <w:rPr>
          <w:sz w:val="22"/>
        </w:rPr>
        <w:t>the</w:t>
      </w:r>
      <w:r>
        <w:rPr>
          <w:spacing w:val="-7"/>
          <w:sz w:val="22"/>
        </w:rPr>
        <w:t> </w:t>
      </w:r>
      <w:r>
        <w:rPr>
          <w:sz w:val="22"/>
        </w:rPr>
        <w:t>technical</w:t>
      </w:r>
      <w:r>
        <w:rPr>
          <w:spacing w:val="-6"/>
          <w:sz w:val="22"/>
        </w:rPr>
        <w:t> </w:t>
      </w:r>
      <w:r>
        <w:rPr>
          <w:sz w:val="22"/>
        </w:rPr>
        <w:t>capacity</w:t>
      </w:r>
      <w:r>
        <w:rPr>
          <w:spacing w:val="-7"/>
          <w:sz w:val="22"/>
        </w:rPr>
        <w:t> </w:t>
      </w:r>
      <w:r>
        <w:rPr>
          <w:sz w:val="22"/>
        </w:rPr>
        <w:t>to</w:t>
      </w:r>
      <w:r>
        <w:rPr>
          <w:spacing w:val="-5"/>
          <w:sz w:val="22"/>
        </w:rPr>
        <w:t> </w:t>
      </w:r>
      <w:r>
        <w:rPr>
          <w:sz w:val="22"/>
        </w:rPr>
        <w:t>develop</w:t>
      </w:r>
      <w:r>
        <w:rPr>
          <w:spacing w:val="-5"/>
          <w:sz w:val="22"/>
        </w:rPr>
        <w:t> </w:t>
      </w:r>
      <w:r>
        <w:rPr>
          <w:sz w:val="22"/>
        </w:rPr>
        <w:t>and operate the property and the financial capacity to safeguard public funds and backstop the project if the event of poor financial performance; and</w:t>
      </w:r>
    </w:p>
    <w:p>
      <w:pPr>
        <w:pStyle w:val="ListParagraph"/>
        <w:numPr>
          <w:ilvl w:val="0"/>
          <w:numId w:val="29"/>
        </w:numPr>
        <w:tabs>
          <w:tab w:pos="841" w:val="left" w:leader="none"/>
        </w:tabs>
        <w:spacing w:line="240" w:lineRule="auto" w:before="0" w:after="0"/>
        <w:ind w:left="840" w:right="157" w:hanging="361"/>
        <w:jc w:val="both"/>
        <w:rPr>
          <w:sz w:val="22"/>
        </w:rPr>
      </w:pPr>
      <w:r>
        <w:rPr>
          <w:b/>
          <w:sz w:val="22"/>
        </w:rPr>
        <w:t>Project</w:t>
      </w:r>
      <w:r>
        <w:rPr>
          <w:b/>
          <w:spacing w:val="-16"/>
          <w:sz w:val="22"/>
        </w:rPr>
        <w:t> </w:t>
      </w:r>
      <w:r>
        <w:rPr>
          <w:b/>
          <w:sz w:val="22"/>
        </w:rPr>
        <w:t>risk</w:t>
      </w:r>
      <w:r>
        <w:rPr>
          <w:b/>
          <w:spacing w:val="-15"/>
          <w:sz w:val="22"/>
        </w:rPr>
        <w:t> </w:t>
      </w:r>
      <w:r>
        <w:rPr>
          <w:b/>
          <w:sz w:val="22"/>
        </w:rPr>
        <w:t>(or</w:t>
      </w:r>
      <w:r>
        <w:rPr>
          <w:b/>
          <w:spacing w:val="-15"/>
          <w:sz w:val="22"/>
        </w:rPr>
        <w:t> </w:t>
      </w:r>
      <w:r>
        <w:rPr>
          <w:b/>
          <w:sz w:val="22"/>
        </w:rPr>
        <w:t>“financial</w:t>
      </w:r>
      <w:r>
        <w:rPr>
          <w:b/>
          <w:spacing w:val="-16"/>
          <w:sz w:val="22"/>
        </w:rPr>
        <w:t> </w:t>
      </w:r>
      <w:r>
        <w:rPr>
          <w:b/>
          <w:sz w:val="22"/>
        </w:rPr>
        <w:t>underwriting”)</w:t>
      </w:r>
      <w:r>
        <w:rPr>
          <w:sz w:val="22"/>
        </w:rPr>
        <w:t>,</w:t>
      </w:r>
      <w:r>
        <w:rPr>
          <w:spacing w:val="-15"/>
          <w:sz w:val="22"/>
        </w:rPr>
        <w:t> </w:t>
      </w:r>
      <w:r>
        <w:rPr>
          <w:sz w:val="22"/>
        </w:rPr>
        <w:t>testing</w:t>
      </w:r>
      <w:r>
        <w:rPr>
          <w:spacing w:val="-15"/>
          <w:sz w:val="22"/>
        </w:rPr>
        <w:t> </w:t>
      </w:r>
      <w:r>
        <w:rPr>
          <w:sz w:val="22"/>
        </w:rPr>
        <w:t>the</w:t>
      </w:r>
      <w:r>
        <w:rPr>
          <w:spacing w:val="-15"/>
          <w:sz w:val="22"/>
        </w:rPr>
        <w:t> </w:t>
      </w:r>
      <w:r>
        <w:rPr>
          <w:sz w:val="22"/>
        </w:rPr>
        <w:t>economic</w:t>
      </w:r>
      <w:r>
        <w:rPr>
          <w:spacing w:val="-15"/>
          <w:sz w:val="22"/>
        </w:rPr>
        <w:t> </w:t>
      </w:r>
      <w:r>
        <w:rPr>
          <w:sz w:val="22"/>
        </w:rPr>
        <w:t>and</w:t>
      </w:r>
      <w:r>
        <w:rPr>
          <w:spacing w:val="-15"/>
          <w:sz w:val="22"/>
        </w:rPr>
        <w:t> </w:t>
      </w:r>
      <w:r>
        <w:rPr>
          <w:sz w:val="22"/>
        </w:rPr>
        <w:t>financial</w:t>
      </w:r>
      <w:r>
        <w:rPr>
          <w:spacing w:val="-15"/>
          <w:sz w:val="22"/>
        </w:rPr>
        <w:t> </w:t>
      </w:r>
      <w:r>
        <w:rPr>
          <w:sz w:val="22"/>
        </w:rPr>
        <w:t>projections for the transaction including both sources and uses as well as ongoing operating assumptions.</w:t>
      </w:r>
      <w:r>
        <w:rPr>
          <w:spacing w:val="-9"/>
          <w:sz w:val="22"/>
        </w:rPr>
        <w:t> </w:t>
      </w:r>
      <w:r>
        <w:rPr>
          <w:sz w:val="22"/>
        </w:rPr>
        <w:t>This</w:t>
      </w:r>
      <w:r>
        <w:rPr>
          <w:spacing w:val="-13"/>
          <w:sz w:val="22"/>
        </w:rPr>
        <w:t> </w:t>
      </w:r>
      <w:r>
        <w:rPr>
          <w:sz w:val="22"/>
        </w:rPr>
        <w:t>includes</w:t>
      </w:r>
      <w:r>
        <w:rPr>
          <w:spacing w:val="-10"/>
          <w:sz w:val="22"/>
        </w:rPr>
        <w:t> </w:t>
      </w:r>
      <w:r>
        <w:rPr>
          <w:sz w:val="22"/>
        </w:rPr>
        <w:t>confirmation</w:t>
      </w:r>
      <w:r>
        <w:rPr>
          <w:spacing w:val="-11"/>
          <w:sz w:val="22"/>
        </w:rPr>
        <w:t> </w:t>
      </w:r>
      <w:r>
        <w:rPr>
          <w:sz w:val="22"/>
        </w:rPr>
        <w:t>that</w:t>
      </w:r>
      <w:r>
        <w:rPr>
          <w:spacing w:val="-12"/>
          <w:sz w:val="22"/>
        </w:rPr>
        <w:t> </w:t>
      </w:r>
      <w:r>
        <w:rPr>
          <w:sz w:val="22"/>
        </w:rPr>
        <w:t>all</w:t>
      </w:r>
      <w:r>
        <w:rPr>
          <w:spacing w:val="-11"/>
          <w:sz w:val="22"/>
        </w:rPr>
        <w:t> </w:t>
      </w:r>
      <w:r>
        <w:rPr>
          <w:sz w:val="22"/>
        </w:rPr>
        <w:t>sources</w:t>
      </w:r>
      <w:r>
        <w:rPr>
          <w:spacing w:val="-10"/>
          <w:sz w:val="22"/>
        </w:rPr>
        <w:t> </w:t>
      </w:r>
      <w:r>
        <w:rPr>
          <w:sz w:val="22"/>
        </w:rPr>
        <w:t>of</w:t>
      </w:r>
      <w:r>
        <w:rPr>
          <w:spacing w:val="-9"/>
          <w:sz w:val="22"/>
        </w:rPr>
        <w:t> </w:t>
      </w:r>
      <w:r>
        <w:rPr>
          <w:sz w:val="22"/>
        </w:rPr>
        <w:t>project</w:t>
      </w:r>
      <w:r>
        <w:rPr>
          <w:spacing w:val="-12"/>
          <w:sz w:val="22"/>
        </w:rPr>
        <w:t> </w:t>
      </w:r>
      <w:r>
        <w:rPr>
          <w:sz w:val="22"/>
        </w:rPr>
        <w:t>financing</w:t>
      </w:r>
      <w:r>
        <w:rPr>
          <w:spacing w:val="-11"/>
          <w:sz w:val="22"/>
        </w:rPr>
        <w:t> </w:t>
      </w:r>
      <w:r>
        <w:rPr>
          <w:sz w:val="22"/>
        </w:rPr>
        <w:t>are</w:t>
      </w:r>
      <w:r>
        <w:rPr>
          <w:spacing w:val="-13"/>
          <w:sz w:val="22"/>
        </w:rPr>
        <w:t> </w:t>
      </w:r>
      <w:r>
        <w:rPr>
          <w:sz w:val="22"/>
        </w:rPr>
        <w:t>available, commercially reasonable, and have been appropriately maximized prior to awarding HOME funds.</w:t>
      </w:r>
    </w:p>
    <w:p>
      <w:pPr>
        <w:pStyle w:val="BodyText"/>
        <w:spacing w:before="7"/>
        <w:rPr>
          <w:sz w:val="21"/>
        </w:rPr>
      </w:pPr>
    </w:p>
    <w:p>
      <w:pPr>
        <w:pStyle w:val="BodyText"/>
        <w:ind w:left="120"/>
        <w:jc w:val="both"/>
      </w:pPr>
      <w:r>
        <w:rPr/>
        <w:t>Market</w:t>
      </w:r>
      <w:r>
        <w:rPr>
          <w:spacing w:val="-2"/>
        </w:rPr>
        <w:t> Assessment</w:t>
      </w:r>
    </w:p>
    <w:p>
      <w:pPr>
        <w:pStyle w:val="BodyText"/>
        <w:spacing w:before="1"/>
        <w:ind w:left="120" w:right="154"/>
        <w:jc w:val="both"/>
      </w:pPr>
      <w:r>
        <w:rPr/>
        <w:t>All HOME project applications must include a third-party market study prepared in a manner consistent with TDHCA’s market analysis requirements. Unless otherwise approved by the City, market studies shall be prepared by providers included on the list of </w:t>
      </w:r>
      <w:hyperlink r:id="rId26">
        <w:r>
          <w:rPr>
            <w:u w:val="single"/>
          </w:rPr>
          <w:t>TDHCA Approved Market</w:t>
        </w:r>
      </w:hyperlink>
      <w:r>
        <w:rPr/>
        <w:t> </w:t>
      </w:r>
      <w:hyperlink r:id="rId26">
        <w:r>
          <w:rPr>
            <w:u w:val="single"/>
          </w:rPr>
          <w:t>Analyst</w:t>
        </w:r>
      </w:hyperlink>
      <w:r>
        <w:rPr/>
        <w:t>s. Owner’s may generally submit the market study used in conjunction with the Owner’s LIHTC application, if applicable. Market studies must be less than one year old at the time of commitment of HOME funds. For market studies that are more than one year old, the City will typically require an</w:t>
      </w:r>
      <w:r>
        <w:rPr>
          <w:spacing w:val="-2"/>
        </w:rPr>
        <w:t> </w:t>
      </w:r>
      <w:r>
        <w:rPr/>
        <w:t>update from the original analyst or a new</w:t>
      </w:r>
      <w:r>
        <w:rPr>
          <w:spacing w:val="-2"/>
        </w:rPr>
        <w:t> </w:t>
      </w:r>
      <w:r>
        <w:rPr/>
        <w:t>market study</w:t>
      </w:r>
      <w:r>
        <w:rPr>
          <w:spacing w:val="-1"/>
        </w:rPr>
        <w:t> </w:t>
      </w:r>
      <w:r>
        <w:rPr/>
        <w:t>from another analyst. Proposed rent levels must be supported by the applicant’s market study and be within HOME regulatory limits.</w:t>
      </w:r>
    </w:p>
    <w:p>
      <w:pPr>
        <w:pStyle w:val="BodyText"/>
        <w:spacing w:before="1"/>
      </w:pPr>
    </w:p>
    <w:p>
      <w:pPr>
        <w:pStyle w:val="BodyText"/>
        <w:ind w:left="120"/>
        <w:jc w:val="both"/>
      </w:pPr>
      <w:r>
        <w:rPr/>
        <w:t>Additionally,</w:t>
      </w:r>
      <w:r>
        <w:rPr>
          <w:spacing w:val="-6"/>
        </w:rPr>
        <w:t> </w:t>
      </w:r>
      <w:r>
        <w:rPr/>
        <w:t>the</w:t>
      </w:r>
      <w:r>
        <w:rPr>
          <w:spacing w:val="-7"/>
        </w:rPr>
        <w:t> </w:t>
      </w:r>
      <w:r>
        <w:rPr/>
        <w:t>market</w:t>
      </w:r>
      <w:r>
        <w:rPr>
          <w:spacing w:val="-7"/>
        </w:rPr>
        <w:t> </w:t>
      </w:r>
      <w:r>
        <w:rPr/>
        <w:t>study</w:t>
      </w:r>
      <w:r>
        <w:rPr>
          <w:spacing w:val="-7"/>
        </w:rPr>
        <w:t> </w:t>
      </w:r>
      <w:r>
        <w:rPr/>
        <w:t>should</w:t>
      </w:r>
      <w:r>
        <w:rPr>
          <w:spacing w:val="-5"/>
        </w:rPr>
        <w:t> </w:t>
      </w:r>
      <w:r>
        <w:rPr/>
        <w:t>demonstrate</w:t>
      </w:r>
      <w:r>
        <w:rPr>
          <w:spacing w:val="-6"/>
        </w:rPr>
        <w:t> </w:t>
      </w:r>
      <w:r>
        <w:rPr/>
        <w:t>the</w:t>
      </w:r>
      <w:r>
        <w:rPr>
          <w:spacing w:val="-6"/>
        </w:rPr>
        <w:t> </w:t>
      </w:r>
      <w:r>
        <w:rPr>
          <w:spacing w:val="-2"/>
        </w:rPr>
        <w:t>following:</w:t>
      </w:r>
    </w:p>
    <w:p>
      <w:pPr>
        <w:pStyle w:val="BodyText"/>
      </w:pPr>
    </w:p>
    <w:p>
      <w:pPr>
        <w:pStyle w:val="ListParagraph"/>
        <w:numPr>
          <w:ilvl w:val="0"/>
          <w:numId w:val="29"/>
        </w:numPr>
        <w:tabs>
          <w:tab w:pos="841" w:val="left" w:leader="none"/>
        </w:tabs>
        <w:spacing w:line="240" w:lineRule="auto" w:before="0" w:after="0"/>
        <w:ind w:left="840" w:right="156" w:hanging="361"/>
        <w:jc w:val="both"/>
        <w:rPr>
          <w:sz w:val="22"/>
        </w:rPr>
      </w:pPr>
      <w:r>
        <w:rPr>
          <w:sz w:val="22"/>
        </w:rPr>
        <w:t>All</w:t>
      </w:r>
      <w:r>
        <w:rPr>
          <w:spacing w:val="-6"/>
          <w:sz w:val="22"/>
        </w:rPr>
        <w:t> </w:t>
      </w:r>
      <w:r>
        <w:rPr>
          <w:sz w:val="22"/>
        </w:rPr>
        <w:t>units,</w:t>
      </w:r>
      <w:r>
        <w:rPr>
          <w:spacing w:val="-4"/>
          <w:sz w:val="22"/>
        </w:rPr>
        <w:t> </w:t>
      </w:r>
      <w:r>
        <w:rPr>
          <w:sz w:val="22"/>
        </w:rPr>
        <w:t>including</w:t>
      </w:r>
      <w:r>
        <w:rPr>
          <w:spacing w:val="-5"/>
          <w:sz w:val="22"/>
        </w:rPr>
        <w:t> </w:t>
      </w:r>
      <w:r>
        <w:rPr>
          <w:sz w:val="22"/>
        </w:rPr>
        <w:t>any</w:t>
      </w:r>
      <w:r>
        <w:rPr>
          <w:spacing w:val="-5"/>
          <w:sz w:val="22"/>
        </w:rPr>
        <w:t> </w:t>
      </w:r>
      <w:r>
        <w:rPr>
          <w:sz w:val="22"/>
        </w:rPr>
        <w:t>“market</w:t>
      </w:r>
      <w:r>
        <w:rPr>
          <w:spacing w:val="-6"/>
          <w:sz w:val="22"/>
        </w:rPr>
        <w:t> </w:t>
      </w:r>
      <w:r>
        <w:rPr>
          <w:sz w:val="22"/>
        </w:rPr>
        <w:t>rate”</w:t>
      </w:r>
      <w:r>
        <w:rPr>
          <w:spacing w:val="-4"/>
          <w:sz w:val="22"/>
        </w:rPr>
        <w:t> </w:t>
      </w:r>
      <w:r>
        <w:rPr>
          <w:sz w:val="22"/>
        </w:rPr>
        <w:t>units</w:t>
      </w:r>
      <w:r>
        <w:rPr>
          <w:spacing w:val="-7"/>
          <w:sz w:val="22"/>
        </w:rPr>
        <w:t> </w:t>
      </w:r>
      <w:r>
        <w:rPr>
          <w:sz w:val="22"/>
        </w:rPr>
        <w:t>as</w:t>
      </w:r>
      <w:r>
        <w:rPr>
          <w:spacing w:val="-5"/>
          <w:sz w:val="22"/>
        </w:rPr>
        <w:t> </w:t>
      </w:r>
      <w:r>
        <w:rPr>
          <w:sz w:val="22"/>
        </w:rPr>
        <w:t>well</w:t>
      </w:r>
      <w:r>
        <w:rPr>
          <w:spacing w:val="-8"/>
          <w:sz w:val="22"/>
        </w:rPr>
        <w:t> </w:t>
      </w:r>
      <w:r>
        <w:rPr>
          <w:sz w:val="22"/>
        </w:rPr>
        <w:t>as</w:t>
      </w:r>
      <w:r>
        <w:rPr>
          <w:spacing w:val="-5"/>
          <w:sz w:val="22"/>
        </w:rPr>
        <w:t> </w:t>
      </w:r>
      <w:r>
        <w:rPr>
          <w:sz w:val="22"/>
        </w:rPr>
        <w:t>any</w:t>
      </w:r>
      <w:r>
        <w:rPr>
          <w:spacing w:val="-7"/>
          <w:sz w:val="22"/>
        </w:rPr>
        <w:t> </w:t>
      </w:r>
      <w:r>
        <w:rPr>
          <w:sz w:val="22"/>
        </w:rPr>
        <w:t>units</w:t>
      </w:r>
      <w:r>
        <w:rPr>
          <w:spacing w:val="-5"/>
          <w:sz w:val="22"/>
        </w:rPr>
        <w:t> </w:t>
      </w:r>
      <w:r>
        <w:rPr>
          <w:sz w:val="22"/>
        </w:rPr>
        <w:t>with</w:t>
      </w:r>
      <w:r>
        <w:rPr>
          <w:spacing w:val="-7"/>
          <w:sz w:val="22"/>
        </w:rPr>
        <w:t> </w:t>
      </w:r>
      <w:r>
        <w:rPr>
          <w:sz w:val="22"/>
        </w:rPr>
        <w:t>income/rent</w:t>
      </w:r>
      <w:r>
        <w:rPr>
          <w:spacing w:val="-4"/>
          <w:sz w:val="22"/>
        </w:rPr>
        <w:t> </w:t>
      </w:r>
      <w:r>
        <w:rPr>
          <w:sz w:val="22"/>
        </w:rPr>
        <w:t>restriction imposed</w:t>
      </w:r>
      <w:r>
        <w:rPr>
          <w:spacing w:val="-3"/>
          <w:sz w:val="22"/>
        </w:rPr>
        <w:t> </w:t>
      </w:r>
      <w:r>
        <w:rPr>
          <w:sz w:val="22"/>
        </w:rPr>
        <w:t>by</w:t>
      </w:r>
      <w:r>
        <w:rPr>
          <w:spacing w:val="-5"/>
          <w:sz w:val="22"/>
        </w:rPr>
        <w:t> </w:t>
      </w:r>
      <w:r>
        <w:rPr>
          <w:sz w:val="22"/>
        </w:rPr>
        <w:t>other</w:t>
      </w:r>
      <w:r>
        <w:rPr>
          <w:spacing w:val="-4"/>
          <w:sz w:val="22"/>
        </w:rPr>
        <w:t> </w:t>
      </w:r>
      <w:r>
        <w:rPr>
          <w:sz w:val="22"/>
        </w:rPr>
        <w:t>programs</w:t>
      </w:r>
      <w:r>
        <w:rPr>
          <w:spacing w:val="-5"/>
          <w:sz w:val="22"/>
        </w:rPr>
        <w:t> </w:t>
      </w:r>
      <w:r>
        <w:rPr>
          <w:sz w:val="22"/>
        </w:rPr>
        <w:t>such</w:t>
      </w:r>
      <w:r>
        <w:rPr>
          <w:spacing w:val="-5"/>
          <w:sz w:val="22"/>
        </w:rPr>
        <w:t> </w:t>
      </w:r>
      <w:r>
        <w:rPr>
          <w:sz w:val="22"/>
        </w:rPr>
        <w:t>as</w:t>
      </w:r>
      <w:r>
        <w:rPr>
          <w:spacing w:val="-2"/>
          <w:sz w:val="22"/>
        </w:rPr>
        <w:t> </w:t>
      </w:r>
      <w:r>
        <w:rPr>
          <w:sz w:val="22"/>
        </w:rPr>
        <w:t>LIHTC,</w:t>
      </w:r>
      <w:r>
        <w:rPr>
          <w:spacing w:val="-3"/>
          <w:sz w:val="22"/>
        </w:rPr>
        <w:t> </w:t>
      </w:r>
      <w:r>
        <w:rPr>
          <w:sz w:val="22"/>
        </w:rPr>
        <w:t>must</w:t>
      </w:r>
      <w:r>
        <w:rPr>
          <w:spacing w:val="-3"/>
          <w:sz w:val="22"/>
        </w:rPr>
        <w:t> </w:t>
      </w:r>
      <w:r>
        <w:rPr>
          <w:sz w:val="22"/>
        </w:rPr>
        <w:t>demonstrate</w:t>
      </w:r>
      <w:r>
        <w:rPr>
          <w:spacing w:val="-5"/>
          <w:sz w:val="22"/>
        </w:rPr>
        <w:t> </w:t>
      </w:r>
      <w:r>
        <w:rPr>
          <w:sz w:val="22"/>
        </w:rPr>
        <w:t>viability</w:t>
      </w:r>
      <w:r>
        <w:rPr>
          <w:spacing w:val="-2"/>
          <w:sz w:val="22"/>
        </w:rPr>
        <w:t> </w:t>
      </w:r>
      <w:r>
        <w:rPr>
          <w:sz w:val="22"/>
        </w:rPr>
        <w:t>within</w:t>
      </w:r>
      <w:r>
        <w:rPr>
          <w:spacing w:val="-3"/>
          <w:sz w:val="22"/>
        </w:rPr>
        <w:t> </w:t>
      </w:r>
      <w:r>
        <w:rPr>
          <w:sz w:val="22"/>
        </w:rPr>
        <w:t>the</w:t>
      </w:r>
      <w:r>
        <w:rPr>
          <w:spacing w:val="-5"/>
          <w:sz w:val="22"/>
        </w:rPr>
        <w:t> </w:t>
      </w:r>
      <w:r>
        <w:rPr>
          <w:sz w:val="22"/>
        </w:rPr>
        <w:t>primary market area</w:t>
      </w:r>
      <w:r>
        <w:rPr>
          <w:spacing w:val="-3"/>
          <w:sz w:val="22"/>
        </w:rPr>
        <w:t> </w:t>
      </w:r>
      <w:r>
        <w:rPr>
          <w:sz w:val="22"/>
        </w:rPr>
        <w:t>taking into</w:t>
      </w:r>
      <w:r>
        <w:rPr>
          <w:spacing w:val="-3"/>
          <w:sz w:val="22"/>
        </w:rPr>
        <w:t> </w:t>
      </w:r>
      <w:r>
        <w:rPr>
          <w:sz w:val="22"/>
        </w:rPr>
        <w:t>account any known</w:t>
      </w:r>
      <w:r>
        <w:rPr>
          <w:spacing w:val="-3"/>
          <w:sz w:val="22"/>
        </w:rPr>
        <w:t> </w:t>
      </w:r>
      <w:r>
        <w:rPr>
          <w:sz w:val="22"/>
        </w:rPr>
        <w:t>rent concessions being offered</w:t>
      </w:r>
      <w:r>
        <w:rPr>
          <w:spacing w:val="-3"/>
          <w:sz w:val="22"/>
        </w:rPr>
        <w:t> </w:t>
      </w:r>
      <w:r>
        <w:rPr>
          <w:sz w:val="22"/>
        </w:rPr>
        <w:t>by competing </w:t>
      </w:r>
      <w:r>
        <w:rPr>
          <w:spacing w:val="-2"/>
          <w:sz w:val="22"/>
        </w:rPr>
        <w:t>properties;</w:t>
      </w:r>
    </w:p>
    <w:p>
      <w:pPr>
        <w:pStyle w:val="ListParagraph"/>
        <w:numPr>
          <w:ilvl w:val="0"/>
          <w:numId w:val="29"/>
        </w:numPr>
        <w:tabs>
          <w:tab w:pos="841" w:val="left" w:leader="none"/>
        </w:tabs>
        <w:spacing w:line="237" w:lineRule="auto" w:before="1" w:after="0"/>
        <w:ind w:left="840" w:right="155" w:hanging="361"/>
        <w:jc w:val="both"/>
        <w:rPr>
          <w:sz w:val="22"/>
        </w:rPr>
      </w:pPr>
      <w:r>
        <w:rPr>
          <w:sz w:val="22"/>
        </w:rPr>
        <w:t>Income and rent restricted units must have “discounts” of at least 15% relative to comparable un-restricted units;</w:t>
      </w:r>
    </w:p>
    <w:p>
      <w:pPr>
        <w:pStyle w:val="ListParagraph"/>
        <w:numPr>
          <w:ilvl w:val="0"/>
          <w:numId w:val="29"/>
        </w:numPr>
        <w:tabs>
          <w:tab w:pos="841" w:val="left" w:leader="none"/>
        </w:tabs>
        <w:spacing w:line="237" w:lineRule="auto" w:before="3" w:after="0"/>
        <w:ind w:left="840" w:right="157" w:hanging="361"/>
        <w:jc w:val="both"/>
        <w:rPr>
          <w:sz w:val="22"/>
        </w:rPr>
      </w:pPr>
      <w:r>
        <w:rPr>
          <w:sz w:val="22"/>
        </w:rPr>
        <w:t>Achievable occupancy rates, based on a comparison of comparable properties in the primary market area, must be at or above 95% (physical occupancy);</w:t>
      </w:r>
    </w:p>
    <w:p>
      <w:pPr>
        <w:pStyle w:val="ListParagraph"/>
        <w:numPr>
          <w:ilvl w:val="0"/>
          <w:numId w:val="29"/>
        </w:numPr>
        <w:tabs>
          <w:tab w:pos="841" w:val="left" w:leader="none"/>
        </w:tabs>
        <w:spacing w:line="237" w:lineRule="auto" w:before="4" w:after="0"/>
        <w:ind w:left="840" w:right="155" w:hanging="361"/>
        <w:jc w:val="both"/>
        <w:rPr>
          <w:sz w:val="22"/>
        </w:rPr>
      </w:pPr>
      <w:r>
        <w:rPr>
          <w:sz w:val="22"/>
        </w:rPr>
        <w:t>Capture rate for the development as a whole is no more than 10%, and no capture rate for specific unit sizes (e.g. 3-bedroom units) exceeds 25%; and</w:t>
      </w:r>
    </w:p>
    <w:p>
      <w:pPr>
        <w:pStyle w:val="ListParagraph"/>
        <w:numPr>
          <w:ilvl w:val="0"/>
          <w:numId w:val="29"/>
        </w:numPr>
        <w:tabs>
          <w:tab w:pos="841" w:val="left" w:leader="none"/>
        </w:tabs>
        <w:spacing w:line="237" w:lineRule="auto" w:before="3" w:after="0"/>
        <w:ind w:left="840" w:right="156" w:hanging="361"/>
        <w:jc w:val="both"/>
        <w:rPr>
          <w:sz w:val="22"/>
        </w:rPr>
      </w:pPr>
      <w:r>
        <w:rPr>
          <w:sz w:val="22"/>
        </w:rPr>
        <w:t>Absorption can be expected to result in underwritten occupancy levels within six (6) months of units being ready for occupancy.</w:t>
      </w:r>
    </w:p>
    <w:p>
      <w:pPr>
        <w:pStyle w:val="BodyText"/>
      </w:pPr>
    </w:p>
    <w:p>
      <w:pPr>
        <w:pStyle w:val="BodyText"/>
        <w:spacing w:before="1"/>
        <w:ind w:left="120" w:right="156"/>
        <w:jc w:val="both"/>
      </w:pPr>
      <w:r>
        <w:rPr/>
        <w:t>For projects not meeting these standards the City, in its sole discretion, may also consider the </w:t>
      </w:r>
      <w:r>
        <w:rPr>
          <w:spacing w:val="-2"/>
        </w:rPr>
        <w:t>following:</w:t>
      </w:r>
    </w:p>
    <w:p>
      <w:pPr>
        <w:spacing w:after="0"/>
        <w:jc w:val="both"/>
        <w:sectPr>
          <w:pgSz w:w="12240" w:h="15840"/>
          <w:pgMar w:header="0" w:footer="1176" w:top="1380" w:bottom="1420" w:left="1320" w:right="1280"/>
        </w:sectPr>
      </w:pPr>
    </w:p>
    <w:p>
      <w:pPr>
        <w:pStyle w:val="ListParagraph"/>
        <w:numPr>
          <w:ilvl w:val="0"/>
          <w:numId w:val="29"/>
        </w:numPr>
        <w:tabs>
          <w:tab w:pos="841" w:val="left" w:leader="none"/>
        </w:tabs>
        <w:spacing w:line="240" w:lineRule="auto" w:before="82" w:after="0"/>
        <w:ind w:left="840" w:right="158" w:hanging="361"/>
        <w:jc w:val="both"/>
        <w:rPr>
          <w:sz w:val="22"/>
        </w:rPr>
      </w:pPr>
      <w:r>
        <w:rPr>
          <w:sz w:val="22"/>
        </w:rPr>
        <w:t>For project targeting special needs populations (e.g. homeless households, domestic violence victims, veterans, or other specific subpopulations), the City may accept higher capture rates if data from the local Continuum of Care and/or service providers specializing in the targeted populations (e.g. VA service centers) suggest an adequate pipeline of eligible renters exists and will be consistently referred to the development.</w:t>
      </w:r>
    </w:p>
    <w:p>
      <w:pPr>
        <w:pStyle w:val="ListParagraph"/>
        <w:numPr>
          <w:ilvl w:val="0"/>
          <w:numId w:val="29"/>
        </w:numPr>
        <w:tabs>
          <w:tab w:pos="841" w:val="left" w:leader="none"/>
        </w:tabs>
        <w:spacing w:line="240" w:lineRule="auto" w:before="0" w:after="0"/>
        <w:ind w:left="840" w:right="156" w:hanging="361"/>
        <w:jc w:val="both"/>
        <w:rPr>
          <w:sz w:val="22"/>
        </w:rPr>
      </w:pPr>
      <w:r>
        <w:rPr/>
        <w:pict>
          <v:shape style="position:absolute;margin-left:90.065002pt;margin-top:50.421177pt;width:395.3pt;height:419pt;mso-position-horizontal-relative:page;mso-position-vertical-relative:paragraph;z-index:-17680896" id="docshape125" coordorigin="1801,1008" coordsize="7906,8380" path="m4498,8272l4492,8199,4477,8121,4455,8038,4432,7969,4403,7897,4367,7822,4325,7744,4276,7663,4237,7604,4200,7553,4200,8239,4197,8295,4186,8352,4167,8409,4138,8469,4097,8532,4044,8598,3979,8667,3674,8973,2216,7515,2517,7214,2598,7138,2672,7078,2740,7035,2801,7008,2868,6994,2941,6990,3020,6996,3105,7014,3195,7043,3255,7069,3317,7101,3380,7140,3446,7185,3514,7237,3584,7295,3656,7359,3729,7431,3789,7492,3845,7552,3896,7611,3943,7669,3986,7726,4025,7781,4059,7835,4101,7910,4136,7982,4163,8052,4183,8118,4196,8183,4200,8239,4200,7553,4194,7544,4148,7484,4098,7424,4045,7363,3989,7301,3929,7240,3865,7177,3801,7119,3737,7064,3673,7012,3643,6990,3609,6964,3546,6920,3482,6879,3419,6841,3346,6803,3274,6771,3203,6744,3132,6722,3062,6705,2992,6693,2923,6685,2850,6684,2779,6691,2709,6705,2642,6728,2577,6759,2528,6787,2476,6824,2420,6870,2359,6924,2294,6986,1801,7479,3710,9388,4124,8973,4226,8871,4287,8806,4341,8741,4386,8675,4424,8608,4454,8542,4476,8475,4491,8408,4498,8341,4498,8272xm6418,6679l6056,6551,5650,6409,5561,6379,5475,6355,5393,6336,5365,6331,5314,6322,5239,6312,5193,6310,5143,6313,5089,6320,5030,6331,5073,6261,5109,6192,5136,6123,5154,6054,5164,5985,5165,5917,5157,5849,5139,5771,5111,5695,5075,5621,5030,5548,4976,5477,4956,5454,4913,5408,4872,5370,4872,5928,4868,5983,4854,6038,4830,6095,4794,6153,4747,6214,4687,6278,4280,6685,3649,6054,4102,5601,4166,5544,4229,5500,4293,5471,4358,5456,4422,5454,4501,5470,4577,5499,4649,5544,4718,5604,4761,5651,4797,5702,4827,5756,4851,5812,4867,5871,4872,5928,4872,5370,4849,5349,4782,5296,4713,5251,4641,5212,4566,5180,4474,5152,4386,5139,4303,5141,4225,5157,4163,5182,4098,5219,4030,5267,3958,5326,3883,5398,3248,6032,5157,7940,5346,7751,4499,6904,4718,6685,4753,6650,4783,6623,4810,6602,4833,6588,4863,6574,4896,6563,4932,6556,4971,6551,5014,6551,5066,6557,5125,6567,5194,6583,5256,6601,5328,6622,5407,6647,5496,6676,6180,6917,6418,6679xm7780,5317l7415,5122,6555,4668,6555,4975,6070,5460,6030,5388,5989,5317,5748,4886,5708,4814,5668,4743,5629,4677,5590,4613,5550,4549,5509,4486,5467,4423,5424,4362,5380,4301,5436,4337,5498,4375,5564,4415,5635,4457,5792,4547,6555,4975,6555,4668,5862,4301,5286,3994,5082,4198,5277,4549,5316,4619,5701,5317,6207,6236,6441,6656,6642,6455,6565,6322,6298,5854,6221,5720,6481,5460,6820,5122,7173,5317,7565,5533,7780,5317xm8131,4966l7264,4099,7936,3428,7711,3202,7039,3874,6448,3283,7224,2507,6999,2282,6033,3247,7941,5156,8131,4966xm9707,3390l8024,1707,8497,1234,8272,1008,7138,2143,7363,2368,7834,1897,9517,3580,9707,3390xe" filled="true" fillcolor="#c0c0c0" stroked="false">
            <v:path arrowok="t"/>
            <v:fill opacity="32896f" type="solid"/>
            <w10:wrap type="none"/>
          </v:shape>
        </w:pict>
      </w:r>
      <w:r>
        <w:rPr>
          <w:sz w:val="22"/>
        </w:rPr>
        <w:t>For</w:t>
      </w:r>
      <w:r>
        <w:rPr>
          <w:spacing w:val="-5"/>
          <w:sz w:val="22"/>
        </w:rPr>
        <w:t> </w:t>
      </w:r>
      <w:r>
        <w:rPr>
          <w:sz w:val="22"/>
        </w:rPr>
        <w:t>existing</w:t>
      </w:r>
      <w:r>
        <w:rPr>
          <w:spacing w:val="-8"/>
          <w:sz w:val="22"/>
        </w:rPr>
        <w:t> </w:t>
      </w:r>
      <w:r>
        <w:rPr>
          <w:sz w:val="22"/>
        </w:rPr>
        <w:t>projects</w:t>
      </w:r>
      <w:r>
        <w:rPr>
          <w:spacing w:val="-8"/>
          <w:sz w:val="22"/>
        </w:rPr>
        <w:t> </w:t>
      </w:r>
      <w:r>
        <w:rPr>
          <w:sz w:val="22"/>
        </w:rPr>
        <w:t>being</w:t>
      </w:r>
      <w:r>
        <w:rPr>
          <w:spacing w:val="-6"/>
          <w:sz w:val="22"/>
        </w:rPr>
        <w:t> </w:t>
      </w:r>
      <w:r>
        <w:rPr>
          <w:sz w:val="22"/>
        </w:rPr>
        <w:t>rehabilitated,</w:t>
      </w:r>
      <w:r>
        <w:rPr>
          <w:spacing w:val="-9"/>
          <w:sz w:val="22"/>
        </w:rPr>
        <w:t> </w:t>
      </w:r>
      <w:r>
        <w:rPr>
          <w:sz w:val="22"/>
        </w:rPr>
        <w:t>the</w:t>
      </w:r>
      <w:r>
        <w:rPr>
          <w:spacing w:val="-8"/>
          <w:sz w:val="22"/>
        </w:rPr>
        <w:t> </w:t>
      </w:r>
      <w:r>
        <w:rPr>
          <w:sz w:val="22"/>
        </w:rPr>
        <w:t>City</w:t>
      </w:r>
      <w:r>
        <w:rPr>
          <w:spacing w:val="-8"/>
          <w:sz w:val="22"/>
        </w:rPr>
        <w:t> </w:t>
      </w:r>
      <w:r>
        <w:rPr>
          <w:sz w:val="22"/>
        </w:rPr>
        <w:t>will</w:t>
      </w:r>
      <w:r>
        <w:rPr>
          <w:spacing w:val="-7"/>
          <w:sz w:val="22"/>
        </w:rPr>
        <w:t> </w:t>
      </w:r>
      <w:r>
        <w:rPr>
          <w:sz w:val="22"/>
        </w:rPr>
        <w:t>consider</w:t>
      </w:r>
      <w:r>
        <w:rPr>
          <w:spacing w:val="-7"/>
          <w:sz w:val="22"/>
        </w:rPr>
        <w:t> </w:t>
      </w:r>
      <w:r>
        <w:rPr>
          <w:sz w:val="22"/>
        </w:rPr>
        <w:t>the</w:t>
      </w:r>
      <w:r>
        <w:rPr>
          <w:spacing w:val="-8"/>
          <w:sz w:val="22"/>
        </w:rPr>
        <w:t> </w:t>
      </w:r>
      <w:r>
        <w:rPr>
          <w:sz w:val="22"/>
        </w:rPr>
        <w:t>recent</w:t>
      </w:r>
      <w:r>
        <w:rPr>
          <w:spacing w:val="-7"/>
          <w:sz w:val="22"/>
        </w:rPr>
        <w:t> </w:t>
      </w:r>
      <w:r>
        <w:rPr>
          <w:sz w:val="22"/>
        </w:rPr>
        <w:t>operating</w:t>
      </w:r>
      <w:r>
        <w:rPr>
          <w:spacing w:val="-8"/>
          <w:sz w:val="22"/>
        </w:rPr>
        <w:t> </w:t>
      </w:r>
      <w:r>
        <w:rPr>
          <w:sz w:val="22"/>
        </w:rPr>
        <w:t>history of</w:t>
      </w:r>
      <w:r>
        <w:rPr>
          <w:spacing w:val="-1"/>
          <w:sz w:val="22"/>
        </w:rPr>
        <w:t> </w:t>
      </w:r>
      <w:r>
        <w:rPr>
          <w:sz w:val="22"/>
        </w:rPr>
        <w:t>the</w:t>
      </w:r>
      <w:r>
        <w:rPr>
          <w:spacing w:val="-1"/>
          <w:sz w:val="22"/>
        </w:rPr>
        <w:t> </w:t>
      </w:r>
      <w:r>
        <w:rPr>
          <w:sz w:val="22"/>
        </w:rPr>
        <w:t>project</w:t>
      </w:r>
      <w:r>
        <w:rPr>
          <w:spacing w:val="-1"/>
          <w:sz w:val="22"/>
        </w:rPr>
        <w:t> </w:t>
      </w:r>
      <w:r>
        <w:rPr>
          <w:sz w:val="22"/>
        </w:rPr>
        <w:t>in</w:t>
      </w:r>
      <w:r>
        <w:rPr>
          <w:spacing w:val="-1"/>
          <w:sz w:val="22"/>
        </w:rPr>
        <w:t> </w:t>
      </w:r>
      <w:r>
        <w:rPr>
          <w:sz w:val="22"/>
        </w:rPr>
        <w:t>terms</w:t>
      </w:r>
      <w:r>
        <w:rPr>
          <w:spacing w:val="-1"/>
          <w:sz w:val="22"/>
        </w:rPr>
        <w:t> </w:t>
      </w:r>
      <w:r>
        <w:rPr>
          <w:sz w:val="22"/>
        </w:rPr>
        <w:t>of</w:t>
      </w:r>
      <w:r>
        <w:rPr>
          <w:spacing w:val="-1"/>
          <w:sz w:val="22"/>
        </w:rPr>
        <w:t> </w:t>
      </w:r>
      <w:r>
        <w:rPr>
          <w:sz w:val="22"/>
        </w:rPr>
        <w:t>actual</w:t>
      </w:r>
      <w:r>
        <w:rPr>
          <w:spacing w:val="-1"/>
          <w:sz w:val="22"/>
        </w:rPr>
        <w:t> </w:t>
      </w:r>
      <w:r>
        <w:rPr>
          <w:sz w:val="22"/>
        </w:rPr>
        <w:t>rents</w:t>
      </w:r>
      <w:r>
        <w:rPr>
          <w:spacing w:val="-2"/>
          <w:sz w:val="22"/>
        </w:rPr>
        <w:t> </w:t>
      </w:r>
      <w:r>
        <w:rPr>
          <w:sz w:val="22"/>
        </w:rPr>
        <w:t>charged/received, eligibility</w:t>
      </w:r>
      <w:r>
        <w:rPr>
          <w:spacing w:val="-1"/>
          <w:sz w:val="22"/>
        </w:rPr>
        <w:t> </w:t>
      </w:r>
      <w:r>
        <w:rPr>
          <w:sz w:val="22"/>
        </w:rPr>
        <w:t>of in-place</w:t>
      </w:r>
      <w:r>
        <w:rPr>
          <w:spacing w:val="-1"/>
          <w:sz w:val="22"/>
        </w:rPr>
        <w:t> </w:t>
      </w:r>
      <w:r>
        <w:rPr>
          <w:sz w:val="22"/>
        </w:rPr>
        <w:t>tenants,</w:t>
      </w:r>
      <w:r>
        <w:rPr>
          <w:spacing w:val="-1"/>
          <w:sz w:val="22"/>
        </w:rPr>
        <w:t> </w:t>
      </w:r>
      <w:r>
        <w:rPr>
          <w:sz w:val="22"/>
        </w:rPr>
        <w:t>and the like for evidence that the development’s projections are supported by actual </w:t>
      </w:r>
      <w:r>
        <w:rPr>
          <w:spacing w:val="-2"/>
          <w:sz w:val="22"/>
        </w:rPr>
        <w:t>performance.</w:t>
      </w:r>
    </w:p>
    <w:p>
      <w:pPr>
        <w:pStyle w:val="BodyText"/>
        <w:spacing w:before="4"/>
        <w:rPr>
          <w:sz w:val="21"/>
        </w:rPr>
      </w:pPr>
    </w:p>
    <w:p>
      <w:pPr>
        <w:pStyle w:val="BodyText"/>
        <w:ind w:left="120" w:right="156"/>
        <w:jc w:val="both"/>
      </w:pPr>
      <w:r>
        <w:rPr/>
        <w:t>The City may also consider offsetting the risk of relatively “weaker” market study findings by offering HOME assistance as permanent debt only, to be disbursed following actual lease-up of the development at proforma levels and achievement of stabilized occupancy.</w:t>
      </w:r>
    </w:p>
    <w:p>
      <w:pPr>
        <w:pStyle w:val="BodyText"/>
        <w:spacing w:before="1"/>
      </w:pPr>
    </w:p>
    <w:p>
      <w:pPr>
        <w:pStyle w:val="BodyText"/>
        <w:spacing w:line="252" w:lineRule="exact"/>
        <w:ind w:left="120"/>
        <w:jc w:val="both"/>
      </w:pPr>
      <w:r>
        <w:rPr/>
        <w:t>Developer</w:t>
      </w:r>
      <w:r>
        <w:rPr>
          <w:spacing w:val="-9"/>
        </w:rPr>
        <w:t> </w:t>
      </w:r>
      <w:r>
        <w:rPr/>
        <w:t>and</w:t>
      </w:r>
      <w:r>
        <w:rPr>
          <w:spacing w:val="-8"/>
        </w:rPr>
        <w:t> </w:t>
      </w:r>
      <w:r>
        <w:rPr/>
        <w:t>Development</w:t>
      </w:r>
      <w:r>
        <w:rPr>
          <w:spacing w:val="-9"/>
        </w:rPr>
        <w:t> </w:t>
      </w:r>
      <w:r>
        <w:rPr>
          <w:spacing w:val="-4"/>
        </w:rPr>
        <w:t>Team</w:t>
      </w:r>
    </w:p>
    <w:p>
      <w:pPr>
        <w:pStyle w:val="BodyText"/>
        <w:ind w:left="120" w:right="156"/>
        <w:jc w:val="both"/>
      </w:pPr>
      <w:r>
        <w:rPr/>
        <w:t>In most cases, projects considered by the City will be owned by single-purpose, single-asset entities created to hold title the development. For various purposes, including structuring necessary to comply with industry norms and take advantage of other funding sources such as LIHTC,</w:t>
      </w:r>
      <w:r>
        <w:rPr>
          <w:spacing w:val="-13"/>
        </w:rPr>
        <w:t> </w:t>
      </w:r>
      <w:r>
        <w:rPr/>
        <w:t>the</w:t>
      </w:r>
      <w:r>
        <w:rPr>
          <w:spacing w:val="-15"/>
        </w:rPr>
        <w:t> </w:t>
      </w:r>
      <w:r>
        <w:rPr/>
        <w:t>“owner”</w:t>
      </w:r>
      <w:r>
        <w:rPr>
          <w:spacing w:val="-13"/>
        </w:rPr>
        <w:t> </w:t>
      </w:r>
      <w:r>
        <w:rPr/>
        <w:t>and</w:t>
      </w:r>
      <w:r>
        <w:rPr>
          <w:spacing w:val="-15"/>
        </w:rPr>
        <w:t> </w:t>
      </w:r>
      <w:r>
        <w:rPr/>
        <w:t>“developer”</w:t>
      </w:r>
      <w:r>
        <w:rPr>
          <w:spacing w:val="-11"/>
        </w:rPr>
        <w:t> </w:t>
      </w:r>
      <w:r>
        <w:rPr/>
        <w:t>of</w:t>
      </w:r>
      <w:r>
        <w:rPr>
          <w:spacing w:val="-11"/>
        </w:rPr>
        <w:t> </w:t>
      </w:r>
      <w:r>
        <w:rPr/>
        <w:t>a</w:t>
      </w:r>
      <w:r>
        <w:rPr>
          <w:spacing w:val="-15"/>
        </w:rPr>
        <w:t> </w:t>
      </w:r>
      <w:r>
        <w:rPr/>
        <w:t>project</w:t>
      </w:r>
      <w:r>
        <w:rPr>
          <w:spacing w:val="-11"/>
        </w:rPr>
        <w:t> </w:t>
      </w:r>
      <w:r>
        <w:rPr/>
        <w:t>are</w:t>
      </w:r>
      <w:r>
        <w:rPr>
          <w:spacing w:val="-12"/>
        </w:rPr>
        <w:t> </w:t>
      </w:r>
      <w:r>
        <w:rPr/>
        <w:t>often</w:t>
      </w:r>
      <w:r>
        <w:rPr>
          <w:spacing w:val="-12"/>
        </w:rPr>
        <w:t> </w:t>
      </w:r>
      <w:r>
        <w:rPr/>
        <w:t>legally</w:t>
      </w:r>
      <w:r>
        <w:rPr>
          <w:spacing w:val="-12"/>
        </w:rPr>
        <w:t> </w:t>
      </w:r>
      <w:r>
        <w:rPr/>
        <w:t>distinct</w:t>
      </w:r>
      <w:r>
        <w:rPr>
          <w:spacing w:val="-13"/>
        </w:rPr>
        <w:t> </w:t>
      </w:r>
      <w:r>
        <w:rPr/>
        <w:t>entities,</w:t>
      </w:r>
      <w:r>
        <w:rPr>
          <w:spacing w:val="-11"/>
        </w:rPr>
        <w:t> </w:t>
      </w:r>
      <w:r>
        <w:rPr/>
        <w:t>even</w:t>
      </w:r>
      <w:r>
        <w:rPr>
          <w:spacing w:val="-15"/>
        </w:rPr>
        <w:t> </w:t>
      </w:r>
      <w:r>
        <w:rPr/>
        <w:t>if</w:t>
      </w:r>
      <w:r>
        <w:rPr>
          <w:spacing w:val="-11"/>
        </w:rPr>
        <w:t> </w:t>
      </w:r>
      <w:r>
        <w:rPr/>
        <w:t>ultimately owned and controlled by the same underlying parties.</w:t>
      </w:r>
    </w:p>
    <w:p>
      <w:pPr>
        <w:pStyle w:val="BodyText"/>
      </w:pPr>
    </w:p>
    <w:p>
      <w:pPr>
        <w:pStyle w:val="BodyText"/>
        <w:spacing w:line="252" w:lineRule="exact"/>
        <w:ind w:left="120"/>
        <w:jc w:val="both"/>
      </w:pPr>
      <w:r>
        <w:rPr/>
        <w:t>Developer</w:t>
      </w:r>
      <w:r>
        <w:rPr>
          <w:spacing w:val="-13"/>
        </w:rPr>
        <w:t> </w:t>
      </w:r>
      <w:r>
        <w:rPr/>
        <w:t>Technical/Professional</w:t>
      </w:r>
      <w:r>
        <w:rPr>
          <w:spacing w:val="-13"/>
        </w:rPr>
        <w:t> </w:t>
      </w:r>
      <w:r>
        <w:rPr>
          <w:spacing w:val="-2"/>
        </w:rPr>
        <w:t>Capacity</w:t>
      </w:r>
    </w:p>
    <w:p>
      <w:pPr>
        <w:pStyle w:val="BodyText"/>
        <w:ind w:left="120" w:right="155"/>
        <w:jc w:val="both"/>
      </w:pPr>
      <w:r>
        <w:rPr/>
        <w:t>In evaluating the capacity of the developer, the City will use the term more loosely to refer collectively</w:t>
      </w:r>
      <w:r>
        <w:rPr>
          <w:spacing w:val="-12"/>
        </w:rPr>
        <w:t> </w:t>
      </w:r>
      <w:r>
        <w:rPr/>
        <w:t>to</w:t>
      </w:r>
      <w:r>
        <w:rPr>
          <w:spacing w:val="-15"/>
        </w:rPr>
        <w:t> </w:t>
      </w:r>
      <w:r>
        <w:rPr/>
        <w:t>the</w:t>
      </w:r>
      <w:r>
        <w:rPr>
          <w:spacing w:val="-15"/>
        </w:rPr>
        <w:t> </w:t>
      </w:r>
      <w:r>
        <w:rPr/>
        <w:t>underlying</w:t>
      </w:r>
      <w:r>
        <w:rPr>
          <w:spacing w:val="-12"/>
        </w:rPr>
        <w:t> </w:t>
      </w:r>
      <w:r>
        <w:rPr/>
        <w:t>corporate</w:t>
      </w:r>
      <w:r>
        <w:rPr>
          <w:spacing w:val="-15"/>
        </w:rPr>
        <w:t> </w:t>
      </w:r>
      <w:r>
        <w:rPr/>
        <w:t>entities</w:t>
      </w:r>
      <w:r>
        <w:rPr>
          <w:spacing w:val="-12"/>
        </w:rPr>
        <w:t> </w:t>
      </w:r>
      <w:r>
        <w:rPr/>
        <w:t>and</w:t>
      </w:r>
      <w:r>
        <w:rPr>
          <w:spacing w:val="-15"/>
        </w:rPr>
        <w:t> </w:t>
      </w:r>
      <w:r>
        <w:rPr/>
        <w:t>individuals</w:t>
      </w:r>
      <w:r>
        <w:rPr>
          <w:spacing w:val="-12"/>
        </w:rPr>
        <w:t> </w:t>
      </w:r>
      <w:r>
        <w:rPr/>
        <w:t>that</w:t>
      </w:r>
      <w:r>
        <w:rPr>
          <w:spacing w:val="-11"/>
        </w:rPr>
        <w:t> </w:t>
      </w:r>
      <w:r>
        <w:rPr/>
        <w:t>will</w:t>
      </w:r>
      <w:r>
        <w:rPr>
          <w:spacing w:val="-13"/>
        </w:rPr>
        <w:t> </w:t>
      </w:r>
      <w:r>
        <w:rPr/>
        <w:t>own</w:t>
      </w:r>
      <w:r>
        <w:rPr>
          <w:spacing w:val="-15"/>
        </w:rPr>
        <w:t> </w:t>
      </w:r>
      <w:r>
        <w:rPr/>
        <w:t>and</w:t>
      </w:r>
      <w:r>
        <w:rPr>
          <w:spacing w:val="-12"/>
        </w:rPr>
        <w:t> </w:t>
      </w:r>
      <w:r>
        <w:rPr/>
        <w:t>control</w:t>
      </w:r>
      <w:r>
        <w:rPr>
          <w:spacing w:val="-15"/>
        </w:rPr>
        <w:t> </w:t>
      </w:r>
      <w:r>
        <w:rPr/>
        <w:t>the</w:t>
      </w:r>
      <w:r>
        <w:rPr>
          <w:spacing w:val="-15"/>
        </w:rPr>
        <w:t> </w:t>
      </w:r>
      <w:r>
        <w:rPr/>
        <w:t>single- purpose entity (excluding the investor member/limited partner). Additionally, the City requires various</w:t>
      </w:r>
      <w:r>
        <w:rPr>
          <w:spacing w:val="-2"/>
        </w:rPr>
        <w:t> </w:t>
      </w:r>
      <w:r>
        <w:rPr/>
        <w:t>guarantees</w:t>
      </w:r>
      <w:r>
        <w:rPr>
          <w:spacing w:val="-5"/>
        </w:rPr>
        <w:t> </w:t>
      </w:r>
      <w:r>
        <w:rPr/>
        <w:t>and</w:t>
      </w:r>
      <w:r>
        <w:rPr>
          <w:spacing w:val="-3"/>
        </w:rPr>
        <w:t> </w:t>
      </w:r>
      <w:r>
        <w:rPr/>
        <w:t>indemnities</w:t>
      </w:r>
      <w:r>
        <w:rPr>
          <w:spacing w:val="-5"/>
        </w:rPr>
        <w:t> </w:t>
      </w:r>
      <w:r>
        <w:rPr/>
        <w:t>from</w:t>
      </w:r>
      <w:r>
        <w:rPr>
          <w:spacing w:val="-1"/>
        </w:rPr>
        <w:t> </w:t>
      </w:r>
      <w:r>
        <w:rPr/>
        <w:t>all</w:t>
      </w:r>
      <w:r>
        <w:rPr>
          <w:spacing w:val="-3"/>
        </w:rPr>
        <w:t> </w:t>
      </w:r>
      <w:r>
        <w:rPr/>
        <w:t>of</w:t>
      </w:r>
      <w:r>
        <w:rPr>
          <w:spacing w:val="-4"/>
        </w:rPr>
        <w:t> </w:t>
      </w:r>
      <w:r>
        <w:rPr/>
        <w:t>the</w:t>
      </w:r>
      <w:r>
        <w:rPr>
          <w:spacing w:val="-3"/>
        </w:rPr>
        <w:t> </w:t>
      </w:r>
      <w:r>
        <w:rPr/>
        <w:t>underlying</w:t>
      </w:r>
      <w:r>
        <w:rPr>
          <w:spacing w:val="-3"/>
        </w:rPr>
        <w:t> </w:t>
      </w:r>
      <w:r>
        <w:rPr/>
        <w:t>corporate</w:t>
      </w:r>
      <w:r>
        <w:rPr>
          <w:spacing w:val="-5"/>
        </w:rPr>
        <w:t> </w:t>
      </w:r>
      <w:r>
        <w:rPr/>
        <w:t>and</w:t>
      </w:r>
      <w:r>
        <w:rPr>
          <w:spacing w:val="-3"/>
        </w:rPr>
        <w:t> </w:t>
      </w:r>
      <w:r>
        <w:rPr/>
        <w:t>individual</w:t>
      </w:r>
      <w:r>
        <w:rPr>
          <w:spacing w:val="-3"/>
        </w:rPr>
        <w:t> </w:t>
      </w:r>
      <w:r>
        <w:rPr/>
        <w:t>owners</w:t>
      </w:r>
      <w:r>
        <w:rPr>
          <w:spacing w:val="-2"/>
        </w:rPr>
        <w:t> </w:t>
      </w:r>
      <w:r>
        <w:rPr/>
        <w:t>of the</w:t>
      </w:r>
      <w:r>
        <w:rPr>
          <w:spacing w:val="-12"/>
        </w:rPr>
        <w:t> </w:t>
      </w:r>
      <w:r>
        <w:rPr/>
        <w:t>various</w:t>
      </w:r>
      <w:r>
        <w:rPr>
          <w:spacing w:val="-12"/>
        </w:rPr>
        <w:t> </w:t>
      </w:r>
      <w:r>
        <w:rPr/>
        <w:t>limited</w:t>
      </w:r>
      <w:r>
        <w:rPr>
          <w:spacing w:val="-15"/>
        </w:rPr>
        <w:t> </w:t>
      </w:r>
      <w:r>
        <w:rPr/>
        <w:t>partnership</w:t>
      </w:r>
      <w:r>
        <w:rPr>
          <w:spacing w:val="-12"/>
        </w:rPr>
        <w:t> </w:t>
      </w:r>
      <w:r>
        <w:rPr/>
        <w:t>or</w:t>
      </w:r>
      <w:r>
        <w:rPr>
          <w:spacing w:val="-13"/>
        </w:rPr>
        <w:t> </w:t>
      </w:r>
      <w:r>
        <w:rPr/>
        <w:t>limited</w:t>
      </w:r>
      <w:r>
        <w:rPr>
          <w:spacing w:val="-15"/>
        </w:rPr>
        <w:t> </w:t>
      </w:r>
      <w:r>
        <w:rPr/>
        <w:t>liability</w:t>
      </w:r>
      <w:r>
        <w:rPr>
          <w:spacing w:val="-12"/>
        </w:rPr>
        <w:t> </w:t>
      </w:r>
      <w:r>
        <w:rPr/>
        <w:t>corporation</w:t>
      </w:r>
      <w:r>
        <w:rPr>
          <w:spacing w:val="-12"/>
        </w:rPr>
        <w:t> </w:t>
      </w:r>
      <w:r>
        <w:rPr/>
        <w:t>entities</w:t>
      </w:r>
      <w:r>
        <w:rPr>
          <w:spacing w:val="-12"/>
        </w:rPr>
        <w:t> </w:t>
      </w:r>
      <w:r>
        <w:rPr/>
        <w:t>involved</w:t>
      </w:r>
      <w:r>
        <w:rPr>
          <w:spacing w:val="-12"/>
        </w:rPr>
        <w:t> </w:t>
      </w:r>
      <w:r>
        <w:rPr/>
        <w:t>in</w:t>
      </w:r>
      <w:r>
        <w:rPr>
          <w:spacing w:val="-15"/>
        </w:rPr>
        <w:t> </w:t>
      </w:r>
      <w:r>
        <w:rPr/>
        <w:t>the</w:t>
      </w:r>
      <w:r>
        <w:rPr>
          <w:spacing w:val="-12"/>
        </w:rPr>
        <w:t> </w:t>
      </w:r>
      <w:r>
        <w:rPr/>
        <w:t>ownership</w:t>
      </w:r>
      <w:r>
        <w:rPr>
          <w:spacing w:val="-12"/>
        </w:rPr>
        <w:t> </w:t>
      </w:r>
      <w:r>
        <w:rPr/>
        <w:t>and development of the project.</w:t>
      </w:r>
    </w:p>
    <w:p>
      <w:pPr>
        <w:pStyle w:val="BodyText"/>
        <w:spacing w:before="1"/>
        <w:ind w:left="120"/>
        <w:jc w:val="both"/>
      </w:pPr>
      <w:r>
        <w:rPr/>
        <w:t>Developers</w:t>
      </w:r>
      <w:r>
        <w:rPr>
          <w:spacing w:val="-7"/>
        </w:rPr>
        <w:t> </w:t>
      </w:r>
      <w:r>
        <w:rPr/>
        <w:t>should</w:t>
      </w:r>
      <w:r>
        <w:rPr>
          <w:spacing w:val="-7"/>
        </w:rPr>
        <w:t> </w:t>
      </w:r>
      <w:r>
        <w:rPr>
          <w:spacing w:val="-2"/>
        </w:rPr>
        <w:t>demonstrate:</w:t>
      </w:r>
    </w:p>
    <w:p>
      <w:pPr>
        <w:pStyle w:val="BodyText"/>
        <w:spacing w:before="2"/>
      </w:pPr>
    </w:p>
    <w:p>
      <w:pPr>
        <w:pStyle w:val="ListParagraph"/>
        <w:numPr>
          <w:ilvl w:val="0"/>
          <w:numId w:val="29"/>
        </w:numPr>
        <w:tabs>
          <w:tab w:pos="841" w:val="left" w:leader="none"/>
        </w:tabs>
        <w:spacing w:line="237" w:lineRule="auto" w:before="0" w:after="0"/>
        <w:ind w:left="840" w:right="160" w:hanging="361"/>
        <w:jc w:val="both"/>
        <w:rPr>
          <w:sz w:val="22"/>
        </w:rPr>
      </w:pPr>
      <w:r>
        <w:rPr>
          <w:sz w:val="22"/>
        </w:rPr>
        <w:t>Recent, ongoing, and successful experience with the development of similar regulated affordable housing; and</w:t>
      </w:r>
    </w:p>
    <w:p>
      <w:pPr>
        <w:pStyle w:val="ListParagraph"/>
        <w:numPr>
          <w:ilvl w:val="0"/>
          <w:numId w:val="29"/>
        </w:numPr>
        <w:tabs>
          <w:tab w:pos="841" w:val="left" w:leader="none"/>
        </w:tabs>
        <w:spacing w:line="240" w:lineRule="auto" w:before="1" w:after="0"/>
        <w:ind w:left="840" w:right="155" w:hanging="361"/>
        <w:jc w:val="both"/>
        <w:rPr>
          <w:sz w:val="22"/>
        </w:rPr>
      </w:pPr>
      <w:r>
        <w:rPr>
          <w:sz w:val="22"/>
        </w:rPr>
        <w:t>The presence of adequate staff, with specific experience appropriate to their role in the project, to successfully implement and oversee the project. This includes the assembly and oversight of the development team.</w:t>
      </w:r>
    </w:p>
    <w:p>
      <w:pPr>
        <w:pStyle w:val="BodyText"/>
        <w:spacing w:before="8"/>
        <w:rPr>
          <w:sz w:val="21"/>
        </w:rPr>
      </w:pPr>
    </w:p>
    <w:p>
      <w:pPr>
        <w:pStyle w:val="BodyText"/>
        <w:ind w:left="120" w:right="155"/>
        <w:jc w:val="both"/>
      </w:pPr>
      <w:r>
        <w:rPr/>
        <w:t>The City requires applicants to provide lists of real estate owned (including partnership/membership</w:t>
      </w:r>
      <w:r>
        <w:rPr>
          <w:spacing w:val="-15"/>
        </w:rPr>
        <w:t> </w:t>
      </w:r>
      <w:r>
        <w:rPr/>
        <w:t>interests)</w:t>
      </w:r>
      <w:r>
        <w:rPr>
          <w:spacing w:val="-13"/>
        </w:rPr>
        <w:t> </w:t>
      </w:r>
      <w:r>
        <w:rPr/>
        <w:t>by</w:t>
      </w:r>
      <w:r>
        <w:rPr>
          <w:spacing w:val="-14"/>
        </w:rPr>
        <w:t> </w:t>
      </w:r>
      <w:r>
        <w:rPr/>
        <w:t>the</w:t>
      </w:r>
      <w:r>
        <w:rPr>
          <w:spacing w:val="-15"/>
        </w:rPr>
        <w:t> </w:t>
      </w:r>
      <w:r>
        <w:rPr/>
        <w:t>developer</w:t>
      </w:r>
      <w:r>
        <w:rPr>
          <w:spacing w:val="-11"/>
        </w:rPr>
        <w:t> </w:t>
      </w:r>
      <w:r>
        <w:rPr/>
        <w:t>as</w:t>
      </w:r>
      <w:r>
        <w:rPr>
          <w:spacing w:val="-14"/>
        </w:rPr>
        <w:t> </w:t>
      </w:r>
      <w:r>
        <w:rPr/>
        <w:t>well</w:t>
      </w:r>
      <w:r>
        <w:rPr>
          <w:spacing w:val="-13"/>
        </w:rPr>
        <w:t> </w:t>
      </w:r>
      <w:r>
        <w:rPr/>
        <w:t>as</w:t>
      </w:r>
      <w:r>
        <w:rPr>
          <w:spacing w:val="-14"/>
        </w:rPr>
        <w:t> </w:t>
      </w:r>
      <w:r>
        <w:rPr/>
        <w:t>all</w:t>
      </w:r>
      <w:r>
        <w:rPr>
          <w:spacing w:val="-13"/>
        </w:rPr>
        <w:t> </w:t>
      </w:r>
      <w:r>
        <w:rPr/>
        <w:t>projects</w:t>
      </w:r>
      <w:r>
        <w:rPr>
          <w:spacing w:val="-16"/>
        </w:rPr>
        <w:t> </w:t>
      </w:r>
      <w:r>
        <w:rPr/>
        <w:t>underway.</w:t>
      </w:r>
      <w:r>
        <w:rPr>
          <w:spacing w:val="-9"/>
        </w:rPr>
        <w:t> </w:t>
      </w:r>
      <w:r>
        <w:rPr/>
        <w:t>The</w:t>
      </w:r>
      <w:r>
        <w:rPr>
          <w:spacing w:val="-12"/>
        </w:rPr>
        <w:t> </w:t>
      </w:r>
      <w:r>
        <w:rPr/>
        <w:t>City</w:t>
      </w:r>
      <w:r>
        <w:rPr>
          <w:spacing w:val="-14"/>
        </w:rPr>
        <w:t> </w:t>
      </w:r>
      <w:r>
        <w:rPr/>
        <w:t>will review the performance of those projects, including financial factors like net occupancy, actual DCR,</w:t>
      </w:r>
      <w:r>
        <w:rPr>
          <w:spacing w:val="-6"/>
        </w:rPr>
        <w:t> </w:t>
      </w:r>
      <w:r>
        <w:rPr/>
        <w:t>cash</w:t>
      </w:r>
      <w:r>
        <w:rPr>
          <w:spacing w:val="-12"/>
        </w:rPr>
        <w:t> </w:t>
      </w:r>
      <w:r>
        <w:rPr/>
        <w:t>flow</w:t>
      </w:r>
      <w:r>
        <w:rPr>
          <w:spacing w:val="-10"/>
        </w:rPr>
        <w:t> </w:t>
      </w:r>
      <w:r>
        <w:rPr/>
        <w:t>received,</w:t>
      </w:r>
      <w:r>
        <w:rPr>
          <w:spacing w:val="-8"/>
        </w:rPr>
        <w:t> </w:t>
      </w:r>
      <w:r>
        <w:rPr/>
        <w:t>outstanding</w:t>
      </w:r>
      <w:r>
        <w:rPr>
          <w:spacing w:val="-10"/>
        </w:rPr>
        <w:t> </w:t>
      </w:r>
      <w:r>
        <w:rPr/>
        <w:t>loan</w:t>
      </w:r>
      <w:r>
        <w:rPr>
          <w:spacing w:val="-10"/>
        </w:rPr>
        <w:t> </w:t>
      </w:r>
      <w:r>
        <w:rPr/>
        <w:t>balances,</w:t>
      </w:r>
      <w:r>
        <w:rPr>
          <w:spacing w:val="-8"/>
        </w:rPr>
        <w:t> </w:t>
      </w:r>
      <w:r>
        <w:rPr/>
        <w:t>and</w:t>
      </w:r>
      <w:r>
        <w:rPr>
          <w:spacing w:val="-10"/>
        </w:rPr>
        <w:t> </w:t>
      </w:r>
      <w:r>
        <w:rPr/>
        <w:t>net</w:t>
      </w:r>
      <w:r>
        <w:rPr>
          <w:spacing w:val="-8"/>
        </w:rPr>
        <w:t> </w:t>
      </w:r>
      <w:r>
        <w:rPr/>
        <w:t>equity</w:t>
      </w:r>
      <w:r>
        <w:rPr>
          <w:spacing w:val="-9"/>
        </w:rPr>
        <w:t> </w:t>
      </w:r>
      <w:r>
        <w:rPr/>
        <w:t>of</w:t>
      </w:r>
      <w:r>
        <w:rPr>
          <w:spacing w:val="-8"/>
        </w:rPr>
        <w:t> </w:t>
      </w:r>
      <w:r>
        <w:rPr/>
        <w:t>individual</w:t>
      </w:r>
      <w:r>
        <w:rPr>
          <w:spacing w:val="-8"/>
        </w:rPr>
        <w:t> </w:t>
      </w:r>
      <w:r>
        <w:rPr/>
        <w:t>projects</w:t>
      </w:r>
      <w:r>
        <w:rPr>
          <w:spacing w:val="-9"/>
        </w:rPr>
        <w:t> </w:t>
      </w:r>
      <w:r>
        <w:rPr/>
        <w:t>and</w:t>
      </w:r>
      <w:r>
        <w:rPr>
          <w:spacing w:val="-12"/>
        </w:rPr>
        <w:t> </w:t>
      </w:r>
      <w:r>
        <w:rPr/>
        <w:t>the developer’s overall portfolio.</w:t>
      </w:r>
    </w:p>
    <w:p>
      <w:pPr>
        <w:pStyle w:val="BodyText"/>
        <w:spacing w:before="1"/>
      </w:pPr>
    </w:p>
    <w:p>
      <w:pPr>
        <w:pStyle w:val="BodyText"/>
        <w:ind w:left="120" w:right="158"/>
        <w:jc w:val="both"/>
      </w:pPr>
      <w:r>
        <w:rPr/>
        <w:t>Applicants are also required to provide descriptions of the role played by</w:t>
      </w:r>
      <w:r>
        <w:rPr>
          <w:spacing w:val="-1"/>
        </w:rPr>
        <w:t> </w:t>
      </w:r>
      <w:r>
        <w:rPr/>
        <w:t>specific staff members relative to the proposed project along with resumes or other similar information demonstrating experience appropriate to the assigned staff member’s role.</w:t>
      </w:r>
    </w:p>
    <w:p>
      <w:pPr>
        <w:pStyle w:val="BodyText"/>
        <w:spacing w:before="10"/>
        <w:rPr>
          <w:sz w:val="21"/>
        </w:rPr>
      </w:pPr>
    </w:p>
    <w:p>
      <w:pPr>
        <w:pStyle w:val="BodyText"/>
        <w:ind w:left="120"/>
        <w:jc w:val="both"/>
      </w:pPr>
      <w:r>
        <w:rPr/>
        <w:t>Financial</w:t>
      </w:r>
      <w:r>
        <w:rPr>
          <w:spacing w:val="-9"/>
        </w:rPr>
        <w:t> </w:t>
      </w:r>
      <w:r>
        <w:rPr>
          <w:spacing w:val="-2"/>
        </w:rPr>
        <w:t>Capacity</w:t>
      </w:r>
    </w:p>
    <w:p>
      <w:pPr>
        <w:pStyle w:val="BodyText"/>
        <w:spacing w:before="1"/>
        <w:ind w:left="120" w:right="156"/>
        <w:jc w:val="both"/>
      </w:pPr>
      <w:r>
        <w:rPr/>
        <w:t>Developers must also demonstrate the financial capacity to support the proposed project both during construction and lease-up as well during ongoing operations. This includes not just that the</w:t>
      </w:r>
      <w:r>
        <w:rPr>
          <w:spacing w:val="-5"/>
        </w:rPr>
        <w:t> </w:t>
      </w:r>
      <w:r>
        <w:rPr/>
        <w:t>applicant</w:t>
      </w:r>
      <w:r>
        <w:rPr>
          <w:spacing w:val="-5"/>
        </w:rPr>
        <w:t> </w:t>
      </w:r>
      <w:r>
        <w:rPr/>
        <w:t>has</w:t>
      </w:r>
      <w:r>
        <w:rPr>
          <w:spacing w:val="-8"/>
        </w:rPr>
        <w:t> </w:t>
      </w:r>
      <w:r>
        <w:rPr/>
        <w:t>sufficient</w:t>
      </w:r>
      <w:r>
        <w:rPr>
          <w:spacing w:val="-5"/>
        </w:rPr>
        <w:t> </w:t>
      </w:r>
      <w:r>
        <w:rPr/>
        <w:t>financial</w:t>
      </w:r>
      <w:r>
        <w:rPr>
          <w:spacing w:val="-5"/>
        </w:rPr>
        <w:t> </w:t>
      </w:r>
      <w:r>
        <w:rPr/>
        <w:t>resources</w:t>
      </w:r>
      <w:r>
        <w:rPr>
          <w:spacing w:val="-6"/>
        </w:rPr>
        <w:t> </w:t>
      </w:r>
      <w:r>
        <w:rPr/>
        <w:t>but</w:t>
      </w:r>
      <w:r>
        <w:rPr>
          <w:spacing w:val="-5"/>
        </w:rPr>
        <w:t> </w:t>
      </w:r>
      <w:r>
        <w:rPr/>
        <w:t>that</w:t>
      </w:r>
      <w:r>
        <w:rPr>
          <w:spacing w:val="-5"/>
        </w:rPr>
        <w:t> </w:t>
      </w:r>
      <w:r>
        <w:rPr/>
        <w:t>it</w:t>
      </w:r>
      <w:r>
        <w:rPr>
          <w:spacing w:val="-5"/>
        </w:rPr>
        <w:t> </w:t>
      </w:r>
      <w:r>
        <w:rPr/>
        <w:t>has</w:t>
      </w:r>
      <w:r>
        <w:rPr>
          <w:spacing w:val="-6"/>
        </w:rPr>
        <w:t> </w:t>
      </w:r>
      <w:r>
        <w:rPr/>
        <w:t>adequate</w:t>
      </w:r>
      <w:r>
        <w:rPr>
          <w:spacing w:val="-9"/>
        </w:rPr>
        <w:t> </w:t>
      </w:r>
      <w:r>
        <w:rPr/>
        <w:t>financial</w:t>
      </w:r>
      <w:r>
        <w:rPr>
          <w:spacing w:val="-5"/>
        </w:rPr>
        <w:t> </w:t>
      </w:r>
      <w:r>
        <w:rPr/>
        <w:t>systems</w:t>
      </w:r>
      <w:r>
        <w:rPr>
          <w:spacing w:val="-6"/>
        </w:rPr>
        <w:t> </w:t>
      </w:r>
      <w:r>
        <w:rPr/>
        <w:t>in</w:t>
      </w:r>
      <w:r>
        <w:rPr>
          <w:spacing w:val="-7"/>
        </w:rPr>
        <w:t> </w:t>
      </w:r>
      <w:r>
        <w:rPr/>
        <w:t>place</w:t>
      </w:r>
    </w:p>
    <w:p>
      <w:pPr>
        <w:spacing w:after="0"/>
        <w:jc w:val="both"/>
        <w:sectPr>
          <w:pgSz w:w="12240" w:h="15840"/>
          <w:pgMar w:header="0" w:footer="1176" w:top="1360" w:bottom="1420" w:left="1320" w:right="1280"/>
        </w:sectPr>
      </w:pPr>
    </w:p>
    <w:p>
      <w:pPr>
        <w:pStyle w:val="BodyText"/>
        <w:spacing w:before="80"/>
        <w:ind w:left="119" w:right="158"/>
        <w:jc w:val="both"/>
      </w:pPr>
      <w:r>
        <w:rPr/>
        <w:t>to appropriately manage project funding, accurately account for all project costs, and provide reliable reporting to the City and other project funders.</w:t>
      </w:r>
    </w:p>
    <w:p>
      <w:pPr>
        <w:pStyle w:val="BodyText"/>
        <w:spacing w:before="10"/>
        <w:rPr>
          <w:sz w:val="21"/>
        </w:rPr>
      </w:pPr>
    </w:p>
    <w:p>
      <w:pPr>
        <w:pStyle w:val="BodyText"/>
        <w:ind w:left="119" w:right="157"/>
        <w:jc w:val="both"/>
      </w:pPr>
      <w:r>
        <w:rPr/>
        <w:t>At minimum, the City will review audited financial statements, interim financial statements, and individual personal financial statements to ensure that:</w:t>
      </w:r>
    </w:p>
    <w:p>
      <w:pPr>
        <w:pStyle w:val="BodyText"/>
        <w:spacing w:before="4"/>
      </w:pPr>
    </w:p>
    <w:p>
      <w:pPr>
        <w:pStyle w:val="ListParagraph"/>
        <w:numPr>
          <w:ilvl w:val="0"/>
          <w:numId w:val="29"/>
        </w:numPr>
        <w:tabs>
          <w:tab w:pos="840" w:val="left" w:leader="none"/>
        </w:tabs>
        <w:spacing w:line="237" w:lineRule="auto" w:before="0" w:after="0"/>
        <w:ind w:left="839" w:right="156" w:hanging="361"/>
        <w:jc w:val="both"/>
        <w:rPr>
          <w:sz w:val="22"/>
        </w:rPr>
      </w:pPr>
      <w:r>
        <w:rPr/>
        <w:pict>
          <v:shape style="position:absolute;margin-left:90.065002pt;margin-top:38.431557pt;width:395.3pt;height:419pt;mso-position-horizontal-relative:page;mso-position-vertical-relative:paragraph;z-index:-17680384" id="docshape126" coordorigin="1801,769" coordsize="7906,8380" path="m4498,8032l4492,7959,4477,7881,4455,7798,4432,7729,4403,7657,4367,7582,4325,7504,4276,7423,4237,7364,4200,7313,4200,7999,4197,8055,4186,8112,4167,8170,4138,8229,4097,8292,4044,8358,3979,8427,3674,8733,2216,7275,2517,6975,2598,6898,2672,6838,2740,6795,2801,6768,2868,6754,2941,6750,3020,6757,3105,6774,3195,6804,3255,6829,3317,6862,3380,6900,3446,6945,3514,6997,3584,7055,3656,7120,3729,7191,3789,7252,3845,7313,3896,7372,3943,7430,3986,7486,4025,7541,4059,7595,4101,7670,4136,7742,4163,7812,4183,7879,4196,7943,4200,7999,4200,7313,4194,7305,4148,7244,4098,7184,4045,7123,3989,7061,3929,7000,3865,6938,3801,6879,3737,6824,3673,6773,3643,6750,3609,6725,3546,6680,3482,6639,3419,6601,3346,6563,3274,6531,3203,6504,3132,6482,3062,6465,2992,6453,2923,6446,2850,6444,2779,6451,2709,6466,2642,6488,2577,6519,2528,6547,2476,6584,2420,6630,2359,6684,2294,6746,1801,7240,3710,9148,4124,8733,4226,8631,4287,8566,4341,8501,4386,8435,4424,8368,4454,8302,4476,8235,4491,8169,4498,8101,4498,8032xm6418,6439l6056,6312,5650,6169,5561,6140,5475,6116,5393,6097,5365,6091,5314,6082,5239,6072,5193,6070,5143,6073,5089,6081,5030,6091,5073,6022,5109,5952,5136,5883,5154,5814,5164,5746,5165,5677,5157,5610,5139,5532,5111,5455,5075,5381,5030,5308,4976,5237,4956,5215,4913,5169,4872,5131,4872,5688,4868,5744,4854,5798,4830,5855,4794,5913,4747,5974,4687,6038,4280,6445,3649,5814,4102,5361,4166,5304,4229,5261,4293,5231,4358,5216,4422,5215,4501,5230,4577,5260,4649,5304,4718,5364,4761,5412,4797,5462,4827,5516,4851,5573,4867,5631,4872,5688,4872,5131,4849,5109,4782,5057,4713,5011,4641,4973,4566,4941,4474,4912,4386,4900,4303,4901,4225,4917,4163,4942,4098,4979,4030,5027,3958,5087,3883,5158,3248,5792,5157,7701,5346,7511,4499,6664,4718,6445,4753,6411,4783,6383,4810,6362,4833,6348,4863,6334,4896,6323,4932,6316,4971,6312,5014,6312,5066,6317,5125,6327,5194,6344,5256,6361,5328,6382,5407,6407,5496,6436,6180,6677,6418,6439xm7780,5077l7415,4882,6555,4428,6555,4735,6070,5220,6030,5148,5989,5077,5748,4646,5708,4575,5668,4503,5629,4437,5590,4373,5550,4309,5509,4246,5467,4184,5424,4122,5380,4061,5436,4097,5498,4135,5564,4175,5635,4217,5792,4307,6555,4735,6555,4428,5862,4061,5286,3755,5082,3959,5277,4309,5316,4379,5701,5077,6207,5996,6441,6417,6642,6215,6565,6082,6298,5614,6221,5480,6481,5220,6820,4882,7173,5077,7565,5293,7780,5077xm8131,4726l7264,3860,7936,3188,7711,2962,7039,3634,6448,3043,7224,2267,6999,2042,6033,3008,7941,4916,8131,4726xm9707,3150l8024,1467,8497,994,8272,769,7138,1903,7363,2128,7834,1657,9517,3340,9707,3150xe" filled="true" fillcolor="#c0c0c0" stroked="false">
            <v:path arrowok="t"/>
            <v:fill opacity="32896f" type="solid"/>
            <w10:wrap type="none"/>
          </v:shape>
        </w:pict>
      </w:r>
      <w:r>
        <w:rPr>
          <w:sz w:val="22"/>
        </w:rPr>
        <w:t>The “primary” development entity’s most recent</w:t>
      </w:r>
      <w:r>
        <w:rPr>
          <w:spacing w:val="-1"/>
          <w:sz w:val="22"/>
        </w:rPr>
        <w:t> </w:t>
      </w:r>
      <w:r>
        <w:rPr>
          <w:sz w:val="22"/>
        </w:rPr>
        <w:t>audit must demonstrate</w:t>
      </w:r>
      <w:r>
        <w:rPr>
          <w:spacing w:val="-3"/>
          <w:sz w:val="22"/>
        </w:rPr>
        <w:t> </w:t>
      </w:r>
      <w:r>
        <w:rPr>
          <w:sz w:val="22"/>
        </w:rPr>
        <w:t>compliance with Generally Accepted Accounting Principles (GAAP) and must not express material weaknesses in the entity’s system of internal controls or financial management systems;</w:t>
      </w:r>
    </w:p>
    <w:p>
      <w:pPr>
        <w:pStyle w:val="ListParagraph"/>
        <w:numPr>
          <w:ilvl w:val="0"/>
          <w:numId w:val="29"/>
        </w:numPr>
        <w:tabs>
          <w:tab w:pos="840" w:val="left" w:leader="none"/>
        </w:tabs>
        <w:spacing w:line="240" w:lineRule="auto" w:before="3" w:after="0"/>
        <w:ind w:left="840" w:right="157" w:hanging="361"/>
        <w:jc w:val="both"/>
        <w:rPr>
          <w:sz w:val="22"/>
        </w:rPr>
      </w:pPr>
      <w:r>
        <w:rPr>
          <w:sz w:val="22"/>
        </w:rPr>
        <w:t>The developer’s net worth (including the un-duplicated net worth of other guarantors) is equal</w:t>
      </w:r>
      <w:r>
        <w:rPr>
          <w:spacing w:val="-10"/>
          <w:sz w:val="22"/>
        </w:rPr>
        <w:t> </w:t>
      </w:r>
      <w:r>
        <w:rPr>
          <w:sz w:val="22"/>
        </w:rPr>
        <w:t>to</w:t>
      </w:r>
      <w:r>
        <w:rPr>
          <w:spacing w:val="-10"/>
          <w:sz w:val="22"/>
        </w:rPr>
        <w:t> </w:t>
      </w:r>
      <w:r>
        <w:rPr>
          <w:sz w:val="22"/>
        </w:rPr>
        <w:t>at</w:t>
      </w:r>
      <w:r>
        <w:rPr>
          <w:spacing w:val="-8"/>
          <w:sz w:val="22"/>
        </w:rPr>
        <w:t> </w:t>
      </w:r>
      <w:r>
        <w:rPr>
          <w:sz w:val="22"/>
        </w:rPr>
        <w:t>least</w:t>
      </w:r>
      <w:r>
        <w:rPr>
          <w:spacing w:val="-8"/>
          <w:sz w:val="22"/>
        </w:rPr>
        <w:t> </w:t>
      </w:r>
      <w:r>
        <w:rPr>
          <w:sz w:val="22"/>
        </w:rPr>
        <w:t>10%</w:t>
      </w:r>
      <w:r>
        <w:rPr>
          <w:spacing w:val="-9"/>
          <w:sz w:val="22"/>
        </w:rPr>
        <w:t> </w:t>
      </w:r>
      <w:r>
        <w:rPr>
          <w:sz w:val="22"/>
        </w:rPr>
        <w:t>of</w:t>
      </w:r>
      <w:r>
        <w:rPr>
          <w:spacing w:val="-11"/>
          <w:sz w:val="22"/>
        </w:rPr>
        <w:t> </w:t>
      </w:r>
      <w:r>
        <w:rPr>
          <w:sz w:val="22"/>
        </w:rPr>
        <w:t>the</w:t>
      </w:r>
      <w:r>
        <w:rPr>
          <w:spacing w:val="-10"/>
          <w:sz w:val="22"/>
        </w:rPr>
        <w:t> </w:t>
      </w:r>
      <w:r>
        <w:rPr>
          <w:sz w:val="22"/>
        </w:rPr>
        <w:t>total</w:t>
      </w:r>
      <w:r>
        <w:rPr>
          <w:spacing w:val="-10"/>
          <w:sz w:val="22"/>
        </w:rPr>
        <w:t> </w:t>
      </w:r>
      <w:r>
        <w:rPr>
          <w:sz w:val="22"/>
        </w:rPr>
        <w:t>development</w:t>
      </w:r>
      <w:r>
        <w:rPr>
          <w:spacing w:val="-11"/>
          <w:sz w:val="22"/>
        </w:rPr>
        <w:t> </w:t>
      </w:r>
      <w:r>
        <w:rPr>
          <w:sz w:val="22"/>
        </w:rPr>
        <w:t>cost</w:t>
      </w:r>
      <w:r>
        <w:rPr>
          <w:spacing w:val="-8"/>
          <w:sz w:val="22"/>
        </w:rPr>
        <w:t> </w:t>
      </w:r>
      <w:r>
        <w:rPr>
          <w:sz w:val="22"/>
        </w:rPr>
        <w:t>of</w:t>
      </w:r>
      <w:r>
        <w:rPr>
          <w:spacing w:val="-8"/>
          <w:sz w:val="22"/>
        </w:rPr>
        <w:t> </w:t>
      </w:r>
      <w:r>
        <w:rPr>
          <w:sz w:val="22"/>
        </w:rPr>
        <w:t>all</w:t>
      </w:r>
      <w:r>
        <w:rPr>
          <w:spacing w:val="-10"/>
          <w:sz w:val="22"/>
        </w:rPr>
        <w:t> </w:t>
      </w:r>
      <w:r>
        <w:rPr>
          <w:sz w:val="22"/>
        </w:rPr>
        <w:t>projects</w:t>
      </w:r>
      <w:r>
        <w:rPr>
          <w:spacing w:val="-12"/>
          <w:sz w:val="22"/>
        </w:rPr>
        <w:t> </w:t>
      </w:r>
      <w:r>
        <w:rPr>
          <w:sz w:val="22"/>
        </w:rPr>
        <w:t>underway</w:t>
      </w:r>
      <w:r>
        <w:rPr>
          <w:spacing w:val="-12"/>
          <w:sz w:val="22"/>
        </w:rPr>
        <w:t> </w:t>
      </w:r>
      <w:r>
        <w:rPr>
          <w:sz w:val="22"/>
        </w:rPr>
        <w:t>(i.e.</w:t>
      </w:r>
      <w:r>
        <w:rPr>
          <w:spacing w:val="-11"/>
          <w:sz w:val="22"/>
        </w:rPr>
        <w:t> </w:t>
      </w:r>
      <w:r>
        <w:rPr>
          <w:sz w:val="22"/>
        </w:rPr>
        <w:t>those</w:t>
      </w:r>
      <w:r>
        <w:rPr>
          <w:spacing w:val="-12"/>
          <w:sz w:val="22"/>
        </w:rPr>
        <w:t> </w:t>
      </w:r>
      <w:r>
        <w:rPr>
          <w:sz w:val="22"/>
        </w:rPr>
        <w:t>that have received funding commitments from HOME or LIHTC but have not yet been completed and converted to permanent financing); and</w:t>
      </w:r>
    </w:p>
    <w:p>
      <w:pPr>
        <w:pStyle w:val="ListParagraph"/>
        <w:numPr>
          <w:ilvl w:val="0"/>
          <w:numId w:val="29"/>
        </w:numPr>
        <w:tabs>
          <w:tab w:pos="841" w:val="left" w:leader="none"/>
        </w:tabs>
        <w:spacing w:line="237" w:lineRule="auto" w:before="0" w:after="0"/>
        <w:ind w:left="840" w:right="158" w:hanging="361"/>
        <w:jc w:val="both"/>
        <w:rPr>
          <w:sz w:val="22"/>
        </w:rPr>
      </w:pPr>
      <w:r>
        <w:rPr>
          <w:sz w:val="22"/>
        </w:rPr>
        <w:t>The</w:t>
      </w:r>
      <w:r>
        <w:rPr>
          <w:spacing w:val="-11"/>
          <w:sz w:val="22"/>
        </w:rPr>
        <w:t> </w:t>
      </w:r>
      <w:r>
        <w:rPr>
          <w:sz w:val="22"/>
        </w:rPr>
        <w:t>developer</w:t>
      </w:r>
      <w:r>
        <w:rPr>
          <w:spacing w:val="-12"/>
          <w:sz w:val="22"/>
        </w:rPr>
        <w:t> </w:t>
      </w:r>
      <w:r>
        <w:rPr>
          <w:sz w:val="22"/>
        </w:rPr>
        <w:t>has</w:t>
      </w:r>
      <w:r>
        <w:rPr>
          <w:spacing w:val="-13"/>
          <w:sz w:val="22"/>
        </w:rPr>
        <w:t> </w:t>
      </w:r>
      <w:r>
        <w:rPr>
          <w:sz w:val="22"/>
        </w:rPr>
        <w:t>net</w:t>
      </w:r>
      <w:r>
        <w:rPr>
          <w:spacing w:val="-12"/>
          <w:sz w:val="22"/>
        </w:rPr>
        <w:t> </w:t>
      </w:r>
      <w:r>
        <w:rPr>
          <w:sz w:val="22"/>
        </w:rPr>
        <w:t>liquid</w:t>
      </w:r>
      <w:r>
        <w:rPr>
          <w:spacing w:val="-11"/>
          <w:sz w:val="22"/>
        </w:rPr>
        <w:t> </w:t>
      </w:r>
      <w:r>
        <w:rPr>
          <w:sz w:val="22"/>
        </w:rPr>
        <w:t>assets</w:t>
      </w:r>
      <w:r>
        <w:rPr>
          <w:spacing w:val="-13"/>
          <w:sz w:val="22"/>
        </w:rPr>
        <w:t> </w:t>
      </w:r>
      <w:r>
        <w:rPr>
          <w:sz w:val="22"/>
        </w:rPr>
        <w:t>(current</w:t>
      </w:r>
      <w:r>
        <w:rPr>
          <w:spacing w:val="-12"/>
          <w:sz w:val="22"/>
        </w:rPr>
        <w:t> </w:t>
      </w:r>
      <w:r>
        <w:rPr>
          <w:sz w:val="22"/>
        </w:rPr>
        <w:t>assets</w:t>
      </w:r>
      <w:r>
        <w:rPr>
          <w:spacing w:val="-10"/>
          <w:sz w:val="22"/>
        </w:rPr>
        <w:t> </w:t>
      </w:r>
      <w:r>
        <w:rPr>
          <w:sz w:val="22"/>
        </w:rPr>
        <w:t>less</w:t>
      </w:r>
      <w:r>
        <w:rPr>
          <w:spacing w:val="-13"/>
          <w:sz w:val="22"/>
        </w:rPr>
        <w:t> </w:t>
      </w:r>
      <w:r>
        <w:rPr>
          <w:sz w:val="22"/>
        </w:rPr>
        <w:t>current</w:t>
      </w:r>
      <w:r>
        <w:rPr>
          <w:spacing w:val="-12"/>
          <w:sz w:val="22"/>
        </w:rPr>
        <w:t> </w:t>
      </w:r>
      <w:r>
        <w:rPr>
          <w:sz w:val="22"/>
        </w:rPr>
        <w:t>liabilities)</w:t>
      </w:r>
      <w:r>
        <w:rPr>
          <w:spacing w:val="-10"/>
          <w:sz w:val="22"/>
        </w:rPr>
        <w:t> </w:t>
      </w:r>
      <w:r>
        <w:rPr>
          <w:sz w:val="22"/>
        </w:rPr>
        <w:t>equal</w:t>
      </w:r>
      <w:r>
        <w:rPr>
          <w:spacing w:val="-11"/>
          <w:sz w:val="22"/>
        </w:rPr>
        <w:t> </w:t>
      </w:r>
      <w:r>
        <w:rPr>
          <w:sz w:val="22"/>
        </w:rPr>
        <w:t>to</w:t>
      </w:r>
      <w:r>
        <w:rPr>
          <w:spacing w:val="-13"/>
          <w:sz w:val="22"/>
        </w:rPr>
        <w:t> </w:t>
      </w:r>
      <w:r>
        <w:rPr>
          <w:sz w:val="22"/>
        </w:rPr>
        <w:t>at</w:t>
      </w:r>
      <w:r>
        <w:rPr>
          <w:spacing w:val="-12"/>
          <w:sz w:val="22"/>
        </w:rPr>
        <w:t> </w:t>
      </w:r>
      <w:r>
        <w:rPr>
          <w:sz w:val="22"/>
        </w:rPr>
        <w:t>least 3% of the total development cost of all projects underway.</w:t>
      </w:r>
    </w:p>
    <w:p>
      <w:pPr>
        <w:pStyle w:val="BodyText"/>
        <w:spacing w:before="1"/>
      </w:pPr>
    </w:p>
    <w:p>
      <w:pPr>
        <w:pStyle w:val="BodyText"/>
        <w:spacing w:line="252" w:lineRule="exact"/>
        <w:ind w:left="120"/>
        <w:jc w:val="both"/>
      </w:pPr>
      <w:r>
        <w:rPr/>
        <w:t>Development</w:t>
      </w:r>
      <w:r>
        <w:rPr>
          <w:spacing w:val="-11"/>
        </w:rPr>
        <w:t> </w:t>
      </w:r>
      <w:r>
        <w:rPr>
          <w:spacing w:val="-4"/>
        </w:rPr>
        <w:t>Team</w:t>
      </w:r>
    </w:p>
    <w:p>
      <w:pPr>
        <w:pStyle w:val="BodyText"/>
        <w:ind w:left="120" w:right="157"/>
        <w:jc w:val="both"/>
      </w:pPr>
      <w:r>
        <w:rPr/>
        <w:t>The City will also review the capacity of the development team including but not limited to the general contractor, architect, engineer, market analyst, management company, accountant, attorney, and any other specialized professionals or consultants.</w:t>
      </w:r>
    </w:p>
    <w:p>
      <w:pPr>
        <w:pStyle w:val="BodyText"/>
      </w:pPr>
    </w:p>
    <w:p>
      <w:pPr>
        <w:pStyle w:val="BodyText"/>
        <w:ind w:left="120" w:right="157"/>
        <w:jc w:val="both"/>
      </w:pPr>
      <w:r>
        <w:rPr/>
        <w:t>As</w:t>
      </w:r>
      <w:r>
        <w:rPr>
          <w:spacing w:val="-9"/>
        </w:rPr>
        <w:t> </w:t>
      </w:r>
      <w:r>
        <w:rPr/>
        <w:t>a</w:t>
      </w:r>
      <w:r>
        <w:rPr>
          <w:spacing w:val="-10"/>
        </w:rPr>
        <w:t> </w:t>
      </w:r>
      <w:r>
        <w:rPr/>
        <w:t>whole,</w:t>
      </w:r>
      <w:r>
        <w:rPr>
          <w:spacing w:val="-13"/>
        </w:rPr>
        <w:t> </w:t>
      </w:r>
      <w:r>
        <w:rPr/>
        <w:t>the</w:t>
      </w:r>
      <w:r>
        <w:rPr>
          <w:spacing w:val="-9"/>
        </w:rPr>
        <w:t> </w:t>
      </w:r>
      <w:r>
        <w:rPr/>
        <w:t>development</w:t>
      </w:r>
      <w:r>
        <w:rPr>
          <w:spacing w:val="-11"/>
        </w:rPr>
        <w:t> </w:t>
      </w:r>
      <w:r>
        <w:rPr/>
        <w:t>team</w:t>
      </w:r>
      <w:r>
        <w:rPr>
          <w:spacing w:val="-11"/>
        </w:rPr>
        <w:t> </w:t>
      </w:r>
      <w:r>
        <w:rPr/>
        <w:t>should</w:t>
      </w:r>
      <w:r>
        <w:rPr>
          <w:spacing w:val="-10"/>
        </w:rPr>
        <w:t> </w:t>
      </w:r>
      <w:r>
        <w:rPr/>
        <w:t>have</w:t>
      </w:r>
      <w:r>
        <w:rPr>
          <w:spacing w:val="-15"/>
        </w:rPr>
        <w:t> </w:t>
      </w:r>
      <w:r>
        <w:rPr/>
        <w:t>the</w:t>
      </w:r>
      <w:r>
        <w:rPr>
          <w:spacing w:val="-10"/>
        </w:rPr>
        <w:t> </w:t>
      </w:r>
      <w:r>
        <w:rPr/>
        <w:t>skills</w:t>
      </w:r>
      <w:r>
        <w:rPr>
          <w:spacing w:val="-9"/>
        </w:rPr>
        <w:t> </w:t>
      </w:r>
      <w:r>
        <w:rPr/>
        <w:t>and</w:t>
      </w:r>
      <w:r>
        <w:rPr>
          <w:spacing w:val="-10"/>
        </w:rPr>
        <w:t> </w:t>
      </w:r>
      <w:r>
        <w:rPr/>
        <w:t>expertise</w:t>
      </w:r>
      <w:r>
        <w:rPr>
          <w:spacing w:val="-10"/>
        </w:rPr>
        <w:t> </w:t>
      </w:r>
      <w:r>
        <w:rPr/>
        <w:t>necessary</w:t>
      </w:r>
      <w:r>
        <w:rPr>
          <w:spacing w:val="-12"/>
        </w:rPr>
        <w:t> </w:t>
      </w:r>
      <w:r>
        <w:rPr/>
        <w:t>to</w:t>
      </w:r>
      <w:r>
        <w:rPr>
          <w:spacing w:val="-12"/>
        </w:rPr>
        <w:t> </w:t>
      </w:r>
      <w:r>
        <w:rPr/>
        <w:t>successfully complete and operate the development. Insomuch as possible, on balance the development teams should have worked successfully on other projects in the past. That is, while a developer may</w:t>
      </w:r>
      <w:r>
        <w:rPr>
          <w:spacing w:val="-9"/>
        </w:rPr>
        <w:t> </w:t>
      </w:r>
      <w:r>
        <w:rPr/>
        <w:t>identify</w:t>
      </w:r>
      <w:r>
        <w:rPr>
          <w:spacing w:val="-9"/>
        </w:rPr>
        <w:t> </w:t>
      </w:r>
      <w:r>
        <w:rPr/>
        <w:t>new</w:t>
      </w:r>
      <w:r>
        <w:rPr>
          <w:spacing w:val="-9"/>
        </w:rPr>
        <w:t> </w:t>
      </w:r>
      <w:r>
        <w:rPr/>
        <w:t>development</w:t>
      </w:r>
      <w:r>
        <w:rPr>
          <w:spacing w:val="-10"/>
        </w:rPr>
        <w:t> </w:t>
      </w:r>
      <w:r>
        <w:rPr/>
        <w:t>team</w:t>
      </w:r>
      <w:r>
        <w:rPr>
          <w:spacing w:val="-10"/>
        </w:rPr>
        <w:t> </w:t>
      </w:r>
      <w:r>
        <w:rPr/>
        <w:t>members</w:t>
      </w:r>
      <w:r>
        <w:rPr>
          <w:spacing w:val="-11"/>
        </w:rPr>
        <w:t> </w:t>
      </w:r>
      <w:r>
        <w:rPr/>
        <w:t>from</w:t>
      </w:r>
      <w:r>
        <w:rPr>
          <w:spacing w:val="-9"/>
        </w:rPr>
        <w:t> </w:t>
      </w:r>
      <w:r>
        <w:rPr/>
        <w:t>project</w:t>
      </w:r>
      <w:r>
        <w:rPr>
          <w:spacing w:val="-10"/>
        </w:rPr>
        <w:t> </w:t>
      </w:r>
      <w:r>
        <w:rPr/>
        <w:t>to</w:t>
      </w:r>
      <w:r>
        <w:rPr>
          <w:spacing w:val="-9"/>
        </w:rPr>
        <w:t> </w:t>
      </w:r>
      <w:r>
        <w:rPr/>
        <w:t>project,</w:t>
      </w:r>
      <w:r>
        <w:rPr>
          <w:spacing w:val="-8"/>
        </w:rPr>
        <w:t> </w:t>
      </w:r>
      <w:r>
        <w:rPr/>
        <w:t>an</w:t>
      </w:r>
      <w:r>
        <w:rPr>
          <w:spacing w:val="-11"/>
        </w:rPr>
        <w:t> </w:t>
      </w:r>
      <w:r>
        <w:rPr/>
        <w:t>“entirely</w:t>
      </w:r>
      <w:r>
        <w:rPr>
          <w:spacing w:val="-9"/>
        </w:rPr>
        <w:t> </w:t>
      </w:r>
      <w:r>
        <w:rPr/>
        <w:t>new”</w:t>
      </w:r>
      <w:r>
        <w:rPr>
          <w:spacing w:val="-10"/>
        </w:rPr>
        <w:t> </w:t>
      </w:r>
      <w:r>
        <w:rPr/>
        <w:t>team</w:t>
      </w:r>
      <w:r>
        <w:rPr>
          <w:spacing w:val="-10"/>
        </w:rPr>
        <w:t> </w:t>
      </w:r>
      <w:r>
        <w:rPr/>
        <w:t>may present added risk.</w:t>
      </w:r>
    </w:p>
    <w:p>
      <w:pPr>
        <w:pStyle w:val="BodyText"/>
        <w:spacing w:before="1"/>
      </w:pPr>
    </w:p>
    <w:p>
      <w:pPr>
        <w:pStyle w:val="BodyText"/>
        <w:ind w:left="120" w:right="156"/>
        <w:jc w:val="both"/>
      </w:pPr>
      <w:r>
        <w:rPr/>
        <w:t>Additionally, when using development team members from outside of the region, the City will consider whether assigned team members have recent local experience or have been supplemented</w:t>
      </w:r>
      <w:r>
        <w:rPr>
          <w:spacing w:val="-16"/>
        </w:rPr>
        <w:t> </w:t>
      </w:r>
      <w:r>
        <w:rPr/>
        <w:t>with</w:t>
      </w:r>
      <w:r>
        <w:rPr>
          <w:spacing w:val="-15"/>
        </w:rPr>
        <w:t> </w:t>
      </w:r>
      <w:r>
        <w:rPr/>
        <w:t>local</w:t>
      </w:r>
      <w:r>
        <w:rPr>
          <w:spacing w:val="-15"/>
        </w:rPr>
        <w:t> </w:t>
      </w:r>
      <w:r>
        <w:rPr/>
        <w:t>professionals.</w:t>
      </w:r>
      <w:r>
        <w:rPr>
          <w:spacing w:val="-16"/>
        </w:rPr>
        <w:t> </w:t>
      </w:r>
      <w:r>
        <w:rPr/>
        <w:t>This</w:t>
      </w:r>
      <w:r>
        <w:rPr>
          <w:spacing w:val="-15"/>
        </w:rPr>
        <w:t> </w:t>
      </w:r>
      <w:r>
        <w:rPr/>
        <w:t>may</w:t>
      </w:r>
      <w:r>
        <w:rPr>
          <w:spacing w:val="-15"/>
        </w:rPr>
        <w:t> </w:t>
      </w:r>
      <w:r>
        <w:rPr/>
        <w:t>be</w:t>
      </w:r>
      <w:r>
        <w:rPr>
          <w:spacing w:val="-15"/>
        </w:rPr>
        <w:t> </w:t>
      </w:r>
      <w:r>
        <w:rPr/>
        <w:t>particularly</w:t>
      </w:r>
      <w:r>
        <w:rPr>
          <w:spacing w:val="-16"/>
        </w:rPr>
        <w:t> </w:t>
      </w:r>
      <w:r>
        <w:rPr/>
        <w:t>important</w:t>
      </w:r>
      <w:r>
        <w:rPr>
          <w:spacing w:val="-15"/>
        </w:rPr>
        <w:t> </w:t>
      </w:r>
      <w:r>
        <w:rPr/>
        <w:t>for</w:t>
      </w:r>
      <w:r>
        <w:rPr>
          <w:spacing w:val="-15"/>
        </w:rPr>
        <w:t> </w:t>
      </w:r>
      <w:r>
        <w:rPr/>
        <w:t>design</w:t>
      </w:r>
      <w:r>
        <w:rPr>
          <w:spacing w:val="-16"/>
        </w:rPr>
        <w:t> </w:t>
      </w:r>
      <w:r>
        <w:rPr/>
        <w:t>professionals and legal counsel.</w:t>
      </w:r>
    </w:p>
    <w:p>
      <w:pPr>
        <w:pStyle w:val="BodyText"/>
        <w:spacing w:before="11"/>
        <w:rPr>
          <w:sz w:val="21"/>
        </w:rPr>
      </w:pPr>
    </w:p>
    <w:p>
      <w:pPr>
        <w:pStyle w:val="BodyText"/>
        <w:ind w:left="120" w:right="157"/>
        <w:jc w:val="both"/>
      </w:pPr>
      <w:r>
        <w:rPr/>
        <w:t>In no case, may any owner/developer/applicant or any member of the development team be a suspended, debarred, or otherwise excluded party.</w:t>
      </w:r>
    </w:p>
    <w:p>
      <w:pPr>
        <w:pStyle w:val="BodyText"/>
        <w:spacing w:before="11"/>
        <w:rPr>
          <w:sz w:val="21"/>
        </w:rPr>
      </w:pPr>
    </w:p>
    <w:p>
      <w:pPr>
        <w:pStyle w:val="BodyText"/>
        <w:spacing w:line="252" w:lineRule="exact"/>
        <w:ind w:left="120"/>
        <w:jc w:val="both"/>
      </w:pPr>
      <w:r>
        <w:rPr/>
        <w:t>Identify</w:t>
      </w:r>
      <w:r>
        <w:rPr>
          <w:spacing w:val="-8"/>
        </w:rPr>
        <w:t> </w:t>
      </w:r>
      <w:r>
        <w:rPr/>
        <w:t>of</w:t>
      </w:r>
      <w:r>
        <w:rPr>
          <w:spacing w:val="-6"/>
        </w:rPr>
        <w:t> </w:t>
      </w:r>
      <w:r>
        <w:rPr/>
        <w:t>Interest</w:t>
      </w:r>
      <w:r>
        <w:rPr>
          <w:spacing w:val="-5"/>
        </w:rPr>
        <w:t> </w:t>
      </w:r>
      <w:r>
        <w:rPr/>
        <w:t>Relationships</w:t>
      </w:r>
      <w:r>
        <w:rPr>
          <w:spacing w:val="-4"/>
        </w:rPr>
        <w:t> </w:t>
      </w:r>
      <w:r>
        <w:rPr/>
        <w:t>&amp;</w:t>
      </w:r>
      <w:r>
        <w:rPr>
          <w:spacing w:val="-5"/>
        </w:rPr>
        <w:t> </w:t>
      </w:r>
      <w:r>
        <w:rPr>
          <w:spacing w:val="-4"/>
        </w:rPr>
        <w:t>Costs</w:t>
      </w:r>
    </w:p>
    <w:p>
      <w:pPr>
        <w:pStyle w:val="BodyText"/>
        <w:ind w:left="120" w:right="156"/>
        <w:jc w:val="both"/>
      </w:pPr>
      <w:r>
        <w:rPr/>
        <w:t>Applicants must disclose all identity of interest relationships/contracts and/or costs involved in a transaction,</w:t>
      </w:r>
      <w:r>
        <w:rPr>
          <w:spacing w:val="-7"/>
        </w:rPr>
        <w:t> </w:t>
      </w:r>
      <w:r>
        <w:rPr/>
        <w:t>including</w:t>
      </w:r>
      <w:r>
        <w:rPr>
          <w:spacing w:val="-8"/>
        </w:rPr>
        <w:t> </w:t>
      </w:r>
      <w:r>
        <w:rPr/>
        <w:t>during</w:t>
      </w:r>
      <w:r>
        <w:rPr>
          <w:spacing w:val="-8"/>
        </w:rPr>
        <w:t> </w:t>
      </w:r>
      <w:r>
        <w:rPr/>
        <w:t>the</w:t>
      </w:r>
      <w:r>
        <w:rPr>
          <w:spacing w:val="-8"/>
        </w:rPr>
        <w:t> </w:t>
      </w:r>
      <w:r>
        <w:rPr/>
        <w:t>development</w:t>
      </w:r>
      <w:r>
        <w:rPr>
          <w:spacing w:val="-9"/>
        </w:rPr>
        <w:t> </w:t>
      </w:r>
      <w:r>
        <w:rPr/>
        <w:t>period</w:t>
      </w:r>
      <w:r>
        <w:rPr>
          <w:spacing w:val="-8"/>
        </w:rPr>
        <w:t> </w:t>
      </w:r>
      <w:r>
        <w:rPr/>
        <w:t>and</w:t>
      </w:r>
      <w:r>
        <w:rPr>
          <w:spacing w:val="-8"/>
        </w:rPr>
        <w:t> </w:t>
      </w:r>
      <w:r>
        <w:rPr/>
        <w:t>following</w:t>
      </w:r>
      <w:r>
        <w:rPr>
          <w:spacing w:val="-8"/>
        </w:rPr>
        <w:t> </w:t>
      </w:r>
      <w:r>
        <w:rPr/>
        <w:t>completion</w:t>
      </w:r>
      <w:r>
        <w:rPr>
          <w:spacing w:val="-8"/>
        </w:rPr>
        <w:t> </w:t>
      </w:r>
      <w:r>
        <w:rPr/>
        <w:t>of</w:t>
      </w:r>
      <w:r>
        <w:rPr>
          <w:spacing w:val="-7"/>
        </w:rPr>
        <w:t> </w:t>
      </w:r>
      <w:r>
        <w:rPr/>
        <w:t>the</w:t>
      </w:r>
      <w:r>
        <w:rPr>
          <w:spacing w:val="-8"/>
        </w:rPr>
        <w:t> </w:t>
      </w:r>
      <w:r>
        <w:rPr/>
        <w:t>project.</w:t>
      </w:r>
      <w:r>
        <w:rPr>
          <w:spacing w:val="-3"/>
        </w:rPr>
        <w:t> </w:t>
      </w:r>
      <w:r>
        <w:rPr/>
        <w:t>The City reserves the right to review any such costs further to ensure they are reasonable and consistent with the costs expected from arms-length relationships.</w:t>
      </w:r>
    </w:p>
    <w:p>
      <w:pPr>
        <w:pStyle w:val="BodyText"/>
        <w:spacing w:before="10"/>
        <w:rPr>
          <w:sz w:val="21"/>
        </w:rPr>
      </w:pPr>
    </w:p>
    <w:p>
      <w:pPr>
        <w:pStyle w:val="BodyText"/>
        <w:spacing w:before="1"/>
        <w:ind w:left="120" w:right="155"/>
        <w:jc w:val="both"/>
      </w:pPr>
      <w:r>
        <w:rPr/>
        <w:t>An “Identity of Interest” (whether or not such term is capitalized) is any relationship based on family ties or financial interests between or among two or more entities involved in a project- related transaction which reasonably could give rise to a presumption that the entities may not operate at arms-length. The City will take a broad approach to defining identities of interest and expects all applicants to err on the side of disclosure. That is, if there is any question about whether an identity of interest may exist, the relationship should be disclosed and explained to the City.</w:t>
      </w:r>
    </w:p>
    <w:p>
      <w:pPr>
        <w:pStyle w:val="BodyText"/>
        <w:spacing w:before="1"/>
      </w:pPr>
    </w:p>
    <w:p>
      <w:pPr>
        <w:pStyle w:val="BodyText"/>
        <w:ind w:left="120"/>
        <w:jc w:val="both"/>
      </w:pPr>
      <w:r>
        <w:rPr/>
        <w:t>Beyond</w:t>
      </w:r>
      <w:r>
        <w:rPr>
          <w:spacing w:val="-8"/>
        </w:rPr>
        <w:t> </w:t>
      </w:r>
      <w:r>
        <w:rPr/>
        <w:t>this</w:t>
      </w:r>
      <w:r>
        <w:rPr>
          <w:spacing w:val="-4"/>
        </w:rPr>
        <w:t> </w:t>
      </w:r>
      <w:r>
        <w:rPr/>
        <w:t>general</w:t>
      </w:r>
      <w:r>
        <w:rPr>
          <w:spacing w:val="-5"/>
        </w:rPr>
        <w:t> </w:t>
      </w:r>
      <w:r>
        <w:rPr/>
        <w:t>definition,</w:t>
      </w:r>
      <w:r>
        <w:rPr>
          <w:spacing w:val="-4"/>
        </w:rPr>
        <w:t> </w:t>
      </w:r>
      <w:r>
        <w:rPr/>
        <w:t>an</w:t>
      </w:r>
      <w:r>
        <w:rPr>
          <w:spacing w:val="-5"/>
        </w:rPr>
        <w:t> </w:t>
      </w:r>
      <w:r>
        <w:rPr/>
        <w:t>identity</w:t>
      </w:r>
      <w:r>
        <w:rPr>
          <w:spacing w:val="-7"/>
        </w:rPr>
        <w:t> </w:t>
      </w:r>
      <w:r>
        <w:rPr/>
        <w:t>of</w:t>
      </w:r>
      <w:r>
        <w:rPr>
          <w:spacing w:val="-6"/>
        </w:rPr>
        <w:t> </w:t>
      </w:r>
      <w:r>
        <w:rPr/>
        <w:t>interest</w:t>
      </w:r>
      <w:r>
        <w:rPr>
          <w:spacing w:val="-6"/>
        </w:rPr>
        <w:t> </w:t>
      </w:r>
      <w:r>
        <w:rPr/>
        <w:t>relationship</w:t>
      </w:r>
      <w:r>
        <w:rPr>
          <w:spacing w:val="-5"/>
        </w:rPr>
        <w:t> </w:t>
      </w:r>
      <w:r>
        <w:rPr/>
        <w:t>will</w:t>
      </w:r>
      <w:r>
        <w:rPr>
          <w:spacing w:val="-6"/>
        </w:rPr>
        <w:t> </w:t>
      </w:r>
      <w:r>
        <w:rPr/>
        <w:t>be</w:t>
      </w:r>
      <w:r>
        <w:rPr>
          <w:spacing w:val="-5"/>
        </w:rPr>
        <w:t> </w:t>
      </w:r>
      <w:r>
        <w:rPr/>
        <w:t>deemed</w:t>
      </w:r>
      <w:r>
        <w:rPr>
          <w:spacing w:val="-7"/>
        </w:rPr>
        <w:t> </w:t>
      </w:r>
      <w:r>
        <w:rPr/>
        <w:t>to</w:t>
      </w:r>
      <w:r>
        <w:rPr>
          <w:spacing w:val="-5"/>
        </w:rPr>
        <w:t> </w:t>
      </w:r>
      <w:r>
        <w:rPr/>
        <w:t>exist</w:t>
      </w:r>
      <w:r>
        <w:rPr>
          <w:spacing w:val="-3"/>
        </w:rPr>
        <w:t> </w:t>
      </w:r>
      <w:r>
        <w:rPr>
          <w:spacing w:val="-5"/>
        </w:rPr>
        <w:t>if:</w:t>
      </w:r>
    </w:p>
    <w:p>
      <w:pPr>
        <w:spacing w:after="0"/>
        <w:jc w:val="both"/>
        <w:sectPr>
          <w:pgSz w:w="12240" w:h="15840"/>
          <w:pgMar w:header="0" w:footer="1176" w:top="1360" w:bottom="1420" w:left="1320" w:right="1280"/>
        </w:sectPr>
      </w:pPr>
    </w:p>
    <w:p>
      <w:pPr>
        <w:pStyle w:val="ListParagraph"/>
        <w:numPr>
          <w:ilvl w:val="0"/>
          <w:numId w:val="29"/>
        </w:numPr>
        <w:tabs>
          <w:tab w:pos="841" w:val="left" w:leader="none"/>
        </w:tabs>
        <w:spacing w:line="237" w:lineRule="auto" w:before="84" w:after="0"/>
        <w:ind w:left="840" w:right="156" w:hanging="361"/>
        <w:jc w:val="both"/>
        <w:rPr>
          <w:sz w:val="22"/>
        </w:rPr>
      </w:pPr>
      <w:r>
        <w:rPr>
          <w:sz w:val="22"/>
        </w:rPr>
        <w:t>An entity, or any owner of any direct or indirect ownership interest in such entity, or any family</w:t>
      </w:r>
      <w:r>
        <w:rPr>
          <w:spacing w:val="-7"/>
          <w:sz w:val="22"/>
        </w:rPr>
        <w:t> </w:t>
      </w:r>
      <w:r>
        <w:rPr>
          <w:sz w:val="22"/>
        </w:rPr>
        <w:t>member</w:t>
      </w:r>
      <w:r>
        <w:rPr>
          <w:spacing w:val="-6"/>
          <w:sz w:val="22"/>
        </w:rPr>
        <w:t> </w:t>
      </w:r>
      <w:r>
        <w:rPr>
          <w:sz w:val="22"/>
        </w:rPr>
        <w:t>of</w:t>
      </w:r>
      <w:r>
        <w:rPr>
          <w:spacing w:val="-6"/>
          <w:sz w:val="22"/>
        </w:rPr>
        <w:t> </w:t>
      </w:r>
      <w:r>
        <w:rPr>
          <w:sz w:val="22"/>
        </w:rPr>
        <w:t>any</w:t>
      </w:r>
      <w:r>
        <w:rPr>
          <w:spacing w:val="-7"/>
          <w:sz w:val="22"/>
        </w:rPr>
        <w:t> </w:t>
      </w:r>
      <w:r>
        <w:rPr>
          <w:sz w:val="22"/>
        </w:rPr>
        <w:t>such</w:t>
      </w:r>
      <w:r>
        <w:rPr>
          <w:spacing w:val="-5"/>
          <w:sz w:val="22"/>
        </w:rPr>
        <w:t> </w:t>
      </w:r>
      <w:r>
        <w:rPr>
          <w:sz w:val="22"/>
        </w:rPr>
        <w:t>owner</w:t>
      </w:r>
      <w:r>
        <w:rPr>
          <w:spacing w:val="-6"/>
          <w:sz w:val="22"/>
        </w:rPr>
        <w:t> </w:t>
      </w:r>
      <w:r>
        <w:rPr>
          <w:sz w:val="22"/>
        </w:rPr>
        <w:t>is</w:t>
      </w:r>
      <w:r>
        <w:rPr>
          <w:spacing w:val="-5"/>
          <w:sz w:val="22"/>
        </w:rPr>
        <w:t> </w:t>
      </w:r>
      <w:r>
        <w:rPr>
          <w:sz w:val="22"/>
        </w:rPr>
        <w:t>also</w:t>
      </w:r>
      <w:r>
        <w:rPr>
          <w:spacing w:val="-7"/>
          <w:sz w:val="22"/>
        </w:rPr>
        <w:t> </w:t>
      </w:r>
      <w:r>
        <w:rPr>
          <w:sz w:val="22"/>
        </w:rPr>
        <w:t>an</w:t>
      </w:r>
      <w:r>
        <w:rPr>
          <w:spacing w:val="-7"/>
          <w:sz w:val="22"/>
        </w:rPr>
        <w:t> </w:t>
      </w:r>
      <w:r>
        <w:rPr>
          <w:sz w:val="22"/>
        </w:rPr>
        <w:t>owner,</w:t>
      </w:r>
      <w:r>
        <w:rPr>
          <w:spacing w:val="-6"/>
          <w:sz w:val="22"/>
        </w:rPr>
        <w:t> </w:t>
      </w:r>
      <w:r>
        <w:rPr>
          <w:sz w:val="22"/>
        </w:rPr>
        <w:t>through</w:t>
      </w:r>
      <w:r>
        <w:rPr>
          <w:spacing w:val="-5"/>
          <w:sz w:val="22"/>
        </w:rPr>
        <w:t> </w:t>
      </w:r>
      <w:r>
        <w:rPr>
          <w:sz w:val="22"/>
        </w:rPr>
        <w:t>a</w:t>
      </w:r>
      <w:r>
        <w:rPr>
          <w:spacing w:val="-7"/>
          <w:sz w:val="22"/>
        </w:rPr>
        <w:t> </w:t>
      </w:r>
      <w:r>
        <w:rPr>
          <w:sz w:val="22"/>
        </w:rPr>
        <w:t>direct</w:t>
      </w:r>
      <w:r>
        <w:rPr>
          <w:spacing w:val="-6"/>
          <w:sz w:val="22"/>
        </w:rPr>
        <w:t> </w:t>
      </w:r>
      <w:r>
        <w:rPr>
          <w:sz w:val="22"/>
        </w:rPr>
        <w:t>or</w:t>
      </w:r>
      <w:r>
        <w:rPr>
          <w:spacing w:val="-6"/>
          <w:sz w:val="22"/>
        </w:rPr>
        <w:t> </w:t>
      </w:r>
      <w:r>
        <w:rPr>
          <w:sz w:val="22"/>
        </w:rPr>
        <w:t>indirect</w:t>
      </w:r>
      <w:r>
        <w:rPr>
          <w:spacing w:val="-6"/>
          <w:sz w:val="22"/>
        </w:rPr>
        <w:t> </w:t>
      </w:r>
      <w:r>
        <w:rPr>
          <w:sz w:val="22"/>
        </w:rPr>
        <w:t>ownership interest, or an officer, director, stockholder, partner, trustee, manager, or member of the counterparty; or</w:t>
      </w:r>
    </w:p>
    <w:p>
      <w:pPr>
        <w:pStyle w:val="ListParagraph"/>
        <w:numPr>
          <w:ilvl w:val="0"/>
          <w:numId w:val="29"/>
        </w:numPr>
        <w:tabs>
          <w:tab w:pos="841" w:val="left" w:leader="none"/>
        </w:tabs>
        <w:spacing w:line="240" w:lineRule="auto" w:before="4" w:after="0"/>
        <w:ind w:left="840" w:right="156" w:hanging="361"/>
        <w:jc w:val="both"/>
        <w:rPr>
          <w:sz w:val="22"/>
        </w:rPr>
      </w:pPr>
      <w:r>
        <w:rPr>
          <w:sz w:val="22"/>
        </w:rPr>
        <w:t>Any officer, director, stockholder, partner, trustee, manager, member, principal staff, contract</w:t>
      </w:r>
      <w:r>
        <w:rPr>
          <w:spacing w:val="-13"/>
          <w:sz w:val="22"/>
        </w:rPr>
        <w:t> </w:t>
      </w:r>
      <w:r>
        <w:rPr>
          <w:sz w:val="22"/>
        </w:rPr>
        <w:t>employee</w:t>
      </w:r>
      <w:r>
        <w:rPr>
          <w:spacing w:val="-14"/>
          <w:sz w:val="22"/>
        </w:rPr>
        <w:t> </w:t>
      </w:r>
      <w:r>
        <w:rPr>
          <w:sz w:val="22"/>
        </w:rPr>
        <w:t>or</w:t>
      </w:r>
      <w:r>
        <w:rPr>
          <w:spacing w:val="-13"/>
          <w:sz w:val="22"/>
        </w:rPr>
        <w:t> </w:t>
      </w:r>
      <w:r>
        <w:rPr>
          <w:sz w:val="22"/>
        </w:rPr>
        <w:t>consultant</w:t>
      </w:r>
      <w:r>
        <w:rPr>
          <w:spacing w:val="-13"/>
          <w:sz w:val="22"/>
        </w:rPr>
        <w:t> </w:t>
      </w:r>
      <w:r>
        <w:rPr>
          <w:sz w:val="22"/>
        </w:rPr>
        <w:t>of</w:t>
      </w:r>
      <w:r>
        <w:rPr>
          <w:spacing w:val="-13"/>
          <w:sz w:val="22"/>
        </w:rPr>
        <w:t> </w:t>
      </w:r>
      <w:r>
        <w:rPr>
          <w:sz w:val="22"/>
        </w:rPr>
        <w:t>an</w:t>
      </w:r>
      <w:r>
        <w:rPr>
          <w:spacing w:val="-14"/>
          <w:sz w:val="22"/>
        </w:rPr>
        <w:t> </w:t>
      </w:r>
      <w:r>
        <w:rPr>
          <w:sz w:val="22"/>
        </w:rPr>
        <w:t>entity,</w:t>
      </w:r>
      <w:r>
        <w:rPr>
          <w:spacing w:val="-13"/>
          <w:sz w:val="22"/>
        </w:rPr>
        <w:t> </w:t>
      </w:r>
      <w:r>
        <w:rPr>
          <w:sz w:val="22"/>
        </w:rPr>
        <w:t>or</w:t>
      </w:r>
      <w:r>
        <w:rPr>
          <w:spacing w:val="-13"/>
          <w:sz w:val="22"/>
        </w:rPr>
        <w:t> </w:t>
      </w:r>
      <w:r>
        <w:rPr>
          <w:sz w:val="22"/>
        </w:rPr>
        <w:t>any</w:t>
      </w:r>
      <w:r>
        <w:rPr>
          <w:spacing w:val="-12"/>
          <w:sz w:val="22"/>
        </w:rPr>
        <w:t> </w:t>
      </w:r>
      <w:r>
        <w:rPr>
          <w:sz w:val="22"/>
        </w:rPr>
        <w:t>family</w:t>
      </w:r>
      <w:r>
        <w:rPr>
          <w:spacing w:val="-13"/>
          <w:sz w:val="22"/>
        </w:rPr>
        <w:t> </w:t>
      </w:r>
      <w:r>
        <w:rPr>
          <w:sz w:val="22"/>
        </w:rPr>
        <w:t>member</w:t>
      </w:r>
      <w:r>
        <w:rPr>
          <w:spacing w:val="-13"/>
          <w:sz w:val="22"/>
        </w:rPr>
        <w:t> </w:t>
      </w:r>
      <w:r>
        <w:rPr>
          <w:sz w:val="22"/>
        </w:rPr>
        <w:t>of</w:t>
      </w:r>
      <w:r>
        <w:rPr>
          <w:spacing w:val="-15"/>
          <w:sz w:val="22"/>
        </w:rPr>
        <w:t> </w:t>
      </w:r>
      <w:r>
        <w:rPr>
          <w:sz w:val="22"/>
        </w:rPr>
        <w:t>thereof,</w:t>
      </w:r>
      <w:r>
        <w:rPr>
          <w:spacing w:val="-13"/>
          <w:sz w:val="22"/>
        </w:rPr>
        <w:t> </w:t>
      </w:r>
      <w:r>
        <w:rPr>
          <w:sz w:val="22"/>
        </w:rPr>
        <w:t>is</w:t>
      </w:r>
      <w:r>
        <w:rPr>
          <w:spacing w:val="-12"/>
          <w:sz w:val="22"/>
        </w:rPr>
        <w:t> </w:t>
      </w:r>
      <w:r>
        <w:rPr>
          <w:sz w:val="22"/>
        </w:rPr>
        <w:t>an</w:t>
      </w:r>
      <w:r>
        <w:rPr>
          <w:spacing w:val="-14"/>
          <w:sz w:val="22"/>
        </w:rPr>
        <w:t> </w:t>
      </w:r>
      <w:r>
        <w:rPr>
          <w:sz w:val="22"/>
        </w:rPr>
        <w:t>owner, through any direct or indirect ownership interest, or an officer, director, stockholder, partner, trustee, manager or member of the counterparty.</w:t>
      </w:r>
    </w:p>
    <w:p>
      <w:pPr>
        <w:pStyle w:val="BodyText"/>
        <w:spacing w:before="9"/>
        <w:rPr>
          <w:sz w:val="21"/>
        </w:rPr>
      </w:pPr>
    </w:p>
    <w:p>
      <w:pPr>
        <w:pStyle w:val="BodyText"/>
        <w:ind w:left="120" w:right="155"/>
        <w:jc w:val="both"/>
      </w:pPr>
      <w:r>
        <w:rPr/>
        <w:pict>
          <v:shape style="position:absolute;margin-left:90.065002pt;margin-top:-.82803pt;width:395.3pt;height:419pt;mso-position-horizontal-relative:page;mso-position-vertical-relative:paragraph;z-index:-17679872" id="docshape127" coordorigin="1801,-17" coordsize="7906,8380" path="m4498,7247l4492,7174,4477,7096,4455,7013,4432,6944,4403,6872,4367,6797,4325,6719,4276,6638,4237,6579,4200,6528,4200,7214,4197,7270,4186,7327,4167,7384,4138,7444,4097,7507,4044,7573,3979,7642,3674,7948,2216,6490,2517,6189,2598,6113,2672,6053,2740,6010,2801,5983,2868,5969,2941,5965,3020,5971,3105,5989,3195,6018,3255,6044,3317,6076,3380,6115,3446,6160,3514,6212,3584,6270,3656,6334,3729,6406,3789,6467,3845,6527,3896,6586,3943,6644,3986,6701,4025,6756,4059,6810,4101,6885,4136,6957,4163,7027,4183,7093,4196,7158,4200,7214,4200,6528,4194,6519,4148,6459,4098,6399,4045,6338,3989,6276,3929,6215,3865,6152,3801,6094,3737,6039,3673,5987,3643,5965,3609,5939,3546,5895,3482,5854,3419,5816,3346,5778,3274,5746,3203,5719,3132,5697,3062,5680,2992,5668,2923,5660,2850,5659,2779,5666,2709,5680,2642,5703,2577,5734,2528,5762,2476,5799,2420,5845,2359,5899,2294,5961,1801,6454,3710,8363,4124,7948,4226,7846,4287,7781,4341,7716,4386,7650,4424,7583,4454,7517,4476,7450,4491,7383,4498,7316,4498,7247xm6418,5654l6056,5526,5650,5384,5561,5354,5475,5330,5393,5311,5365,5306,5314,5297,5239,5287,5193,5285,5143,5288,5089,5295,5030,5306,5073,5236,5109,5167,5136,5098,5154,5029,5164,4960,5165,4892,5157,4824,5139,4746,5111,4670,5075,4596,5030,4523,4976,4452,4956,4429,4913,4383,4872,4345,4872,4903,4868,4958,4854,5013,4830,5070,4794,5128,4747,5189,4687,5253,4280,5660,3649,5029,4102,4576,4166,4519,4229,4475,4293,4446,4358,4431,4422,4429,4501,4445,4577,4474,4649,4519,4718,4579,4761,4626,4797,4677,4827,4731,4851,4787,4867,4846,4872,4903,4872,4345,4849,4324,4782,4271,4713,4226,4641,4187,4566,4155,4474,4127,4386,4114,4303,4116,4225,4132,4163,4157,4098,4194,4030,4242,3958,4301,3883,4373,3248,5007,5157,6915,5346,6726,4499,5879,4718,5660,4753,5625,4783,5598,4810,5577,4833,5563,4863,5549,4896,5538,4932,5531,4971,5526,5014,5526,5066,5532,5125,5542,5194,5558,5256,5576,5328,5597,5407,5622,5496,5651,6180,5892,6418,5654xm7780,4292l7415,4097,6555,3643,6555,3950,6070,4435,6030,4363,5989,4292,5748,3861,5708,3789,5668,3718,5629,3652,5590,3588,5550,3524,5509,3461,5467,3398,5424,3337,5380,3276,5436,3312,5498,3350,5564,3390,5635,3432,5792,3522,6555,3950,6555,3643,5862,3276,5286,2969,5082,3173,5277,3524,5316,3594,5701,4292,6207,5211,6441,5631,6642,5430,6565,5297,6298,4829,6221,4695,6481,4435,6820,4097,7173,4292,7565,4508,7780,4292xm8131,3941l7264,3074,7936,2403,7711,2177,7039,2849,6448,2258,7224,1482,6999,1257,6033,2222,7941,4131,8131,3941xm9707,2365l8024,682,8497,209,8272,-17,7138,1118,7363,1343,7834,872,9517,2555,9707,2365xe" filled="true" fillcolor="#c0c0c0" stroked="false">
            <v:path arrowok="t"/>
            <v:fill opacity="32896f" type="solid"/>
            <w10:wrap type="none"/>
          </v:shape>
        </w:pict>
      </w:r>
      <w:r>
        <w:rPr/>
        <w:t>For purposes of this definition, “family member” means the spouse, parents or stepparents, children</w:t>
      </w:r>
      <w:r>
        <w:rPr>
          <w:spacing w:val="-16"/>
        </w:rPr>
        <w:t> </w:t>
      </w:r>
      <w:r>
        <w:rPr/>
        <w:t>or</w:t>
      </w:r>
      <w:r>
        <w:rPr>
          <w:spacing w:val="-15"/>
        </w:rPr>
        <w:t> </w:t>
      </w:r>
      <w:r>
        <w:rPr/>
        <w:t>stepchildren,</w:t>
      </w:r>
      <w:r>
        <w:rPr>
          <w:spacing w:val="-15"/>
        </w:rPr>
        <w:t> </w:t>
      </w:r>
      <w:r>
        <w:rPr/>
        <w:t>grandparents</w:t>
      </w:r>
      <w:r>
        <w:rPr>
          <w:spacing w:val="-16"/>
        </w:rPr>
        <w:t> </w:t>
      </w:r>
      <w:r>
        <w:rPr/>
        <w:t>or</w:t>
      </w:r>
      <w:r>
        <w:rPr>
          <w:spacing w:val="-15"/>
        </w:rPr>
        <w:t> </w:t>
      </w:r>
      <w:r>
        <w:rPr/>
        <w:t>step-grandparents,</w:t>
      </w:r>
      <w:r>
        <w:rPr>
          <w:spacing w:val="-15"/>
        </w:rPr>
        <w:t> </w:t>
      </w:r>
      <w:r>
        <w:rPr/>
        <w:t>grandchildren</w:t>
      </w:r>
      <w:r>
        <w:rPr>
          <w:spacing w:val="-15"/>
        </w:rPr>
        <w:t> </w:t>
      </w:r>
      <w:r>
        <w:rPr/>
        <w:t>or</w:t>
      </w:r>
      <w:r>
        <w:rPr>
          <w:spacing w:val="-16"/>
        </w:rPr>
        <w:t> </w:t>
      </w:r>
      <w:r>
        <w:rPr/>
        <w:t>step-grandchildren, aunts,</w:t>
      </w:r>
      <w:r>
        <w:rPr>
          <w:spacing w:val="-16"/>
        </w:rPr>
        <w:t> </w:t>
      </w:r>
      <w:r>
        <w:rPr/>
        <w:t>uncles,</w:t>
      </w:r>
      <w:r>
        <w:rPr>
          <w:spacing w:val="-15"/>
        </w:rPr>
        <w:t> </w:t>
      </w:r>
      <w:r>
        <w:rPr/>
        <w:t>parents-in-law,</w:t>
      </w:r>
      <w:r>
        <w:rPr>
          <w:spacing w:val="-15"/>
        </w:rPr>
        <w:t> </w:t>
      </w:r>
      <w:r>
        <w:rPr/>
        <w:t>and</w:t>
      </w:r>
      <w:r>
        <w:rPr>
          <w:spacing w:val="-16"/>
        </w:rPr>
        <w:t> </w:t>
      </w:r>
      <w:r>
        <w:rPr/>
        <w:t>siblings-in-law</w:t>
      </w:r>
      <w:r>
        <w:rPr>
          <w:spacing w:val="-15"/>
        </w:rPr>
        <w:t> </w:t>
      </w:r>
      <w:r>
        <w:rPr/>
        <w:t>(or</w:t>
      </w:r>
      <w:r>
        <w:rPr>
          <w:spacing w:val="-15"/>
        </w:rPr>
        <w:t> </w:t>
      </w:r>
      <w:r>
        <w:rPr/>
        <w:t>their</w:t>
      </w:r>
      <w:r>
        <w:rPr>
          <w:spacing w:val="-15"/>
        </w:rPr>
        <w:t> </w:t>
      </w:r>
      <w:r>
        <w:rPr/>
        <w:t>children</w:t>
      </w:r>
      <w:r>
        <w:rPr>
          <w:spacing w:val="-16"/>
        </w:rPr>
        <w:t> </w:t>
      </w:r>
      <w:r>
        <w:rPr/>
        <w:t>or</w:t>
      </w:r>
      <w:r>
        <w:rPr>
          <w:spacing w:val="-15"/>
        </w:rPr>
        <w:t> </w:t>
      </w:r>
      <w:r>
        <w:rPr/>
        <w:t>stepchildren).</w:t>
      </w:r>
      <w:r>
        <w:rPr>
          <w:spacing w:val="-15"/>
        </w:rPr>
        <w:t> </w:t>
      </w:r>
      <w:r>
        <w:rPr/>
        <w:t>It</w:t>
      </w:r>
      <w:r>
        <w:rPr>
          <w:spacing w:val="-16"/>
        </w:rPr>
        <w:t> </w:t>
      </w:r>
      <w:r>
        <w:rPr/>
        <w:t>also</w:t>
      </w:r>
      <w:r>
        <w:rPr>
          <w:spacing w:val="-15"/>
        </w:rPr>
        <w:t> </w:t>
      </w:r>
      <w:r>
        <w:rPr/>
        <w:t>includes any other similar relationship established by operation of law, including but limited to guardianship, adoption, foster parents, and the like.</w:t>
      </w:r>
    </w:p>
    <w:p>
      <w:pPr>
        <w:pStyle w:val="BodyText"/>
        <w:spacing w:before="10"/>
        <w:rPr>
          <w:sz w:val="21"/>
        </w:rPr>
      </w:pPr>
    </w:p>
    <w:p>
      <w:pPr>
        <w:pStyle w:val="BodyText"/>
        <w:ind w:left="120"/>
        <w:jc w:val="both"/>
      </w:pPr>
      <w:r>
        <w:rPr/>
        <w:t>Financial</w:t>
      </w:r>
      <w:r>
        <w:rPr>
          <w:spacing w:val="-9"/>
        </w:rPr>
        <w:t> </w:t>
      </w:r>
      <w:r>
        <w:rPr>
          <w:spacing w:val="-2"/>
        </w:rPr>
        <w:t>Analysis</w:t>
      </w:r>
    </w:p>
    <w:p>
      <w:pPr>
        <w:pStyle w:val="BodyText"/>
        <w:spacing w:before="2"/>
        <w:ind w:left="120" w:right="156"/>
        <w:jc w:val="both"/>
      </w:pPr>
      <w:r>
        <w:rPr/>
        <w:t>As noted</w:t>
      </w:r>
      <w:r>
        <w:rPr>
          <w:spacing w:val="-2"/>
        </w:rPr>
        <w:t> </w:t>
      </w:r>
      <w:r>
        <w:rPr/>
        <w:t>in</w:t>
      </w:r>
      <w:r>
        <w:rPr>
          <w:spacing w:val="-2"/>
        </w:rPr>
        <w:t> </w:t>
      </w:r>
      <w:r>
        <w:rPr/>
        <w:t>the</w:t>
      </w:r>
      <w:r>
        <w:rPr>
          <w:spacing w:val="-2"/>
        </w:rPr>
        <w:t> </w:t>
      </w:r>
      <w:r>
        <w:rPr/>
        <w:t>introduction, the</w:t>
      </w:r>
      <w:r>
        <w:rPr>
          <w:spacing w:val="-2"/>
        </w:rPr>
        <w:t> </w:t>
      </w:r>
      <w:r>
        <w:rPr/>
        <w:t>City</w:t>
      </w:r>
      <w:r>
        <w:rPr>
          <w:spacing w:val="-1"/>
        </w:rPr>
        <w:t> </w:t>
      </w:r>
      <w:r>
        <w:rPr/>
        <w:t>views underwriting as</w:t>
      </w:r>
      <w:r>
        <w:rPr>
          <w:spacing w:val="-1"/>
        </w:rPr>
        <w:t> </w:t>
      </w:r>
      <w:r>
        <w:rPr/>
        <w:t>more</w:t>
      </w:r>
      <w:r>
        <w:rPr>
          <w:spacing w:val="-2"/>
        </w:rPr>
        <w:t> </w:t>
      </w:r>
      <w:r>
        <w:rPr/>
        <w:t>than</w:t>
      </w:r>
      <w:r>
        <w:rPr>
          <w:spacing w:val="-4"/>
        </w:rPr>
        <w:t> </w:t>
      </w:r>
      <w:r>
        <w:rPr/>
        <w:t>just</w:t>
      </w:r>
      <w:r>
        <w:rPr>
          <w:spacing w:val="-3"/>
        </w:rPr>
        <w:t> </w:t>
      </w:r>
      <w:r>
        <w:rPr/>
        <w:t>the</w:t>
      </w:r>
      <w:r>
        <w:rPr>
          <w:spacing w:val="-2"/>
        </w:rPr>
        <w:t> </w:t>
      </w:r>
      <w:r>
        <w:rPr/>
        <w:t>financial review of a</w:t>
      </w:r>
      <w:r>
        <w:rPr>
          <w:spacing w:val="-7"/>
        </w:rPr>
        <w:t> </w:t>
      </w:r>
      <w:r>
        <w:rPr/>
        <w:t>project.</w:t>
      </w:r>
      <w:r>
        <w:rPr>
          <w:spacing w:val="-8"/>
        </w:rPr>
        <w:t> </w:t>
      </w:r>
      <w:r>
        <w:rPr/>
        <w:t>However,</w:t>
      </w:r>
      <w:r>
        <w:rPr>
          <w:spacing w:val="-8"/>
        </w:rPr>
        <w:t> </w:t>
      </w:r>
      <w:r>
        <w:rPr/>
        <w:t>a</w:t>
      </w:r>
      <w:r>
        <w:rPr>
          <w:spacing w:val="-10"/>
        </w:rPr>
        <w:t> </w:t>
      </w:r>
      <w:r>
        <w:rPr/>
        <w:t>review</w:t>
      </w:r>
      <w:r>
        <w:rPr>
          <w:spacing w:val="-8"/>
        </w:rPr>
        <w:t> </w:t>
      </w:r>
      <w:r>
        <w:rPr/>
        <w:t>of</w:t>
      </w:r>
      <w:r>
        <w:rPr>
          <w:spacing w:val="-8"/>
        </w:rPr>
        <w:t> </w:t>
      </w:r>
      <w:r>
        <w:rPr/>
        <w:t>the</w:t>
      </w:r>
      <w:r>
        <w:rPr>
          <w:spacing w:val="-10"/>
        </w:rPr>
        <w:t> </w:t>
      </w:r>
      <w:r>
        <w:rPr/>
        <w:t>underlying</w:t>
      </w:r>
      <w:r>
        <w:rPr>
          <w:spacing w:val="-10"/>
        </w:rPr>
        <w:t> </w:t>
      </w:r>
      <w:r>
        <w:rPr/>
        <w:t>financial</w:t>
      </w:r>
      <w:r>
        <w:rPr>
          <w:spacing w:val="-8"/>
        </w:rPr>
        <w:t> </w:t>
      </w:r>
      <w:r>
        <w:rPr/>
        <w:t>assumptions</w:t>
      </w:r>
      <w:r>
        <w:rPr>
          <w:spacing w:val="-9"/>
        </w:rPr>
        <w:t> </w:t>
      </w:r>
      <w:r>
        <w:rPr/>
        <w:t>is</w:t>
      </w:r>
      <w:r>
        <w:rPr>
          <w:spacing w:val="-9"/>
        </w:rPr>
        <w:t> </w:t>
      </w:r>
      <w:r>
        <w:rPr/>
        <w:t>still</w:t>
      </w:r>
      <w:r>
        <w:rPr>
          <w:spacing w:val="-10"/>
        </w:rPr>
        <w:t> </w:t>
      </w:r>
      <w:r>
        <w:rPr/>
        <w:t>a</w:t>
      </w:r>
      <w:r>
        <w:rPr>
          <w:spacing w:val="-7"/>
        </w:rPr>
        <w:t> </w:t>
      </w:r>
      <w:r>
        <w:rPr/>
        <w:t>critical</w:t>
      </w:r>
      <w:r>
        <w:rPr>
          <w:spacing w:val="-8"/>
        </w:rPr>
        <w:t> </w:t>
      </w:r>
      <w:r>
        <w:rPr/>
        <w:t>and</w:t>
      </w:r>
      <w:r>
        <w:rPr>
          <w:spacing w:val="-10"/>
        </w:rPr>
        <w:t> </w:t>
      </w:r>
      <w:r>
        <w:rPr/>
        <w:t>core</w:t>
      </w:r>
      <w:r>
        <w:rPr>
          <w:spacing w:val="-10"/>
        </w:rPr>
        <w:t> </w:t>
      </w:r>
      <w:r>
        <w:rPr/>
        <w:t>part of underwriting. In reviewing projects, as a public funder the City must balance two somewhat competing perspectives.</w:t>
      </w:r>
    </w:p>
    <w:p>
      <w:pPr>
        <w:pStyle w:val="BodyText"/>
        <w:spacing w:before="11"/>
        <w:rPr>
          <w:sz w:val="21"/>
        </w:rPr>
      </w:pPr>
    </w:p>
    <w:p>
      <w:pPr>
        <w:pStyle w:val="BodyText"/>
        <w:ind w:left="120" w:right="153"/>
        <w:jc w:val="both"/>
      </w:pPr>
      <w:r>
        <w:rPr/>
        <w:t>Projects</w:t>
      </w:r>
      <w:r>
        <w:rPr>
          <w:spacing w:val="-6"/>
        </w:rPr>
        <w:t> </w:t>
      </w:r>
      <w:r>
        <w:rPr/>
        <w:t>must</w:t>
      </w:r>
      <w:r>
        <w:rPr>
          <w:spacing w:val="-3"/>
        </w:rPr>
        <w:t> </w:t>
      </w:r>
      <w:r>
        <w:rPr/>
        <w:t>be</w:t>
      </w:r>
      <w:r>
        <w:rPr>
          <w:spacing w:val="-4"/>
        </w:rPr>
        <w:t> </w:t>
      </w:r>
      <w:r>
        <w:rPr/>
        <w:t>viable,</w:t>
      </w:r>
      <w:r>
        <w:rPr>
          <w:spacing w:val="-5"/>
        </w:rPr>
        <w:t> </w:t>
      </w:r>
      <w:r>
        <w:rPr/>
        <w:t>that</w:t>
      </w:r>
      <w:r>
        <w:rPr>
          <w:spacing w:val="-2"/>
        </w:rPr>
        <w:t> </w:t>
      </w:r>
      <w:r>
        <w:rPr/>
        <w:t>is</w:t>
      </w:r>
      <w:r>
        <w:rPr>
          <w:spacing w:val="-6"/>
        </w:rPr>
        <w:t> </w:t>
      </w:r>
      <w:r>
        <w:rPr/>
        <w:t>they</w:t>
      </w:r>
      <w:r>
        <w:rPr>
          <w:spacing w:val="-6"/>
        </w:rPr>
        <w:t> </w:t>
      </w:r>
      <w:r>
        <w:rPr/>
        <w:t>must</w:t>
      </w:r>
      <w:r>
        <w:rPr>
          <w:spacing w:val="-5"/>
        </w:rPr>
        <w:t> </w:t>
      </w:r>
      <w:r>
        <w:rPr/>
        <w:t>have</w:t>
      </w:r>
      <w:r>
        <w:rPr>
          <w:spacing w:val="-4"/>
        </w:rPr>
        <w:t> </w:t>
      </w:r>
      <w:r>
        <w:rPr/>
        <w:t>sufficient</w:t>
      </w:r>
      <w:r>
        <w:rPr>
          <w:spacing w:val="-3"/>
        </w:rPr>
        <w:t> </w:t>
      </w:r>
      <w:r>
        <w:rPr/>
        <w:t>allowances</w:t>
      </w:r>
      <w:r>
        <w:rPr>
          <w:spacing w:val="-4"/>
        </w:rPr>
        <w:t> </w:t>
      </w:r>
      <w:r>
        <w:rPr/>
        <w:t>for</w:t>
      </w:r>
      <w:r>
        <w:rPr>
          <w:spacing w:val="-3"/>
        </w:rPr>
        <w:t> </w:t>
      </w:r>
      <w:r>
        <w:rPr/>
        <w:t>all</w:t>
      </w:r>
      <w:r>
        <w:rPr>
          <w:spacing w:val="-7"/>
        </w:rPr>
        <w:t> </w:t>
      </w:r>
      <w:r>
        <w:rPr/>
        <w:t>costs</w:t>
      </w:r>
      <w:r>
        <w:rPr>
          <w:spacing w:val="-6"/>
        </w:rPr>
        <w:t> </w:t>
      </w:r>
      <w:r>
        <w:rPr/>
        <w:t>to</w:t>
      </w:r>
      <w:r>
        <w:rPr>
          <w:spacing w:val="-6"/>
        </w:rPr>
        <w:t> </w:t>
      </w:r>
      <w:r>
        <w:rPr/>
        <w:t>maximize</w:t>
      </w:r>
      <w:r>
        <w:rPr>
          <w:spacing w:val="-6"/>
        </w:rPr>
        <w:t> </w:t>
      </w:r>
      <w:r>
        <w:rPr/>
        <w:t>the chances the project can meet or exceed its financial projections and thereby succeed in the marketplace. In other words, the project must represent a “safe” investment. However, taken to an extreme, “safe” or overly conservative projections can also result in a project that is over- subsidized and risks providing excessive returns to the owner/developer.</w:t>
      </w:r>
    </w:p>
    <w:p>
      <w:pPr>
        <w:pStyle w:val="BodyText"/>
        <w:spacing w:before="10"/>
        <w:rPr>
          <w:sz w:val="21"/>
        </w:rPr>
      </w:pPr>
    </w:p>
    <w:p>
      <w:pPr>
        <w:pStyle w:val="BodyText"/>
        <w:ind w:left="120" w:right="156"/>
        <w:jc w:val="both"/>
      </w:pPr>
      <w:r>
        <w:rPr/>
        <w:t>As a steward of very limited public funding for affordable housing, the City also needs to ensure that costs are</w:t>
      </w:r>
      <w:r>
        <w:rPr>
          <w:spacing w:val="-1"/>
        </w:rPr>
        <w:t> </w:t>
      </w:r>
      <w:r>
        <w:rPr/>
        <w:t>reasonable, that they represent a</w:t>
      </w:r>
      <w:r>
        <w:rPr>
          <w:spacing w:val="-1"/>
        </w:rPr>
        <w:t> </w:t>
      </w:r>
      <w:r>
        <w:rPr/>
        <w:t>“good deal” to</w:t>
      </w:r>
      <w:r>
        <w:rPr>
          <w:spacing w:val="-1"/>
        </w:rPr>
        <w:t> </w:t>
      </w:r>
      <w:r>
        <w:rPr/>
        <w:t>the public, and that returns to</w:t>
      </w:r>
      <w:r>
        <w:rPr>
          <w:spacing w:val="-1"/>
        </w:rPr>
        <w:t> </w:t>
      </w:r>
      <w:r>
        <w:rPr/>
        <w:t>the owner/developer are fair but not excessive. In seeking to balance these perspectives, the City has established the following review factors and principals.</w:t>
      </w:r>
    </w:p>
    <w:p>
      <w:pPr>
        <w:pStyle w:val="BodyText"/>
        <w:spacing w:before="11"/>
        <w:rPr>
          <w:sz w:val="21"/>
        </w:rPr>
      </w:pPr>
    </w:p>
    <w:p>
      <w:pPr>
        <w:pStyle w:val="BodyText"/>
        <w:ind w:left="120"/>
        <w:jc w:val="both"/>
      </w:pPr>
      <w:r>
        <w:rPr/>
        <w:t>Development</w:t>
      </w:r>
      <w:r>
        <w:rPr>
          <w:spacing w:val="-11"/>
        </w:rPr>
        <w:t> </w:t>
      </w:r>
      <w:r>
        <w:rPr>
          <w:spacing w:val="-4"/>
        </w:rPr>
        <w:t>Costs</w:t>
      </w:r>
    </w:p>
    <w:p>
      <w:pPr>
        <w:pStyle w:val="BodyText"/>
        <w:spacing w:before="2"/>
        <w:ind w:left="120" w:right="155"/>
        <w:jc w:val="both"/>
      </w:pPr>
      <w:r>
        <w:rPr/>
        <w:t>In general, the City will review the entire project budget to all costs are reasonable yet that the budget</w:t>
      </w:r>
      <w:r>
        <w:rPr>
          <w:spacing w:val="-6"/>
        </w:rPr>
        <w:t> </w:t>
      </w:r>
      <w:r>
        <w:rPr/>
        <w:t>is</w:t>
      </w:r>
      <w:r>
        <w:rPr>
          <w:spacing w:val="-7"/>
        </w:rPr>
        <w:t> </w:t>
      </w:r>
      <w:r>
        <w:rPr/>
        <w:t>sufficient</w:t>
      </w:r>
      <w:r>
        <w:rPr>
          <w:spacing w:val="-6"/>
        </w:rPr>
        <w:t> </w:t>
      </w:r>
      <w:r>
        <w:rPr/>
        <w:t>to</w:t>
      </w:r>
      <w:r>
        <w:rPr>
          <w:spacing w:val="-7"/>
        </w:rPr>
        <w:t> </w:t>
      </w:r>
      <w:r>
        <w:rPr/>
        <w:t>complete</w:t>
      </w:r>
      <w:r>
        <w:rPr>
          <w:spacing w:val="-7"/>
        </w:rPr>
        <w:t> </w:t>
      </w:r>
      <w:r>
        <w:rPr/>
        <w:t>and</w:t>
      </w:r>
      <w:r>
        <w:rPr>
          <w:spacing w:val="-7"/>
        </w:rPr>
        <w:t> </w:t>
      </w:r>
      <w:r>
        <w:rPr/>
        <w:t>sustain</w:t>
      </w:r>
      <w:r>
        <w:rPr>
          <w:spacing w:val="-8"/>
        </w:rPr>
        <w:t> </w:t>
      </w:r>
      <w:r>
        <w:rPr/>
        <w:t>the</w:t>
      </w:r>
      <w:r>
        <w:rPr>
          <w:spacing w:val="-7"/>
        </w:rPr>
        <w:t> </w:t>
      </w:r>
      <w:r>
        <w:rPr/>
        <w:t>project.</w:t>
      </w:r>
      <w:r>
        <w:rPr>
          <w:spacing w:val="-5"/>
        </w:rPr>
        <w:t> </w:t>
      </w:r>
      <w:r>
        <w:rPr/>
        <w:t>All</w:t>
      </w:r>
      <w:r>
        <w:rPr>
          <w:spacing w:val="-6"/>
        </w:rPr>
        <w:t> </w:t>
      </w:r>
      <w:r>
        <w:rPr/>
        <w:t>line</w:t>
      </w:r>
      <w:r>
        <w:rPr>
          <w:spacing w:val="-7"/>
        </w:rPr>
        <w:t> </w:t>
      </w:r>
      <w:r>
        <w:rPr/>
        <w:t>items,</w:t>
      </w:r>
      <w:r>
        <w:rPr>
          <w:spacing w:val="-6"/>
        </w:rPr>
        <w:t> </w:t>
      </w:r>
      <w:r>
        <w:rPr/>
        <w:t>whether</w:t>
      </w:r>
      <w:r>
        <w:rPr>
          <w:spacing w:val="-6"/>
        </w:rPr>
        <w:t> </w:t>
      </w:r>
      <w:r>
        <w:rPr/>
        <w:t>or</w:t>
      </w:r>
      <w:r>
        <w:rPr>
          <w:spacing w:val="-6"/>
        </w:rPr>
        <w:t> </w:t>
      </w:r>
      <w:r>
        <w:rPr/>
        <w:t>not</w:t>
      </w:r>
      <w:r>
        <w:rPr>
          <w:spacing w:val="-6"/>
        </w:rPr>
        <w:t> </w:t>
      </w:r>
      <w:r>
        <w:rPr/>
        <w:t>paid</w:t>
      </w:r>
      <w:r>
        <w:rPr>
          <w:spacing w:val="-7"/>
        </w:rPr>
        <w:t> </w:t>
      </w:r>
      <w:r>
        <w:rPr/>
        <w:t>directly with HOME funds, must be necessary and reasonable.</w:t>
      </w:r>
    </w:p>
    <w:p>
      <w:pPr>
        <w:pStyle w:val="BodyText"/>
        <w:spacing w:before="9"/>
        <w:rPr>
          <w:sz w:val="21"/>
        </w:rPr>
      </w:pPr>
    </w:p>
    <w:p>
      <w:pPr>
        <w:pStyle w:val="BodyText"/>
        <w:ind w:left="120" w:right="154"/>
        <w:jc w:val="both"/>
      </w:pPr>
      <w:r>
        <w:rPr/>
        <w:t>The</w:t>
      </w:r>
      <w:r>
        <w:rPr>
          <w:spacing w:val="-4"/>
        </w:rPr>
        <w:t> </w:t>
      </w:r>
      <w:r>
        <w:rPr/>
        <w:t>City</w:t>
      </w:r>
      <w:r>
        <w:rPr>
          <w:spacing w:val="-4"/>
        </w:rPr>
        <w:t> </w:t>
      </w:r>
      <w:r>
        <w:rPr/>
        <w:t>will</w:t>
      </w:r>
      <w:r>
        <w:rPr>
          <w:spacing w:val="-5"/>
        </w:rPr>
        <w:t> </w:t>
      </w:r>
      <w:r>
        <w:rPr/>
        <w:t>consider</w:t>
      </w:r>
      <w:r>
        <w:rPr>
          <w:spacing w:val="-3"/>
        </w:rPr>
        <w:t> </w:t>
      </w:r>
      <w:r>
        <w:rPr/>
        <w:t>the</w:t>
      </w:r>
      <w:r>
        <w:rPr>
          <w:spacing w:val="-6"/>
        </w:rPr>
        <w:t> </w:t>
      </w:r>
      <w:r>
        <w:rPr/>
        <w:t>cost</w:t>
      </w:r>
      <w:r>
        <w:rPr>
          <w:spacing w:val="-3"/>
        </w:rPr>
        <w:t> </w:t>
      </w:r>
      <w:r>
        <w:rPr/>
        <w:t>of</w:t>
      </w:r>
      <w:r>
        <w:rPr>
          <w:spacing w:val="-2"/>
        </w:rPr>
        <w:t> </w:t>
      </w:r>
      <w:r>
        <w:rPr/>
        <w:t>both</w:t>
      </w:r>
      <w:r>
        <w:rPr>
          <w:spacing w:val="-4"/>
        </w:rPr>
        <w:t> </w:t>
      </w:r>
      <w:r>
        <w:rPr/>
        <w:t>specific</w:t>
      </w:r>
      <w:r>
        <w:rPr>
          <w:spacing w:val="-4"/>
        </w:rPr>
        <w:t> </w:t>
      </w:r>
      <w:r>
        <w:rPr/>
        <w:t>line</w:t>
      </w:r>
      <w:r>
        <w:rPr>
          <w:spacing w:val="-4"/>
        </w:rPr>
        <w:t> </w:t>
      </w:r>
      <w:r>
        <w:rPr/>
        <w:t>items</w:t>
      </w:r>
      <w:r>
        <w:rPr>
          <w:spacing w:val="-4"/>
        </w:rPr>
        <w:t> </w:t>
      </w:r>
      <w:r>
        <w:rPr/>
        <w:t>as</w:t>
      </w:r>
      <w:r>
        <w:rPr>
          <w:spacing w:val="-6"/>
        </w:rPr>
        <w:t> </w:t>
      </w:r>
      <w:r>
        <w:rPr/>
        <w:t>well</w:t>
      </w:r>
      <w:r>
        <w:rPr>
          <w:spacing w:val="-5"/>
        </w:rPr>
        <w:t> </w:t>
      </w:r>
      <w:r>
        <w:rPr/>
        <w:t>as</w:t>
      </w:r>
      <w:r>
        <w:rPr>
          <w:spacing w:val="-4"/>
        </w:rPr>
        <w:t> </w:t>
      </w:r>
      <w:r>
        <w:rPr/>
        <w:t>the</w:t>
      </w:r>
      <w:r>
        <w:rPr>
          <w:spacing w:val="-7"/>
        </w:rPr>
        <w:t> </w:t>
      </w:r>
      <w:r>
        <w:rPr/>
        <w:t>total</w:t>
      </w:r>
      <w:r>
        <w:rPr>
          <w:spacing w:val="-7"/>
        </w:rPr>
        <w:t> </w:t>
      </w:r>
      <w:r>
        <w:rPr/>
        <w:t>development</w:t>
      </w:r>
      <w:r>
        <w:rPr>
          <w:spacing w:val="-3"/>
        </w:rPr>
        <w:t> </w:t>
      </w:r>
      <w:r>
        <w:rPr/>
        <w:t>cost</w:t>
      </w:r>
      <w:r>
        <w:rPr>
          <w:spacing w:val="-3"/>
        </w:rPr>
        <w:t> </w:t>
      </w:r>
      <w:r>
        <w:rPr/>
        <w:t>on a per unit and per square foot basis, comparing costs to other projects from the City’s portfolio, similar projects in the region (such as those funded by TDHCA), City-data from the Building Department, and/or third-party indices such as RS Means.</w:t>
      </w:r>
    </w:p>
    <w:p>
      <w:pPr>
        <w:pStyle w:val="BodyText"/>
      </w:pPr>
    </w:p>
    <w:p>
      <w:pPr>
        <w:pStyle w:val="BodyText"/>
        <w:ind w:left="120"/>
        <w:jc w:val="both"/>
      </w:pPr>
      <w:r>
        <w:rPr/>
        <w:t>Selected</w:t>
      </w:r>
      <w:r>
        <w:rPr>
          <w:spacing w:val="-11"/>
        </w:rPr>
        <w:t> </w:t>
      </w:r>
      <w:r>
        <w:rPr/>
        <w:t>Development</w:t>
      </w:r>
      <w:r>
        <w:rPr>
          <w:spacing w:val="-6"/>
        </w:rPr>
        <w:t> </w:t>
      </w:r>
      <w:r>
        <w:rPr/>
        <w:t>Cost</w:t>
      </w:r>
      <w:r>
        <w:rPr>
          <w:spacing w:val="-9"/>
        </w:rPr>
        <w:t> </w:t>
      </w:r>
      <w:r>
        <w:rPr>
          <w:spacing w:val="-4"/>
        </w:rPr>
        <w:t>Items</w:t>
      </w:r>
    </w:p>
    <w:p>
      <w:pPr>
        <w:pStyle w:val="BodyText"/>
      </w:pPr>
    </w:p>
    <w:p>
      <w:pPr>
        <w:pStyle w:val="BodyText"/>
        <w:ind w:left="120" w:right="153"/>
        <w:jc w:val="both"/>
      </w:pPr>
      <w:r>
        <w:rPr>
          <w:i/>
        </w:rPr>
        <w:t>Acquisition </w:t>
      </w:r>
      <w:r>
        <w:rPr/>
        <w:t>– Acquisition costs must be supported by an independent third-party appraisal prepared</w:t>
      </w:r>
      <w:r>
        <w:rPr>
          <w:spacing w:val="-4"/>
        </w:rPr>
        <w:t> </w:t>
      </w:r>
      <w:r>
        <w:rPr/>
        <w:t>by</w:t>
      </w:r>
      <w:r>
        <w:rPr>
          <w:spacing w:val="-4"/>
        </w:rPr>
        <w:t> </w:t>
      </w:r>
      <w:r>
        <w:rPr/>
        <w:t>a</w:t>
      </w:r>
      <w:r>
        <w:rPr>
          <w:spacing w:val="-4"/>
        </w:rPr>
        <w:t> </w:t>
      </w:r>
      <w:r>
        <w:rPr/>
        <w:t>state-licensed</w:t>
      </w:r>
      <w:r>
        <w:rPr>
          <w:spacing w:val="-2"/>
        </w:rPr>
        <w:t> </w:t>
      </w:r>
      <w:r>
        <w:rPr/>
        <w:t>appraiser.</w:t>
      </w:r>
      <w:r>
        <w:rPr>
          <w:spacing w:val="-2"/>
        </w:rPr>
        <w:t> </w:t>
      </w:r>
      <w:r>
        <w:rPr/>
        <w:t>The</w:t>
      </w:r>
      <w:r>
        <w:rPr>
          <w:spacing w:val="-4"/>
        </w:rPr>
        <w:t> </w:t>
      </w:r>
      <w:r>
        <w:rPr/>
        <w:t>purchase</w:t>
      </w:r>
      <w:r>
        <w:rPr>
          <w:spacing w:val="-2"/>
        </w:rPr>
        <w:t> </w:t>
      </w:r>
      <w:r>
        <w:rPr/>
        <w:t>price</w:t>
      </w:r>
      <w:r>
        <w:rPr>
          <w:spacing w:val="-6"/>
        </w:rPr>
        <w:t> </w:t>
      </w:r>
      <w:r>
        <w:rPr/>
        <w:t>must</w:t>
      </w:r>
      <w:r>
        <w:rPr>
          <w:spacing w:val="-2"/>
        </w:rPr>
        <w:t> </w:t>
      </w:r>
      <w:r>
        <w:rPr/>
        <w:t>be</w:t>
      </w:r>
      <w:r>
        <w:rPr>
          <w:spacing w:val="-4"/>
        </w:rPr>
        <w:t> </w:t>
      </w:r>
      <w:r>
        <w:rPr/>
        <w:t>at</w:t>
      </w:r>
      <w:r>
        <w:rPr>
          <w:spacing w:val="-3"/>
        </w:rPr>
        <w:t> </w:t>
      </w:r>
      <w:r>
        <w:rPr/>
        <w:t>or below</w:t>
      </w:r>
      <w:r>
        <w:rPr>
          <w:spacing w:val="-2"/>
        </w:rPr>
        <w:t> </w:t>
      </w:r>
      <w:r>
        <w:rPr/>
        <w:t>the</w:t>
      </w:r>
      <w:r>
        <w:rPr>
          <w:spacing w:val="-2"/>
        </w:rPr>
        <w:t> </w:t>
      </w:r>
      <w:r>
        <w:rPr/>
        <w:t>as-is</w:t>
      </w:r>
      <w:r>
        <w:rPr>
          <w:spacing w:val="-4"/>
        </w:rPr>
        <w:t> </w:t>
      </w:r>
      <w:r>
        <w:rPr/>
        <w:t>market value</w:t>
      </w:r>
      <w:r>
        <w:rPr>
          <w:spacing w:val="-6"/>
        </w:rPr>
        <w:t> </w:t>
      </w:r>
      <w:r>
        <w:rPr/>
        <w:t>of</w:t>
      </w:r>
      <w:r>
        <w:rPr>
          <w:spacing w:val="-7"/>
        </w:rPr>
        <w:t> </w:t>
      </w:r>
      <w:r>
        <w:rPr/>
        <w:t>the</w:t>
      </w:r>
      <w:r>
        <w:rPr>
          <w:spacing w:val="-6"/>
        </w:rPr>
        <w:t> </w:t>
      </w:r>
      <w:r>
        <w:rPr/>
        <w:t>property.</w:t>
      </w:r>
      <w:r>
        <w:rPr>
          <w:spacing w:val="-7"/>
        </w:rPr>
        <w:t> </w:t>
      </w:r>
      <w:r>
        <w:rPr/>
        <w:t>In</w:t>
      </w:r>
      <w:r>
        <w:rPr>
          <w:spacing w:val="-9"/>
        </w:rPr>
        <w:t> </w:t>
      </w:r>
      <w:r>
        <w:rPr/>
        <w:t>the</w:t>
      </w:r>
      <w:r>
        <w:rPr>
          <w:spacing w:val="-6"/>
        </w:rPr>
        <w:t> </w:t>
      </w:r>
      <w:r>
        <w:rPr/>
        <w:t>event</w:t>
      </w:r>
      <w:r>
        <w:rPr>
          <w:spacing w:val="-5"/>
        </w:rPr>
        <w:t> </w:t>
      </w:r>
      <w:r>
        <w:rPr/>
        <w:t>an</w:t>
      </w:r>
      <w:r>
        <w:rPr>
          <w:spacing w:val="-9"/>
        </w:rPr>
        <w:t> </w:t>
      </w:r>
      <w:r>
        <w:rPr/>
        <w:t>applicant</w:t>
      </w:r>
      <w:r>
        <w:rPr>
          <w:spacing w:val="-5"/>
        </w:rPr>
        <w:t> </w:t>
      </w:r>
      <w:r>
        <w:rPr/>
        <w:t>has</w:t>
      </w:r>
      <w:r>
        <w:rPr>
          <w:spacing w:val="-6"/>
        </w:rPr>
        <w:t> </w:t>
      </w:r>
      <w:r>
        <w:rPr/>
        <w:t>previously</w:t>
      </w:r>
      <w:r>
        <w:rPr>
          <w:spacing w:val="-6"/>
        </w:rPr>
        <w:t> </w:t>
      </w:r>
      <w:r>
        <w:rPr/>
        <w:t>purchased</w:t>
      </w:r>
      <w:r>
        <w:rPr>
          <w:spacing w:val="-6"/>
        </w:rPr>
        <w:t> </w:t>
      </w:r>
      <w:r>
        <w:rPr/>
        <w:t>land</w:t>
      </w:r>
      <w:r>
        <w:rPr>
          <w:spacing w:val="-6"/>
        </w:rPr>
        <w:t> </w:t>
      </w:r>
      <w:r>
        <w:rPr/>
        <w:t>prior</w:t>
      </w:r>
      <w:r>
        <w:rPr>
          <w:spacing w:val="-8"/>
        </w:rPr>
        <w:t> </w:t>
      </w:r>
      <w:r>
        <w:rPr/>
        <w:t>to</w:t>
      </w:r>
      <w:r>
        <w:rPr>
          <w:spacing w:val="-6"/>
        </w:rPr>
        <w:t> </w:t>
      </w:r>
      <w:r>
        <w:rPr/>
        <w:t>applying</w:t>
      </w:r>
      <w:r>
        <w:rPr>
          <w:spacing w:val="-9"/>
        </w:rPr>
        <w:t> </w:t>
      </w:r>
      <w:r>
        <w:rPr/>
        <w:t>to the</w:t>
      </w:r>
      <w:r>
        <w:rPr>
          <w:spacing w:val="-4"/>
        </w:rPr>
        <w:t> </w:t>
      </w:r>
      <w:r>
        <w:rPr/>
        <w:t>City,</w:t>
      </w:r>
      <w:r>
        <w:rPr>
          <w:spacing w:val="-5"/>
        </w:rPr>
        <w:t> </w:t>
      </w:r>
      <w:r>
        <w:rPr/>
        <w:t>the</w:t>
      </w:r>
      <w:r>
        <w:rPr>
          <w:spacing w:val="-4"/>
        </w:rPr>
        <w:t> </w:t>
      </w:r>
      <w:r>
        <w:rPr/>
        <w:t>project</w:t>
      </w:r>
      <w:r>
        <w:rPr>
          <w:spacing w:val="-2"/>
        </w:rPr>
        <w:t> </w:t>
      </w:r>
      <w:r>
        <w:rPr/>
        <w:t>budget</w:t>
      </w:r>
      <w:r>
        <w:rPr>
          <w:spacing w:val="-3"/>
        </w:rPr>
        <w:t> </w:t>
      </w:r>
      <w:r>
        <w:rPr/>
        <w:t>may</w:t>
      </w:r>
      <w:r>
        <w:rPr>
          <w:spacing w:val="-4"/>
        </w:rPr>
        <w:t> </w:t>
      </w:r>
      <w:r>
        <w:rPr/>
        <w:t>only</w:t>
      </w:r>
      <w:r>
        <w:rPr>
          <w:spacing w:val="-6"/>
        </w:rPr>
        <w:t> </w:t>
      </w:r>
      <w:r>
        <w:rPr/>
        <w:t>reflect</w:t>
      </w:r>
      <w:r>
        <w:rPr>
          <w:spacing w:val="-2"/>
        </w:rPr>
        <w:t> </w:t>
      </w:r>
      <w:r>
        <w:rPr/>
        <w:t>the</w:t>
      </w:r>
      <w:r>
        <w:rPr>
          <w:spacing w:val="-4"/>
        </w:rPr>
        <w:t> </w:t>
      </w:r>
      <w:r>
        <w:rPr/>
        <w:t>lesser</w:t>
      </w:r>
      <w:r>
        <w:rPr>
          <w:spacing w:val="-3"/>
        </w:rPr>
        <w:t> </w:t>
      </w:r>
      <w:r>
        <w:rPr/>
        <w:t>of</w:t>
      </w:r>
      <w:r>
        <w:rPr>
          <w:spacing w:val="-5"/>
        </w:rPr>
        <w:t> </w:t>
      </w:r>
      <w:r>
        <w:rPr/>
        <w:t>the</w:t>
      </w:r>
      <w:r>
        <w:rPr>
          <w:spacing w:val="-4"/>
        </w:rPr>
        <w:t> </w:t>
      </w:r>
      <w:r>
        <w:rPr/>
        <w:t>actual</w:t>
      </w:r>
      <w:r>
        <w:rPr>
          <w:spacing w:val="-2"/>
        </w:rPr>
        <w:t> </w:t>
      </w:r>
      <w:r>
        <w:rPr/>
        <w:t>purchase</w:t>
      </w:r>
      <w:r>
        <w:rPr>
          <w:spacing w:val="-2"/>
        </w:rPr>
        <w:t> </w:t>
      </w:r>
      <w:r>
        <w:rPr/>
        <w:t>price</w:t>
      </w:r>
      <w:r>
        <w:rPr>
          <w:spacing w:val="-4"/>
        </w:rPr>
        <w:t> </w:t>
      </w:r>
      <w:r>
        <w:rPr/>
        <w:t>or</w:t>
      </w:r>
      <w:r>
        <w:rPr>
          <w:spacing w:val="-5"/>
        </w:rPr>
        <w:t> </w:t>
      </w:r>
      <w:r>
        <w:rPr/>
        <w:t>the</w:t>
      </w:r>
      <w:r>
        <w:rPr>
          <w:spacing w:val="-4"/>
        </w:rPr>
        <w:t> </w:t>
      </w:r>
      <w:r>
        <w:rPr/>
        <w:t>current market value. Standard closing costs from the acquisition may be included.</w:t>
      </w:r>
    </w:p>
    <w:p>
      <w:pPr>
        <w:spacing w:after="0"/>
        <w:jc w:val="both"/>
        <w:sectPr>
          <w:pgSz w:w="12240" w:h="15840"/>
          <w:pgMar w:header="0" w:footer="1176" w:top="1360" w:bottom="1420" w:left="1320" w:right="1280"/>
        </w:sectPr>
      </w:pPr>
    </w:p>
    <w:p>
      <w:pPr>
        <w:pStyle w:val="BodyText"/>
        <w:spacing w:before="80"/>
        <w:ind w:left="119" w:right="157"/>
        <w:jc w:val="both"/>
      </w:pPr>
      <w:r>
        <w:rPr/>
        <w:t>Applicants who purchased property prior to applying to the City, or following environmental releases under NEPA but prior to closing, may not charge or include financing costs associated with interim financing, whether from third-party or related lenders.</w:t>
      </w:r>
    </w:p>
    <w:p>
      <w:pPr>
        <w:pStyle w:val="BodyText"/>
      </w:pPr>
    </w:p>
    <w:p>
      <w:pPr>
        <w:pStyle w:val="BodyText"/>
        <w:ind w:left="120" w:right="2806" w:hanging="1"/>
      </w:pPr>
      <w:r>
        <w:rPr>
          <w:i/>
        </w:rPr>
        <w:t>Architectural</w:t>
      </w:r>
      <w:r>
        <w:rPr>
          <w:i/>
          <w:spacing w:val="-5"/>
        </w:rPr>
        <w:t> </w:t>
      </w:r>
      <w:r>
        <w:rPr>
          <w:i/>
        </w:rPr>
        <w:t>Fees</w:t>
      </w:r>
      <w:r>
        <w:rPr>
          <w:i/>
          <w:spacing w:val="-5"/>
        </w:rPr>
        <w:t> </w:t>
      </w:r>
      <w:r>
        <w:rPr/>
        <w:t>–</w:t>
      </w:r>
      <w:r>
        <w:rPr>
          <w:spacing w:val="-4"/>
        </w:rPr>
        <w:t> </w:t>
      </w:r>
      <w:r>
        <w:rPr/>
        <w:t>Architectural</w:t>
      </w:r>
      <w:r>
        <w:rPr>
          <w:spacing w:val="-7"/>
        </w:rPr>
        <w:t> </w:t>
      </w:r>
      <w:r>
        <w:rPr/>
        <w:t>fees</w:t>
      </w:r>
      <w:r>
        <w:rPr>
          <w:spacing w:val="-6"/>
        </w:rPr>
        <w:t> </w:t>
      </w:r>
      <w:r>
        <w:rPr/>
        <w:t>cannot</w:t>
      </w:r>
      <w:r>
        <w:rPr>
          <w:spacing w:val="-3"/>
        </w:rPr>
        <w:t> </w:t>
      </w:r>
      <w:r>
        <w:rPr/>
        <w:t>exceed</w:t>
      </w:r>
      <w:r>
        <w:rPr>
          <w:spacing w:val="-5"/>
        </w:rPr>
        <w:t> </w:t>
      </w:r>
      <w:r>
        <w:rPr/>
        <w:t>the</w:t>
      </w:r>
      <w:r>
        <w:rPr>
          <w:spacing w:val="-6"/>
        </w:rPr>
        <w:t> </w:t>
      </w:r>
      <w:r>
        <w:rPr/>
        <w:t>following: Design services: 6% of total construction costs Supervision/Administration: 2% of total construction costs</w:t>
      </w:r>
    </w:p>
    <w:p>
      <w:pPr>
        <w:pStyle w:val="BodyText"/>
        <w:ind w:left="119" w:right="156"/>
        <w:jc w:val="both"/>
      </w:pPr>
      <w:r>
        <w:rPr/>
        <w:pict>
          <v:shape style="position:absolute;margin-left:90.065002pt;margin-top:25.921909pt;width:395.3pt;height:419pt;mso-position-horizontal-relative:page;mso-position-vertical-relative:paragraph;z-index:-17679360" id="docshape128" coordorigin="1801,518" coordsize="7906,8380" path="m4498,7782l4492,7709,4477,7631,4455,7548,4432,7479,4403,7407,4367,7332,4325,7254,4276,7173,4237,7114,4200,7063,4200,7749,4197,7805,4186,7862,4167,7919,4138,7979,4097,8042,4044,8108,3979,8177,3674,8483,2216,7025,2517,6724,2598,6648,2672,6588,2740,6545,2801,6518,2868,6504,2941,6500,3020,6506,3105,6524,3195,6553,3255,6579,3317,6611,3380,6650,3446,6695,3514,6747,3584,6805,3656,6869,3729,6941,3789,7002,3845,7062,3896,7121,3943,7179,3986,7236,4025,7291,4059,7345,4101,7420,4136,7492,4163,7562,4183,7628,4196,7693,4200,7749,4200,7063,4194,7054,4148,6994,4098,6934,4045,6873,3989,6811,3929,6750,3865,6687,3801,6629,3737,6574,3673,6522,3643,6500,3609,6474,3546,6430,3482,6389,3419,6351,3346,6313,3274,6281,3203,6254,3132,6232,3062,6215,2992,6203,2923,6195,2850,6194,2779,6201,2709,6215,2642,6238,2577,6269,2528,6297,2476,6334,2420,6380,2359,6434,2294,6496,1801,6989,3710,8898,4124,8483,4226,8381,4287,8316,4341,8251,4386,8185,4424,8118,4454,8052,4476,7985,4491,7918,4498,7851,4498,7782xm6418,6189l6056,6061,5650,5919,5561,5889,5475,5865,5393,5846,5365,5841,5314,5832,5239,5822,5193,5820,5143,5823,5089,5830,5030,5841,5073,5771,5109,5702,5136,5633,5154,5564,5164,5495,5165,5427,5157,5359,5139,5281,5111,5205,5075,5131,5030,5058,4976,4987,4956,4964,4913,4918,4872,4880,4872,5438,4868,5493,4854,5548,4830,5605,4794,5663,4747,5724,4687,5788,4280,6195,3649,5564,4102,5111,4166,5054,4229,5010,4293,4981,4358,4966,4422,4964,4501,4980,4577,5009,4649,5054,4718,5114,4761,5161,4797,5212,4827,5266,4851,5322,4867,5381,4872,5438,4872,4880,4849,4859,4782,4806,4713,4761,4641,4722,4566,4690,4474,4662,4386,4649,4303,4651,4225,4667,4163,4692,4098,4729,4030,4777,3958,4836,3883,4908,3248,5542,5157,7450,5346,7261,4499,6414,4718,6195,4753,6160,4783,6133,4810,6112,4833,6098,4863,6084,4896,6073,4932,6066,4971,6061,5014,6061,5066,6067,5125,6077,5194,6093,5256,6111,5328,6132,5407,6157,5496,6186,6180,6427,6418,6189xm7780,4827l7415,4632,6555,4178,6555,4485,6070,4970,6030,4898,5989,4827,5748,4396,5708,4324,5668,4253,5629,4187,5590,4123,5550,4059,5509,3996,5467,3933,5424,3872,5380,3811,5436,3847,5498,3885,5564,3925,5635,3967,5792,4057,6555,4485,6555,4178,5862,3811,5286,3504,5082,3708,5277,4059,5316,4129,5701,4827,6207,5746,6441,6166,6642,5965,6565,5832,6298,5364,6221,5230,6481,4970,6820,4632,7173,4827,7565,5043,7780,4827xm8131,4476l7264,3609,7936,2938,7711,2712,7039,3384,6448,2793,7224,2017,6999,1792,6033,2757,7941,4666,8131,4476xm9707,2900l8024,1217,8497,744,8272,518,7138,1653,7363,1878,7834,1407,9517,3090,9707,2900xe" filled="true" fillcolor="#c0c0c0" stroked="false">
            <v:path arrowok="t"/>
            <v:fill opacity="32896f" type="solid"/>
            <w10:wrap type="none"/>
          </v:shape>
        </w:pict>
      </w:r>
      <w:r>
        <w:rPr>
          <w:i/>
        </w:rPr>
        <w:t>City Soft Costs </w:t>
      </w:r>
      <w:r>
        <w:rPr/>
        <w:t>– The development budget for each project must include an allowance for the City’s internal project-related soft costs as specified in periodic RFPs issued by the City. Similar to lender due diligence or lender legal costs, the inclusion of soft costs allows the City to recoup its direct costs of underwriting, processing, closing, and monitoring the project prior to project completion. These</w:t>
      </w:r>
      <w:r>
        <w:rPr>
          <w:spacing w:val="-2"/>
        </w:rPr>
        <w:t> </w:t>
      </w:r>
      <w:r>
        <w:rPr/>
        <w:t>costs</w:t>
      </w:r>
      <w:r>
        <w:rPr>
          <w:spacing w:val="-4"/>
        </w:rPr>
        <w:t> </w:t>
      </w:r>
      <w:r>
        <w:rPr/>
        <w:t>will be included in the</w:t>
      </w:r>
      <w:r>
        <w:rPr>
          <w:spacing w:val="-2"/>
        </w:rPr>
        <w:t> </w:t>
      </w:r>
      <w:r>
        <w:rPr/>
        <w:t>HOME</w:t>
      </w:r>
      <w:r>
        <w:rPr>
          <w:spacing w:val="-2"/>
        </w:rPr>
        <w:t> </w:t>
      </w:r>
      <w:r>
        <w:rPr/>
        <w:t>loan but may</w:t>
      </w:r>
      <w:r>
        <w:rPr>
          <w:spacing w:val="-1"/>
        </w:rPr>
        <w:t> </w:t>
      </w:r>
      <w:r>
        <w:rPr/>
        <w:t>be</w:t>
      </w:r>
      <w:r>
        <w:rPr>
          <w:spacing w:val="-2"/>
        </w:rPr>
        <w:t> </w:t>
      </w:r>
      <w:r>
        <w:rPr/>
        <w:t>drawn directly</w:t>
      </w:r>
      <w:r>
        <w:rPr>
          <w:spacing w:val="-1"/>
        </w:rPr>
        <w:t> </w:t>
      </w:r>
      <w:r>
        <w:rPr/>
        <w:t>from HUD by the City rather than via payment requests from the project owner.</w:t>
      </w:r>
    </w:p>
    <w:p>
      <w:pPr>
        <w:pStyle w:val="BodyText"/>
        <w:spacing w:before="11"/>
        <w:rPr>
          <w:sz w:val="21"/>
        </w:rPr>
      </w:pPr>
    </w:p>
    <w:p>
      <w:pPr>
        <w:pStyle w:val="BodyText"/>
        <w:ind w:left="119" w:right="156"/>
        <w:jc w:val="both"/>
      </w:pPr>
      <w:r>
        <w:rPr>
          <w:i/>
        </w:rPr>
        <w:t>Construction Interest </w:t>
      </w:r>
      <w:r>
        <w:rPr/>
        <w:t>– Any budgeted line item for construction interest must be supported by developer period cash flow projections, modeling the actual expenditure of development costs and the anticipated pay-in of equity, HOME funds, and other construction period sources. For presentation purposes, only interest from the date of initial closing through the end of the month in which the building(s) are placed in service (i.e. approved for occupancy) may be included as construction interest. Additional interest following that date and prior to the conversion to (or closing</w:t>
      </w:r>
      <w:r>
        <w:rPr>
          <w:spacing w:val="-10"/>
        </w:rPr>
        <w:t> </w:t>
      </w:r>
      <w:r>
        <w:rPr/>
        <w:t>on)</w:t>
      </w:r>
      <w:r>
        <w:rPr>
          <w:spacing w:val="-9"/>
        </w:rPr>
        <w:t> </w:t>
      </w:r>
      <w:r>
        <w:rPr/>
        <w:t>permanent</w:t>
      </w:r>
      <w:r>
        <w:rPr>
          <w:spacing w:val="-11"/>
        </w:rPr>
        <w:t> </w:t>
      </w:r>
      <w:r>
        <w:rPr/>
        <w:t>debt</w:t>
      </w:r>
      <w:r>
        <w:rPr>
          <w:spacing w:val="-8"/>
        </w:rPr>
        <w:t> </w:t>
      </w:r>
      <w:r>
        <w:rPr/>
        <w:t>must</w:t>
      </w:r>
      <w:r>
        <w:rPr>
          <w:spacing w:val="-11"/>
        </w:rPr>
        <w:t> </w:t>
      </w:r>
      <w:r>
        <w:rPr/>
        <w:t>be</w:t>
      </w:r>
      <w:r>
        <w:rPr>
          <w:spacing w:val="-10"/>
        </w:rPr>
        <w:t> </w:t>
      </w:r>
      <w:r>
        <w:rPr/>
        <w:t>separately</w:t>
      </w:r>
      <w:r>
        <w:rPr>
          <w:spacing w:val="-9"/>
        </w:rPr>
        <w:t> </w:t>
      </w:r>
      <w:r>
        <w:rPr/>
        <w:t>itemized</w:t>
      </w:r>
      <w:r>
        <w:rPr>
          <w:spacing w:val="-10"/>
        </w:rPr>
        <w:t> </w:t>
      </w:r>
      <w:r>
        <w:rPr/>
        <w:t>and</w:t>
      </w:r>
      <w:r>
        <w:rPr>
          <w:spacing w:val="-11"/>
        </w:rPr>
        <w:t> </w:t>
      </w:r>
      <w:r>
        <w:rPr/>
        <w:t>modeled.</w:t>
      </w:r>
      <w:r>
        <w:rPr>
          <w:spacing w:val="-8"/>
        </w:rPr>
        <w:t> </w:t>
      </w:r>
      <w:r>
        <w:rPr/>
        <w:t>In</w:t>
      </w:r>
      <w:r>
        <w:rPr>
          <w:spacing w:val="-11"/>
        </w:rPr>
        <w:t> </w:t>
      </w:r>
      <w:r>
        <w:rPr/>
        <w:t>most</w:t>
      </w:r>
      <w:r>
        <w:rPr>
          <w:spacing w:val="-11"/>
        </w:rPr>
        <w:t> </w:t>
      </w:r>
      <w:r>
        <w:rPr/>
        <w:t>cases,</w:t>
      </w:r>
      <w:r>
        <w:rPr>
          <w:spacing w:val="-11"/>
        </w:rPr>
        <w:t> </w:t>
      </w:r>
      <w:r>
        <w:rPr/>
        <w:t>this</w:t>
      </w:r>
      <w:r>
        <w:rPr>
          <w:spacing w:val="-9"/>
        </w:rPr>
        <w:t> </w:t>
      </w:r>
      <w:r>
        <w:rPr/>
        <w:t>should be included in the “lease up reserve” noted below.</w:t>
      </w:r>
    </w:p>
    <w:p>
      <w:pPr>
        <w:pStyle w:val="BodyText"/>
        <w:spacing w:before="9"/>
        <w:rPr>
          <w:sz w:val="21"/>
        </w:rPr>
      </w:pPr>
    </w:p>
    <w:p>
      <w:pPr>
        <w:pStyle w:val="BodyText"/>
        <w:ind w:left="119" w:right="154"/>
        <w:jc w:val="both"/>
      </w:pPr>
      <w:r>
        <w:rPr>
          <w:i/>
        </w:rPr>
        <w:t>Contingencies</w:t>
      </w:r>
      <w:r>
        <w:rPr>
          <w:i/>
          <w:spacing w:val="-4"/>
        </w:rPr>
        <w:t> </w:t>
      </w:r>
      <w:r>
        <w:rPr/>
        <w:t>–</w:t>
      </w:r>
      <w:r>
        <w:rPr>
          <w:spacing w:val="-5"/>
        </w:rPr>
        <w:t> </w:t>
      </w:r>
      <w:r>
        <w:rPr/>
        <w:t>Applicants</w:t>
      </w:r>
      <w:r>
        <w:rPr>
          <w:spacing w:val="-5"/>
        </w:rPr>
        <w:t> </w:t>
      </w:r>
      <w:r>
        <w:rPr/>
        <w:t>should</w:t>
      </w:r>
      <w:r>
        <w:rPr>
          <w:spacing w:val="-5"/>
        </w:rPr>
        <w:t> </w:t>
      </w:r>
      <w:r>
        <w:rPr/>
        <w:t>include</w:t>
      </w:r>
      <w:r>
        <w:rPr>
          <w:spacing w:val="-5"/>
        </w:rPr>
        <w:t> </w:t>
      </w:r>
      <w:r>
        <w:rPr/>
        <w:t>a</w:t>
      </w:r>
      <w:r>
        <w:rPr>
          <w:spacing w:val="-5"/>
        </w:rPr>
        <w:t> </w:t>
      </w:r>
      <w:r>
        <w:rPr/>
        <w:t>contingency</w:t>
      </w:r>
      <w:r>
        <w:rPr>
          <w:spacing w:val="-5"/>
        </w:rPr>
        <w:t> </w:t>
      </w:r>
      <w:r>
        <w:rPr/>
        <w:t>(inclusive</w:t>
      </w:r>
      <w:r>
        <w:rPr>
          <w:spacing w:val="-5"/>
        </w:rPr>
        <w:t> </w:t>
      </w:r>
      <w:r>
        <w:rPr/>
        <w:t>of</w:t>
      </w:r>
      <w:r>
        <w:rPr>
          <w:spacing w:val="-4"/>
        </w:rPr>
        <w:t> </w:t>
      </w:r>
      <w:r>
        <w:rPr/>
        <w:t>hard</w:t>
      </w:r>
      <w:r>
        <w:rPr>
          <w:spacing w:val="-5"/>
        </w:rPr>
        <w:t> </w:t>
      </w:r>
      <w:r>
        <w:rPr/>
        <w:t>and</w:t>
      </w:r>
      <w:r>
        <w:rPr>
          <w:spacing w:val="-5"/>
        </w:rPr>
        <w:t> </w:t>
      </w:r>
      <w:r>
        <w:rPr/>
        <w:t>soft</w:t>
      </w:r>
      <w:r>
        <w:rPr>
          <w:spacing w:val="-4"/>
        </w:rPr>
        <w:t> </w:t>
      </w:r>
      <w:r>
        <w:rPr/>
        <w:t>costs)</w:t>
      </w:r>
      <w:r>
        <w:rPr>
          <w:spacing w:val="-4"/>
        </w:rPr>
        <w:t> </w:t>
      </w:r>
      <w:r>
        <w:rPr/>
        <w:t>within the minimum and maximum amounts noted below. The contingency will be measured as a percentage</w:t>
      </w:r>
      <w:r>
        <w:rPr>
          <w:spacing w:val="-2"/>
        </w:rPr>
        <w:t> </w:t>
      </w:r>
      <w:r>
        <w:rPr/>
        <w:t>of</w:t>
      </w:r>
      <w:r>
        <w:rPr>
          <w:spacing w:val="-1"/>
        </w:rPr>
        <w:t> </w:t>
      </w:r>
      <w:r>
        <w:rPr/>
        <w:t>hard costs</w:t>
      </w:r>
      <w:r>
        <w:rPr>
          <w:spacing w:val="-2"/>
        </w:rPr>
        <w:t> </w:t>
      </w:r>
      <w:r>
        <w:rPr/>
        <w:t>(including the</w:t>
      </w:r>
      <w:r>
        <w:rPr>
          <w:spacing w:val="-2"/>
        </w:rPr>
        <w:t> </w:t>
      </w:r>
      <w:r>
        <w:rPr/>
        <w:t>construction contract plus</w:t>
      </w:r>
      <w:r>
        <w:rPr>
          <w:spacing w:val="-2"/>
        </w:rPr>
        <w:t> </w:t>
      </w:r>
      <w:r>
        <w:rPr/>
        <w:t>any separate</w:t>
      </w:r>
      <w:r>
        <w:rPr>
          <w:spacing w:val="-2"/>
        </w:rPr>
        <w:t> </w:t>
      </w:r>
      <w:r>
        <w:rPr/>
        <w:t>contracts</w:t>
      </w:r>
      <w:r>
        <w:rPr>
          <w:spacing w:val="-2"/>
        </w:rPr>
        <w:t> </w:t>
      </w:r>
      <w:r>
        <w:rPr/>
        <w:t>for</w:t>
      </w:r>
      <w:r>
        <w:rPr>
          <w:spacing w:val="-1"/>
        </w:rPr>
        <w:t> </w:t>
      </w:r>
      <w:r>
        <w:rPr/>
        <w:t>off- site work but excluding contractor fees).</w:t>
      </w:r>
    </w:p>
    <w:p>
      <w:pPr>
        <w:pStyle w:val="BodyText"/>
        <w:spacing w:before="4"/>
      </w:pPr>
    </w:p>
    <w:p>
      <w:pPr>
        <w:pStyle w:val="ListParagraph"/>
        <w:numPr>
          <w:ilvl w:val="0"/>
          <w:numId w:val="29"/>
        </w:numPr>
        <w:tabs>
          <w:tab w:pos="839" w:val="left" w:leader="none"/>
          <w:tab w:pos="840" w:val="left" w:leader="none"/>
        </w:tabs>
        <w:spacing w:line="237" w:lineRule="auto" w:before="0" w:after="0"/>
        <w:ind w:left="839" w:right="158" w:hanging="361"/>
        <w:jc w:val="left"/>
        <w:rPr>
          <w:sz w:val="22"/>
        </w:rPr>
      </w:pPr>
      <w:r>
        <w:rPr>
          <w:sz w:val="22"/>
        </w:rPr>
        <w:t>New</w:t>
      </w:r>
      <w:r>
        <w:rPr>
          <w:spacing w:val="-8"/>
          <w:sz w:val="22"/>
        </w:rPr>
        <w:t> </w:t>
      </w:r>
      <w:r>
        <w:rPr>
          <w:sz w:val="22"/>
        </w:rPr>
        <w:t>construction</w:t>
      </w:r>
      <w:r>
        <w:rPr>
          <w:spacing w:val="-7"/>
          <w:sz w:val="22"/>
        </w:rPr>
        <w:t> </w:t>
      </w:r>
      <w:r>
        <w:rPr>
          <w:sz w:val="22"/>
        </w:rPr>
        <w:t>projects</w:t>
      </w:r>
      <w:r>
        <w:rPr>
          <w:spacing w:val="-7"/>
          <w:sz w:val="22"/>
        </w:rPr>
        <w:t> </w:t>
      </w:r>
      <w:r>
        <w:rPr>
          <w:sz w:val="22"/>
        </w:rPr>
        <w:t>should</w:t>
      </w:r>
      <w:r>
        <w:rPr>
          <w:spacing w:val="-10"/>
          <w:sz w:val="22"/>
        </w:rPr>
        <w:t> </w:t>
      </w:r>
      <w:r>
        <w:rPr>
          <w:sz w:val="22"/>
        </w:rPr>
        <w:t>include</w:t>
      </w:r>
      <w:r>
        <w:rPr>
          <w:spacing w:val="-7"/>
          <w:sz w:val="22"/>
        </w:rPr>
        <w:t> </w:t>
      </w:r>
      <w:r>
        <w:rPr>
          <w:sz w:val="22"/>
        </w:rPr>
        <w:t>a</w:t>
      </w:r>
      <w:r>
        <w:rPr>
          <w:spacing w:val="-10"/>
          <w:sz w:val="22"/>
        </w:rPr>
        <w:t> </w:t>
      </w:r>
      <w:r>
        <w:rPr>
          <w:sz w:val="22"/>
        </w:rPr>
        <w:t>contingency</w:t>
      </w:r>
      <w:r>
        <w:rPr>
          <w:spacing w:val="-7"/>
          <w:sz w:val="22"/>
        </w:rPr>
        <w:t> </w:t>
      </w:r>
      <w:r>
        <w:rPr>
          <w:sz w:val="22"/>
        </w:rPr>
        <w:t>of</w:t>
      </w:r>
      <w:r>
        <w:rPr>
          <w:spacing w:val="-8"/>
          <w:sz w:val="22"/>
        </w:rPr>
        <w:t> </w:t>
      </w:r>
      <w:r>
        <w:rPr>
          <w:sz w:val="22"/>
        </w:rPr>
        <w:t>least</w:t>
      </w:r>
      <w:r>
        <w:rPr>
          <w:spacing w:val="-8"/>
          <w:sz w:val="22"/>
        </w:rPr>
        <w:t> </w:t>
      </w:r>
      <w:r>
        <w:rPr>
          <w:sz w:val="22"/>
        </w:rPr>
        <w:t>3%</w:t>
      </w:r>
      <w:r>
        <w:rPr>
          <w:spacing w:val="-9"/>
          <w:sz w:val="22"/>
        </w:rPr>
        <w:t> </w:t>
      </w:r>
      <w:r>
        <w:rPr>
          <w:sz w:val="22"/>
        </w:rPr>
        <w:t>and</w:t>
      </w:r>
      <w:r>
        <w:rPr>
          <w:spacing w:val="-10"/>
          <w:sz w:val="22"/>
        </w:rPr>
        <w:t> </w:t>
      </w:r>
      <w:r>
        <w:rPr>
          <w:sz w:val="22"/>
        </w:rPr>
        <w:t>no</w:t>
      </w:r>
      <w:r>
        <w:rPr>
          <w:spacing w:val="-12"/>
          <w:sz w:val="22"/>
        </w:rPr>
        <w:t> </w:t>
      </w:r>
      <w:r>
        <w:rPr>
          <w:sz w:val="22"/>
        </w:rPr>
        <w:t>more</w:t>
      </w:r>
      <w:r>
        <w:rPr>
          <w:spacing w:val="-10"/>
          <w:sz w:val="22"/>
        </w:rPr>
        <w:t> </w:t>
      </w:r>
      <w:r>
        <w:rPr>
          <w:sz w:val="22"/>
        </w:rPr>
        <w:t>than</w:t>
      </w:r>
      <w:r>
        <w:rPr>
          <w:spacing w:val="-7"/>
          <w:sz w:val="22"/>
        </w:rPr>
        <w:t> </w:t>
      </w:r>
      <w:r>
        <w:rPr>
          <w:sz w:val="22"/>
        </w:rPr>
        <w:t>7% of hard costs;</w:t>
      </w:r>
    </w:p>
    <w:p>
      <w:pPr>
        <w:pStyle w:val="ListParagraph"/>
        <w:numPr>
          <w:ilvl w:val="0"/>
          <w:numId w:val="29"/>
        </w:numPr>
        <w:tabs>
          <w:tab w:pos="839" w:val="left" w:leader="none"/>
          <w:tab w:pos="840" w:val="left" w:leader="none"/>
        </w:tabs>
        <w:spacing w:line="237" w:lineRule="auto" w:before="4" w:after="0"/>
        <w:ind w:left="839" w:right="158" w:hanging="361"/>
        <w:jc w:val="left"/>
        <w:rPr>
          <w:sz w:val="22"/>
        </w:rPr>
      </w:pPr>
      <w:r>
        <w:rPr>
          <w:sz w:val="22"/>
        </w:rPr>
        <w:t>Acquisition/rehabilitation</w:t>
      </w:r>
      <w:r>
        <w:rPr>
          <w:spacing w:val="40"/>
          <w:sz w:val="22"/>
        </w:rPr>
        <w:t> </w:t>
      </w:r>
      <w:r>
        <w:rPr>
          <w:sz w:val="22"/>
        </w:rPr>
        <w:t>projects,</w:t>
      </w:r>
      <w:r>
        <w:rPr>
          <w:spacing w:val="40"/>
          <w:sz w:val="22"/>
        </w:rPr>
        <w:t> </w:t>
      </w:r>
      <w:r>
        <w:rPr>
          <w:sz w:val="22"/>
        </w:rPr>
        <w:t>including</w:t>
      </w:r>
      <w:r>
        <w:rPr>
          <w:spacing w:val="40"/>
          <w:sz w:val="22"/>
        </w:rPr>
        <w:t> </w:t>
      </w:r>
      <w:r>
        <w:rPr>
          <w:sz w:val="22"/>
        </w:rPr>
        <w:t>adaptive</w:t>
      </w:r>
      <w:r>
        <w:rPr>
          <w:spacing w:val="40"/>
          <w:sz w:val="22"/>
        </w:rPr>
        <w:t> </w:t>
      </w:r>
      <w:r>
        <w:rPr>
          <w:sz w:val="22"/>
        </w:rPr>
        <w:t>reuse</w:t>
      </w:r>
      <w:r>
        <w:rPr>
          <w:spacing w:val="40"/>
          <w:sz w:val="22"/>
        </w:rPr>
        <w:t> </w:t>
      </w:r>
      <w:r>
        <w:rPr>
          <w:sz w:val="22"/>
        </w:rPr>
        <w:t>projects,</w:t>
      </w:r>
      <w:r>
        <w:rPr>
          <w:spacing w:val="40"/>
          <w:sz w:val="22"/>
        </w:rPr>
        <w:t> </w:t>
      </w:r>
      <w:r>
        <w:rPr>
          <w:sz w:val="22"/>
        </w:rPr>
        <w:t>should</w:t>
      </w:r>
      <w:r>
        <w:rPr>
          <w:spacing w:val="40"/>
          <w:sz w:val="22"/>
        </w:rPr>
        <w:t> </w:t>
      </w:r>
      <w:r>
        <w:rPr>
          <w:sz w:val="22"/>
        </w:rPr>
        <w:t>include</w:t>
      </w:r>
      <w:r>
        <w:rPr>
          <w:spacing w:val="40"/>
          <w:sz w:val="22"/>
        </w:rPr>
        <w:t> </w:t>
      </w:r>
      <w:r>
        <w:rPr>
          <w:sz w:val="22"/>
        </w:rPr>
        <w:t>a contingency of at least 5% and no more than 10% of hard costs.</w:t>
      </w:r>
    </w:p>
    <w:p>
      <w:pPr>
        <w:pStyle w:val="ListParagraph"/>
        <w:numPr>
          <w:ilvl w:val="0"/>
          <w:numId w:val="29"/>
        </w:numPr>
        <w:tabs>
          <w:tab w:pos="839" w:val="left" w:leader="none"/>
          <w:tab w:pos="840" w:val="left" w:leader="none"/>
        </w:tabs>
        <w:spacing w:line="237" w:lineRule="auto" w:before="3" w:after="0"/>
        <w:ind w:left="839" w:right="158" w:hanging="361"/>
        <w:jc w:val="left"/>
        <w:rPr>
          <w:sz w:val="22"/>
        </w:rPr>
      </w:pPr>
      <w:r>
        <w:rPr>
          <w:sz w:val="22"/>
        </w:rPr>
        <w:t>The City may consider higher contingencies based on identified risk factors such as the known need for environmental remediation or poor subsurface soils.</w:t>
      </w:r>
    </w:p>
    <w:p>
      <w:pPr>
        <w:pStyle w:val="BodyText"/>
      </w:pPr>
    </w:p>
    <w:p>
      <w:pPr>
        <w:pStyle w:val="BodyText"/>
        <w:spacing w:before="1"/>
        <w:ind w:left="119" w:right="157"/>
        <w:jc w:val="both"/>
      </w:pPr>
      <w:r>
        <w:rPr>
          <w:i/>
        </w:rPr>
        <w:t>Contractor</w:t>
      </w:r>
      <w:r>
        <w:rPr>
          <w:i/>
          <w:spacing w:val="-8"/>
        </w:rPr>
        <w:t> </w:t>
      </w:r>
      <w:r>
        <w:rPr>
          <w:i/>
        </w:rPr>
        <w:t>Fees</w:t>
      </w:r>
      <w:r>
        <w:rPr>
          <w:i/>
          <w:spacing w:val="-8"/>
        </w:rPr>
        <w:t> </w:t>
      </w:r>
      <w:r>
        <w:rPr/>
        <w:t>–</w:t>
      </w:r>
      <w:r>
        <w:rPr>
          <w:spacing w:val="-11"/>
        </w:rPr>
        <w:t> </w:t>
      </w:r>
      <w:r>
        <w:rPr/>
        <w:t>Contractor</w:t>
      </w:r>
      <w:r>
        <w:rPr>
          <w:spacing w:val="-10"/>
        </w:rPr>
        <w:t> </w:t>
      </w:r>
      <w:r>
        <w:rPr/>
        <w:t>fees</w:t>
      </w:r>
      <w:r>
        <w:rPr>
          <w:spacing w:val="-11"/>
        </w:rPr>
        <w:t> </w:t>
      </w:r>
      <w:r>
        <w:rPr/>
        <w:t>are</w:t>
      </w:r>
      <w:r>
        <w:rPr>
          <w:spacing w:val="-11"/>
        </w:rPr>
        <w:t> </w:t>
      </w:r>
      <w:r>
        <w:rPr/>
        <w:t>limited</w:t>
      </w:r>
      <w:r>
        <w:rPr>
          <w:spacing w:val="-9"/>
        </w:rPr>
        <w:t> </w:t>
      </w:r>
      <w:r>
        <w:rPr/>
        <w:t>as</w:t>
      </w:r>
      <w:r>
        <w:rPr>
          <w:spacing w:val="-13"/>
        </w:rPr>
        <w:t> </w:t>
      </w:r>
      <w:r>
        <w:rPr/>
        <w:t>a</w:t>
      </w:r>
      <w:r>
        <w:rPr>
          <w:spacing w:val="-9"/>
        </w:rPr>
        <w:t> </w:t>
      </w:r>
      <w:r>
        <w:rPr/>
        <w:t>percentage</w:t>
      </w:r>
      <w:r>
        <w:rPr>
          <w:spacing w:val="-9"/>
        </w:rPr>
        <w:t> </w:t>
      </w:r>
      <w:r>
        <w:rPr/>
        <w:t>of</w:t>
      </w:r>
      <w:r>
        <w:rPr>
          <w:spacing w:val="-7"/>
        </w:rPr>
        <w:t> </w:t>
      </w:r>
      <w:r>
        <w:rPr/>
        <w:t>net</w:t>
      </w:r>
      <w:r>
        <w:rPr>
          <w:spacing w:val="-7"/>
        </w:rPr>
        <w:t> </w:t>
      </w:r>
      <w:r>
        <w:rPr/>
        <w:t>construction</w:t>
      </w:r>
      <w:r>
        <w:rPr>
          <w:spacing w:val="-9"/>
        </w:rPr>
        <w:t> </w:t>
      </w:r>
      <w:r>
        <w:rPr/>
        <w:t>costs</w:t>
      </w:r>
      <w:r>
        <w:rPr>
          <w:spacing w:val="-11"/>
        </w:rPr>
        <w:t> </w:t>
      </w:r>
      <w:r>
        <w:rPr/>
        <w:t>as</w:t>
      </w:r>
      <w:r>
        <w:rPr>
          <w:spacing w:val="-11"/>
        </w:rPr>
        <w:t> </w:t>
      </w:r>
      <w:r>
        <w:rPr/>
        <w:t>further identified below. Net construction costs exclude the contractor fees, any budgeted contingency, and</w:t>
      </w:r>
      <w:r>
        <w:rPr>
          <w:spacing w:val="-3"/>
        </w:rPr>
        <w:t> </w:t>
      </w:r>
      <w:r>
        <w:rPr/>
        <w:t>(even</w:t>
      </w:r>
      <w:r>
        <w:rPr>
          <w:spacing w:val="-5"/>
        </w:rPr>
        <w:t> </w:t>
      </w:r>
      <w:r>
        <w:rPr/>
        <w:t>if</w:t>
      </w:r>
      <w:r>
        <w:rPr>
          <w:spacing w:val="-3"/>
        </w:rPr>
        <w:t> </w:t>
      </w:r>
      <w:r>
        <w:rPr/>
        <w:t>otherwise</w:t>
      </w:r>
      <w:r>
        <w:rPr>
          <w:spacing w:val="-5"/>
        </w:rPr>
        <w:t> </w:t>
      </w:r>
      <w:r>
        <w:rPr/>
        <w:t>included</w:t>
      </w:r>
      <w:r>
        <w:rPr>
          <w:spacing w:val="-3"/>
        </w:rPr>
        <w:t> </w:t>
      </w:r>
      <w:r>
        <w:rPr/>
        <w:t>in</w:t>
      </w:r>
      <w:r>
        <w:rPr>
          <w:spacing w:val="-5"/>
        </w:rPr>
        <w:t> </w:t>
      </w:r>
      <w:r>
        <w:rPr/>
        <w:t>the</w:t>
      </w:r>
      <w:r>
        <w:rPr>
          <w:spacing w:val="-3"/>
        </w:rPr>
        <w:t> </w:t>
      </w:r>
      <w:r>
        <w:rPr/>
        <w:t>construction</w:t>
      </w:r>
      <w:r>
        <w:rPr>
          <w:spacing w:val="-3"/>
        </w:rPr>
        <w:t> </w:t>
      </w:r>
      <w:r>
        <w:rPr/>
        <w:t>contract)</w:t>
      </w:r>
      <w:r>
        <w:rPr>
          <w:spacing w:val="-4"/>
        </w:rPr>
        <w:t> </w:t>
      </w:r>
      <w:r>
        <w:rPr/>
        <w:t>permits</w:t>
      </w:r>
      <w:r>
        <w:rPr>
          <w:spacing w:val="-5"/>
        </w:rPr>
        <w:t> </w:t>
      </w:r>
      <w:r>
        <w:rPr/>
        <w:t>and</w:t>
      </w:r>
      <w:r>
        <w:rPr>
          <w:spacing w:val="-5"/>
        </w:rPr>
        <w:t> </w:t>
      </w:r>
      <w:r>
        <w:rPr/>
        <w:t>builder’s</w:t>
      </w:r>
      <w:r>
        <w:rPr>
          <w:spacing w:val="-2"/>
        </w:rPr>
        <w:t> </w:t>
      </w:r>
      <w:r>
        <w:rPr/>
        <w:t>risk</w:t>
      </w:r>
      <w:r>
        <w:rPr>
          <w:spacing w:val="-5"/>
        </w:rPr>
        <w:t> </w:t>
      </w:r>
      <w:r>
        <w:rPr/>
        <w:t>insurance.</w:t>
      </w:r>
    </w:p>
    <w:p>
      <w:pPr>
        <w:pStyle w:val="BodyText"/>
      </w:pPr>
    </w:p>
    <w:p>
      <w:pPr>
        <w:pStyle w:val="ListParagraph"/>
        <w:numPr>
          <w:ilvl w:val="0"/>
          <w:numId w:val="29"/>
        </w:numPr>
        <w:tabs>
          <w:tab w:pos="840" w:val="left" w:leader="none"/>
        </w:tabs>
        <w:spacing w:line="269" w:lineRule="exact" w:before="0" w:after="0"/>
        <w:ind w:left="839" w:right="0" w:hanging="361"/>
        <w:jc w:val="both"/>
        <w:rPr>
          <w:sz w:val="22"/>
        </w:rPr>
      </w:pPr>
      <w:r>
        <w:rPr>
          <w:sz w:val="22"/>
        </w:rPr>
        <w:t>Contractor</w:t>
      </w:r>
      <w:r>
        <w:rPr>
          <w:spacing w:val="-6"/>
          <w:sz w:val="22"/>
        </w:rPr>
        <w:t> </w:t>
      </w:r>
      <w:r>
        <w:rPr>
          <w:sz w:val="22"/>
        </w:rPr>
        <w:t>Profit:</w:t>
      </w:r>
      <w:r>
        <w:rPr>
          <w:spacing w:val="-4"/>
          <w:sz w:val="22"/>
        </w:rPr>
        <w:t> </w:t>
      </w:r>
      <w:r>
        <w:rPr>
          <w:sz w:val="22"/>
        </w:rPr>
        <w:t>6%</w:t>
      </w:r>
      <w:r>
        <w:rPr>
          <w:spacing w:val="-6"/>
          <w:sz w:val="22"/>
        </w:rPr>
        <w:t> </w:t>
      </w:r>
      <w:r>
        <w:rPr>
          <w:sz w:val="22"/>
        </w:rPr>
        <w:t>of</w:t>
      </w:r>
      <w:r>
        <w:rPr>
          <w:spacing w:val="-7"/>
          <w:sz w:val="22"/>
        </w:rPr>
        <w:t> </w:t>
      </w:r>
      <w:r>
        <w:rPr>
          <w:sz w:val="22"/>
        </w:rPr>
        <w:t>net</w:t>
      </w:r>
      <w:r>
        <w:rPr>
          <w:spacing w:val="-2"/>
          <w:sz w:val="22"/>
        </w:rPr>
        <w:t> </w:t>
      </w:r>
      <w:r>
        <w:rPr>
          <w:sz w:val="22"/>
        </w:rPr>
        <w:t>construction</w:t>
      </w:r>
      <w:r>
        <w:rPr>
          <w:spacing w:val="-6"/>
          <w:sz w:val="22"/>
        </w:rPr>
        <w:t> </w:t>
      </w:r>
      <w:r>
        <w:rPr>
          <w:spacing w:val="-4"/>
          <w:sz w:val="22"/>
        </w:rPr>
        <w:t>costs</w:t>
      </w:r>
    </w:p>
    <w:p>
      <w:pPr>
        <w:pStyle w:val="ListParagraph"/>
        <w:numPr>
          <w:ilvl w:val="0"/>
          <w:numId w:val="29"/>
        </w:numPr>
        <w:tabs>
          <w:tab w:pos="841" w:val="left" w:leader="none"/>
        </w:tabs>
        <w:spacing w:line="240" w:lineRule="auto" w:before="0" w:after="0"/>
        <w:ind w:left="840" w:right="154" w:hanging="361"/>
        <w:jc w:val="both"/>
        <w:rPr>
          <w:sz w:val="22"/>
        </w:rPr>
      </w:pPr>
      <w:r>
        <w:rPr>
          <w:sz w:val="22"/>
        </w:rPr>
        <w:t>General Requirements/General Conditions: 6% of net construction costs. General requirements include on-site supervision, temporary or construction signs, field office expenses, temporary sheds and toilets, temporary utilities, equipment rental, clean-up costs, rubbish removal, watchmen’s wages, material inspection and tests, all of the builder’s insurance (except builder’s risk), temporary walkways, temporary fences, and other similar expenses.</w:t>
      </w:r>
    </w:p>
    <w:p>
      <w:pPr>
        <w:pStyle w:val="ListParagraph"/>
        <w:numPr>
          <w:ilvl w:val="0"/>
          <w:numId w:val="29"/>
        </w:numPr>
        <w:tabs>
          <w:tab w:pos="841" w:val="left" w:leader="none"/>
        </w:tabs>
        <w:spacing w:line="266" w:lineRule="exact" w:before="0" w:after="0"/>
        <w:ind w:left="840" w:right="0" w:hanging="361"/>
        <w:jc w:val="both"/>
        <w:rPr>
          <w:sz w:val="22"/>
        </w:rPr>
      </w:pPr>
      <w:r>
        <w:rPr>
          <w:sz w:val="22"/>
        </w:rPr>
        <w:t>Contractor</w:t>
      </w:r>
      <w:r>
        <w:rPr>
          <w:spacing w:val="-9"/>
          <w:sz w:val="22"/>
        </w:rPr>
        <w:t> </w:t>
      </w:r>
      <w:r>
        <w:rPr>
          <w:sz w:val="22"/>
        </w:rPr>
        <w:t>Overhead:</w:t>
      </w:r>
      <w:r>
        <w:rPr>
          <w:spacing w:val="-7"/>
          <w:sz w:val="22"/>
        </w:rPr>
        <w:t> </w:t>
      </w:r>
      <w:r>
        <w:rPr>
          <w:sz w:val="22"/>
        </w:rPr>
        <w:t>2%</w:t>
      </w:r>
      <w:r>
        <w:rPr>
          <w:spacing w:val="-4"/>
          <w:sz w:val="22"/>
        </w:rPr>
        <w:t> </w:t>
      </w:r>
      <w:r>
        <w:rPr>
          <w:sz w:val="22"/>
        </w:rPr>
        <w:t>of</w:t>
      </w:r>
      <w:r>
        <w:rPr>
          <w:spacing w:val="-4"/>
          <w:sz w:val="22"/>
        </w:rPr>
        <w:t> </w:t>
      </w:r>
      <w:r>
        <w:rPr>
          <w:sz w:val="22"/>
        </w:rPr>
        <w:t>net</w:t>
      </w:r>
      <w:r>
        <w:rPr>
          <w:spacing w:val="-4"/>
          <w:sz w:val="22"/>
        </w:rPr>
        <w:t> </w:t>
      </w:r>
      <w:r>
        <w:rPr>
          <w:sz w:val="22"/>
        </w:rPr>
        <w:t>construction</w:t>
      </w:r>
      <w:r>
        <w:rPr>
          <w:spacing w:val="-7"/>
          <w:sz w:val="22"/>
        </w:rPr>
        <w:t> </w:t>
      </w:r>
      <w:r>
        <w:rPr>
          <w:spacing w:val="-2"/>
          <w:sz w:val="22"/>
        </w:rPr>
        <w:t>costs.</w:t>
      </w:r>
    </w:p>
    <w:p>
      <w:pPr>
        <w:pStyle w:val="BodyText"/>
        <w:spacing w:before="9"/>
        <w:rPr>
          <w:sz w:val="21"/>
        </w:rPr>
      </w:pPr>
    </w:p>
    <w:p>
      <w:pPr>
        <w:pStyle w:val="BodyText"/>
        <w:spacing w:before="1"/>
        <w:ind w:left="120"/>
      </w:pPr>
      <w:r>
        <w:rPr/>
        <w:t>With</w:t>
      </w:r>
      <w:r>
        <w:rPr>
          <w:spacing w:val="-4"/>
        </w:rPr>
        <w:t> </w:t>
      </w:r>
      <w:r>
        <w:rPr/>
        <w:t>prior</w:t>
      </w:r>
      <w:r>
        <w:rPr>
          <w:spacing w:val="-3"/>
        </w:rPr>
        <w:t> </w:t>
      </w:r>
      <w:r>
        <w:rPr/>
        <w:t>approval</w:t>
      </w:r>
      <w:r>
        <w:rPr>
          <w:spacing w:val="-5"/>
        </w:rPr>
        <w:t> </w:t>
      </w:r>
      <w:r>
        <w:rPr/>
        <w:t>of</w:t>
      </w:r>
      <w:r>
        <w:rPr>
          <w:spacing w:val="-5"/>
        </w:rPr>
        <w:t> </w:t>
      </w:r>
      <w:r>
        <w:rPr/>
        <w:t>the</w:t>
      </w:r>
      <w:r>
        <w:rPr>
          <w:spacing w:val="-6"/>
        </w:rPr>
        <w:t> </w:t>
      </w:r>
      <w:r>
        <w:rPr/>
        <w:t>City,</w:t>
      </w:r>
      <w:r>
        <w:rPr>
          <w:spacing w:val="-3"/>
        </w:rPr>
        <w:t> </w:t>
      </w:r>
      <w:r>
        <w:rPr/>
        <w:t>contractor</w:t>
      </w:r>
      <w:r>
        <w:rPr>
          <w:spacing w:val="-5"/>
        </w:rPr>
        <w:t> </w:t>
      </w:r>
      <w:r>
        <w:rPr/>
        <w:t>fees</w:t>
      </w:r>
      <w:r>
        <w:rPr>
          <w:spacing w:val="-6"/>
        </w:rPr>
        <w:t> </w:t>
      </w:r>
      <w:r>
        <w:rPr/>
        <w:t>may</w:t>
      </w:r>
      <w:r>
        <w:rPr>
          <w:spacing w:val="-4"/>
        </w:rPr>
        <w:t> </w:t>
      </w:r>
      <w:r>
        <w:rPr/>
        <w:t>vary</w:t>
      </w:r>
      <w:r>
        <w:rPr>
          <w:spacing w:val="-6"/>
        </w:rPr>
        <w:t> </w:t>
      </w:r>
      <w:r>
        <w:rPr/>
        <w:t>from</w:t>
      </w:r>
      <w:r>
        <w:rPr>
          <w:spacing w:val="-5"/>
        </w:rPr>
        <w:t> </w:t>
      </w:r>
      <w:r>
        <w:rPr/>
        <w:t>the</w:t>
      </w:r>
      <w:r>
        <w:rPr>
          <w:spacing w:val="-4"/>
        </w:rPr>
        <w:t> </w:t>
      </w:r>
      <w:r>
        <w:rPr/>
        <w:t>limits</w:t>
      </w:r>
      <w:r>
        <w:rPr>
          <w:spacing w:val="-4"/>
        </w:rPr>
        <w:t> </w:t>
      </w:r>
      <w:r>
        <w:rPr/>
        <w:t>above</w:t>
      </w:r>
      <w:r>
        <w:rPr>
          <w:spacing w:val="-4"/>
        </w:rPr>
        <w:t> </w:t>
      </w:r>
      <w:r>
        <w:rPr/>
        <w:t>provided</w:t>
      </w:r>
      <w:r>
        <w:rPr>
          <w:spacing w:val="-7"/>
        </w:rPr>
        <w:t> </w:t>
      </w:r>
      <w:r>
        <w:rPr/>
        <w:t>the</w:t>
      </w:r>
      <w:r>
        <w:rPr>
          <w:spacing w:val="-4"/>
        </w:rPr>
        <w:t> </w:t>
      </w:r>
      <w:r>
        <w:rPr/>
        <w:t>gross contractor fees do not exceed 14% of net construction costs.</w:t>
      </w:r>
    </w:p>
    <w:p>
      <w:pPr>
        <w:spacing w:after="0"/>
        <w:sectPr>
          <w:pgSz w:w="12240" w:h="15840"/>
          <w:pgMar w:header="0" w:footer="1176" w:top="1360" w:bottom="1420" w:left="1320" w:right="1280"/>
        </w:sectPr>
      </w:pPr>
    </w:p>
    <w:p>
      <w:pPr>
        <w:pStyle w:val="BodyText"/>
        <w:spacing w:before="72"/>
        <w:ind w:left="119" w:right="155"/>
        <w:jc w:val="both"/>
      </w:pPr>
      <w:r>
        <w:rPr>
          <w:i/>
        </w:rPr>
        <w:t>Developer</w:t>
      </w:r>
      <w:r>
        <w:rPr>
          <w:i/>
          <w:spacing w:val="-5"/>
        </w:rPr>
        <w:t> </w:t>
      </w:r>
      <w:r>
        <w:rPr>
          <w:i/>
        </w:rPr>
        <w:t>Fees</w:t>
      </w:r>
      <w:r>
        <w:rPr>
          <w:i/>
          <w:spacing w:val="-6"/>
        </w:rPr>
        <w:t> </w:t>
      </w:r>
      <w:r>
        <w:rPr/>
        <w:t>–</w:t>
      </w:r>
      <w:r>
        <w:rPr>
          <w:spacing w:val="-9"/>
        </w:rPr>
        <w:t> </w:t>
      </w:r>
      <w:r>
        <w:rPr/>
        <w:t>Developer</w:t>
      </w:r>
      <w:r>
        <w:rPr>
          <w:spacing w:val="-5"/>
        </w:rPr>
        <w:t> </w:t>
      </w:r>
      <w:r>
        <w:rPr/>
        <w:t>fees</w:t>
      </w:r>
      <w:r>
        <w:rPr>
          <w:spacing w:val="-6"/>
        </w:rPr>
        <w:t> </w:t>
      </w:r>
      <w:r>
        <w:rPr/>
        <w:t>are</w:t>
      </w:r>
      <w:r>
        <w:rPr>
          <w:spacing w:val="-6"/>
        </w:rPr>
        <w:t> </w:t>
      </w:r>
      <w:r>
        <w:rPr/>
        <w:t>intended</w:t>
      </w:r>
      <w:r>
        <w:rPr>
          <w:spacing w:val="-9"/>
        </w:rPr>
        <w:t> </w:t>
      </w:r>
      <w:r>
        <w:rPr/>
        <w:t>to</w:t>
      </w:r>
      <w:r>
        <w:rPr>
          <w:spacing w:val="-9"/>
        </w:rPr>
        <w:t> </w:t>
      </w:r>
      <w:r>
        <w:rPr/>
        <w:t>compensate</w:t>
      </w:r>
      <w:r>
        <w:rPr>
          <w:spacing w:val="-6"/>
        </w:rPr>
        <w:t> </w:t>
      </w:r>
      <w:r>
        <w:rPr/>
        <w:t>a</w:t>
      </w:r>
      <w:r>
        <w:rPr>
          <w:spacing w:val="-9"/>
        </w:rPr>
        <w:t> </w:t>
      </w:r>
      <w:r>
        <w:rPr/>
        <w:t>developer</w:t>
      </w:r>
      <w:r>
        <w:rPr>
          <w:spacing w:val="-5"/>
        </w:rPr>
        <w:t> </w:t>
      </w:r>
      <w:r>
        <w:rPr/>
        <w:t>for</w:t>
      </w:r>
      <w:r>
        <w:rPr>
          <w:spacing w:val="-8"/>
        </w:rPr>
        <w:t> </w:t>
      </w:r>
      <w:r>
        <w:rPr/>
        <w:t>the</w:t>
      </w:r>
      <w:r>
        <w:rPr>
          <w:spacing w:val="-9"/>
        </w:rPr>
        <w:t> </w:t>
      </w:r>
      <w:r>
        <w:rPr/>
        <w:t>time</w:t>
      </w:r>
      <w:r>
        <w:rPr>
          <w:spacing w:val="-9"/>
        </w:rPr>
        <w:t> </w:t>
      </w:r>
      <w:r>
        <w:rPr/>
        <w:t>and</w:t>
      </w:r>
      <w:r>
        <w:rPr>
          <w:spacing w:val="-6"/>
        </w:rPr>
        <w:t> </w:t>
      </w:r>
      <w:r>
        <w:rPr/>
        <w:t>effort of assembling a project, overseeing the development team, and carrying a project to fruition. Developer</w:t>
      </w:r>
      <w:r>
        <w:rPr>
          <w:spacing w:val="-10"/>
        </w:rPr>
        <w:t> </w:t>
      </w:r>
      <w:r>
        <w:rPr/>
        <w:t>fees</w:t>
      </w:r>
      <w:r>
        <w:rPr>
          <w:spacing w:val="-13"/>
        </w:rPr>
        <w:t> </w:t>
      </w:r>
      <w:r>
        <w:rPr/>
        <w:t>are</w:t>
      </w:r>
      <w:r>
        <w:rPr>
          <w:spacing w:val="-14"/>
        </w:rPr>
        <w:t> </w:t>
      </w:r>
      <w:r>
        <w:rPr/>
        <w:t>also</w:t>
      </w:r>
      <w:r>
        <w:rPr>
          <w:spacing w:val="-11"/>
        </w:rPr>
        <w:t> </w:t>
      </w:r>
      <w:r>
        <w:rPr/>
        <w:t>intended</w:t>
      </w:r>
      <w:r>
        <w:rPr>
          <w:spacing w:val="-14"/>
        </w:rPr>
        <w:t> </w:t>
      </w:r>
      <w:r>
        <w:rPr/>
        <w:t>to</w:t>
      </w:r>
      <w:r>
        <w:rPr>
          <w:spacing w:val="-11"/>
        </w:rPr>
        <w:t> </w:t>
      </w:r>
      <w:r>
        <w:rPr/>
        <w:t>compensate</w:t>
      </w:r>
      <w:r>
        <w:rPr>
          <w:spacing w:val="-11"/>
        </w:rPr>
        <w:t> </w:t>
      </w:r>
      <w:r>
        <w:rPr/>
        <w:t>for</w:t>
      </w:r>
      <w:r>
        <w:rPr>
          <w:spacing w:val="-10"/>
        </w:rPr>
        <w:t> </w:t>
      </w:r>
      <w:r>
        <w:rPr/>
        <w:t>the</w:t>
      </w:r>
      <w:r>
        <w:rPr>
          <w:spacing w:val="-14"/>
        </w:rPr>
        <w:t> </w:t>
      </w:r>
      <w:r>
        <w:rPr/>
        <w:t>risk</w:t>
      </w:r>
      <w:r>
        <w:rPr>
          <w:spacing w:val="-13"/>
        </w:rPr>
        <w:t> </w:t>
      </w:r>
      <w:r>
        <w:rPr/>
        <w:t>inherent</w:t>
      </w:r>
      <w:r>
        <w:rPr>
          <w:spacing w:val="-12"/>
        </w:rPr>
        <w:t> </w:t>
      </w:r>
      <w:r>
        <w:rPr/>
        <w:t>in</w:t>
      </w:r>
      <w:r>
        <w:rPr>
          <w:spacing w:val="-11"/>
        </w:rPr>
        <w:t> </w:t>
      </w:r>
      <w:r>
        <w:rPr/>
        <w:t>the</w:t>
      </w:r>
      <w:r>
        <w:rPr>
          <w:spacing w:val="-16"/>
        </w:rPr>
        <w:t> </w:t>
      </w:r>
      <w:r>
        <w:rPr/>
        <w:t>development</w:t>
      </w:r>
      <w:r>
        <w:rPr>
          <w:spacing w:val="-9"/>
        </w:rPr>
        <w:t> </w:t>
      </w:r>
      <w:r>
        <w:rPr/>
        <w:t>process, including that not every potential project proves viable and that developers must necessarily advance funds for their own operating costs and various third-party predevelopment costs prior to closing (or in some cases for projects that never proceed). The City, therefore, allows the inclusion of developer fees as follows:</w:t>
      </w:r>
    </w:p>
    <w:p>
      <w:pPr>
        <w:pStyle w:val="BodyText"/>
      </w:pPr>
    </w:p>
    <w:p>
      <w:pPr>
        <w:pStyle w:val="ListParagraph"/>
        <w:numPr>
          <w:ilvl w:val="0"/>
          <w:numId w:val="29"/>
        </w:numPr>
        <w:tabs>
          <w:tab w:pos="840" w:val="left" w:leader="none"/>
        </w:tabs>
        <w:spacing w:line="240" w:lineRule="auto" w:before="0" w:after="0"/>
        <w:ind w:left="839" w:right="155" w:hanging="361"/>
        <w:jc w:val="both"/>
        <w:rPr>
          <w:sz w:val="22"/>
        </w:rPr>
      </w:pPr>
      <w:r>
        <w:rPr/>
        <w:pict>
          <v:shape style="position:absolute;margin-left:90.065002pt;margin-top:.630771pt;width:395.3pt;height:419pt;mso-position-horizontal-relative:page;mso-position-vertical-relative:paragraph;z-index:-17678848" id="docshape129" coordorigin="1801,13" coordsize="7906,8380" path="m4498,7276l4492,7203,4477,7125,4455,7042,4432,6973,4403,6901,4367,6826,4325,6748,4276,6667,4237,6608,4200,6557,4200,7243,4197,7299,4186,7356,4167,7414,4138,7473,4097,7536,4044,7602,3979,7671,3674,7977,2216,6519,2517,6218,2598,6142,2672,6082,2740,6039,2801,6012,2868,5998,2941,5994,3020,6001,3105,6018,3195,6048,3255,6073,3317,6106,3380,6144,3446,6189,3514,6241,3584,6299,3656,6364,3729,6435,3789,6496,3845,6557,3896,6616,3943,6673,3986,6730,4025,6785,4059,6839,4101,6914,4136,6986,4163,7056,4183,7123,4196,7187,4200,7243,4200,6557,4194,6549,4148,6488,4098,6428,4045,6367,3989,6305,3929,6244,3865,6182,3801,6123,3737,6068,3673,6017,3643,5994,3609,5969,3546,5924,3482,5883,3419,5845,3346,5807,3274,5775,3203,5748,3132,5726,3062,5709,2992,5697,2923,5690,2850,5688,2779,5695,2709,5710,2642,5732,2577,5763,2528,5791,2476,5828,2420,5874,2359,5928,2294,5990,1801,6484,3710,8392,4124,7977,4226,7875,4287,7810,4341,7745,4386,7679,4424,7612,4454,7546,4476,7479,4491,7413,4498,7345,4498,7276xm6418,5683l6056,5556,5650,5413,5561,5384,5475,5360,5393,5341,5365,5335,5314,5326,5239,5316,5193,5314,5143,5317,5089,5325,5030,5335,5073,5266,5109,5196,5136,5127,5154,5058,5164,4989,5165,4921,5157,4854,5139,4776,5111,4699,5075,4625,5030,4552,4976,4481,4956,4459,4913,4413,4872,4375,4872,4932,4868,4988,4854,5042,4830,5099,4794,5157,4747,5218,4687,5282,4280,5689,3649,5058,4102,4605,4166,4548,4229,4504,4293,4475,4358,4460,4422,4459,4501,4474,4577,4504,4649,4548,4718,4608,4761,4655,4797,4706,4827,4760,4851,4817,4867,4875,4872,4932,4872,4375,4849,4353,4782,4301,4713,4255,4641,4217,4566,4185,4474,4156,4386,4144,4303,4145,4225,4161,4163,4186,4098,4223,4030,4271,3958,4331,3883,4402,3248,5036,5157,6945,5346,6755,4499,5908,4718,5689,4753,5655,4783,5627,4810,5606,4833,5592,4863,5578,4896,5567,4932,5560,4971,5556,5014,5556,5066,5561,5125,5571,5194,5588,5256,5605,5328,5626,5407,5651,5496,5680,6180,5921,6418,5683xm7780,4321l7415,4126,6555,3672,6555,3979,6070,4464,6030,4392,5989,4321,5748,3890,5708,3819,5668,3747,5629,3681,5590,3617,5550,3553,5509,3490,5467,3428,5424,3366,5380,3305,5436,3341,5498,3379,5564,3419,5635,3461,5792,3551,6555,3979,6555,3672,5862,3305,5286,2999,5082,3203,5277,3553,5316,3623,5701,4321,6207,5240,6441,5661,6642,5459,6565,5326,6298,4858,6221,4724,6481,4464,6820,4126,7173,4321,7565,4537,7780,4321xm8131,3970l7264,3104,7936,2432,7711,2206,7039,2878,6448,2287,7224,1511,6999,1286,6033,2252,7941,4160,8131,3970xm9707,2394l8024,711,8497,238,8272,13,7138,1147,7363,1372,7834,901,9517,2584,9707,2394xe" filled="true" fillcolor="#c0c0c0" stroked="false">
            <v:path arrowok="t"/>
            <v:fill opacity="32896f" type="solid"/>
            <w10:wrap type="none"/>
          </v:shape>
        </w:pict>
      </w:r>
      <w:r>
        <w:rPr>
          <w:sz w:val="22"/>
        </w:rPr>
        <w:t>Developer Fee: 15% of total development costs less a) the developer fee itself; b) organizational expenses and/or syndication fees/cost (including investor due diligence fees); and c) reserves, escrows, and capitalized start-up/operating expenses (such as working capital, marketing, etc.).</w:t>
      </w:r>
    </w:p>
    <w:p>
      <w:pPr>
        <w:pStyle w:val="ListParagraph"/>
        <w:numPr>
          <w:ilvl w:val="0"/>
          <w:numId w:val="29"/>
        </w:numPr>
        <w:tabs>
          <w:tab w:pos="840" w:val="left" w:leader="none"/>
        </w:tabs>
        <w:spacing w:line="240" w:lineRule="auto" w:before="0" w:after="0"/>
        <w:ind w:left="839" w:right="157" w:hanging="361"/>
        <w:jc w:val="both"/>
        <w:rPr>
          <w:sz w:val="22"/>
        </w:rPr>
      </w:pPr>
      <w:r>
        <w:rPr>
          <w:sz w:val="22"/>
        </w:rPr>
        <w:t>There is no maximum monetary limit, but at all times the Developer fee must be reasonable. Combined Contractor &amp; Developer Fees: When an identity of interest exists between</w:t>
      </w:r>
      <w:r>
        <w:rPr>
          <w:spacing w:val="-10"/>
          <w:sz w:val="22"/>
        </w:rPr>
        <w:t> </w:t>
      </w:r>
      <w:r>
        <w:rPr>
          <w:sz w:val="22"/>
        </w:rPr>
        <w:t>the</w:t>
      </w:r>
      <w:r>
        <w:rPr>
          <w:spacing w:val="-10"/>
          <w:sz w:val="22"/>
        </w:rPr>
        <w:t> </w:t>
      </w:r>
      <w:r>
        <w:rPr>
          <w:sz w:val="22"/>
        </w:rPr>
        <w:t>owner/developer</w:t>
      </w:r>
      <w:r>
        <w:rPr>
          <w:spacing w:val="-9"/>
          <w:sz w:val="22"/>
        </w:rPr>
        <w:t> </w:t>
      </w:r>
      <w:r>
        <w:rPr>
          <w:sz w:val="22"/>
        </w:rPr>
        <w:t>and</w:t>
      </w:r>
      <w:r>
        <w:rPr>
          <w:spacing w:val="-12"/>
          <w:sz w:val="22"/>
        </w:rPr>
        <w:t> </w:t>
      </w:r>
      <w:r>
        <w:rPr>
          <w:sz w:val="22"/>
        </w:rPr>
        <w:t>the</w:t>
      </w:r>
      <w:r>
        <w:rPr>
          <w:spacing w:val="-12"/>
          <w:sz w:val="22"/>
        </w:rPr>
        <w:t> </w:t>
      </w:r>
      <w:r>
        <w:rPr>
          <w:sz w:val="22"/>
        </w:rPr>
        <w:t>general</w:t>
      </w:r>
      <w:r>
        <w:rPr>
          <w:spacing w:val="-13"/>
          <w:sz w:val="22"/>
        </w:rPr>
        <w:t> </w:t>
      </w:r>
      <w:r>
        <w:rPr>
          <w:sz w:val="22"/>
        </w:rPr>
        <w:t>contractor,</w:t>
      </w:r>
      <w:r>
        <w:rPr>
          <w:spacing w:val="-11"/>
          <w:sz w:val="22"/>
        </w:rPr>
        <w:t> </w:t>
      </w:r>
      <w:r>
        <w:rPr>
          <w:sz w:val="22"/>
        </w:rPr>
        <w:t>the</w:t>
      </w:r>
      <w:r>
        <w:rPr>
          <w:spacing w:val="-12"/>
          <w:sz w:val="22"/>
        </w:rPr>
        <w:t> </w:t>
      </w:r>
      <w:r>
        <w:rPr>
          <w:sz w:val="22"/>
        </w:rPr>
        <w:t>combined</w:t>
      </w:r>
      <w:r>
        <w:rPr>
          <w:spacing w:val="-12"/>
          <w:sz w:val="22"/>
        </w:rPr>
        <w:t> </w:t>
      </w:r>
      <w:r>
        <w:rPr>
          <w:sz w:val="22"/>
        </w:rPr>
        <w:t>total</w:t>
      </w:r>
      <w:r>
        <w:rPr>
          <w:spacing w:val="-10"/>
          <w:sz w:val="22"/>
        </w:rPr>
        <w:t> </w:t>
      </w:r>
      <w:r>
        <w:rPr>
          <w:sz w:val="22"/>
        </w:rPr>
        <w:t>of</w:t>
      </w:r>
      <w:r>
        <w:rPr>
          <w:spacing w:val="-8"/>
          <w:sz w:val="22"/>
        </w:rPr>
        <w:t> </w:t>
      </w:r>
      <w:r>
        <w:rPr>
          <w:sz w:val="22"/>
        </w:rPr>
        <w:t>contractor fees and developer fees cannot exceed 20% of total development cost less a) the developer fee and b) other cost elements excluded from the calculation of the developer fee itself (see above).</w:t>
      </w:r>
    </w:p>
    <w:p>
      <w:pPr>
        <w:pStyle w:val="BodyText"/>
        <w:spacing w:before="9"/>
        <w:rPr>
          <w:sz w:val="21"/>
        </w:rPr>
      </w:pPr>
    </w:p>
    <w:p>
      <w:pPr>
        <w:pStyle w:val="BodyText"/>
        <w:ind w:left="119" w:right="153"/>
        <w:jc w:val="both"/>
      </w:pPr>
      <w:r>
        <w:rPr/>
        <w:t>In some cases, developers may delegate some of its responsibilities to third-party professionals or</w:t>
      </w:r>
      <w:r>
        <w:rPr>
          <w:spacing w:val="-8"/>
        </w:rPr>
        <w:t> </w:t>
      </w:r>
      <w:r>
        <w:rPr/>
        <w:t>consultants.</w:t>
      </w:r>
      <w:r>
        <w:rPr>
          <w:spacing w:val="-9"/>
        </w:rPr>
        <w:t> </w:t>
      </w:r>
      <w:r>
        <w:rPr/>
        <w:t>This</w:t>
      </w:r>
      <w:r>
        <w:rPr>
          <w:spacing w:val="-11"/>
        </w:rPr>
        <w:t> </w:t>
      </w:r>
      <w:r>
        <w:rPr/>
        <w:t>may</w:t>
      </w:r>
      <w:r>
        <w:rPr>
          <w:spacing w:val="-11"/>
        </w:rPr>
        <w:t> </w:t>
      </w:r>
      <w:r>
        <w:rPr/>
        <w:t>include</w:t>
      </w:r>
      <w:r>
        <w:rPr>
          <w:spacing w:val="-9"/>
        </w:rPr>
        <w:t> </w:t>
      </w:r>
      <w:r>
        <w:rPr/>
        <w:t>contracting</w:t>
      </w:r>
      <w:r>
        <w:rPr>
          <w:spacing w:val="-11"/>
        </w:rPr>
        <w:t> </w:t>
      </w:r>
      <w:r>
        <w:rPr/>
        <w:t>specific</w:t>
      </w:r>
      <w:r>
        <w:rPr>
          <w:spacing w:val="-8"/>
        </w:rPr>
        <w:t> </w:t>
      </w:r>
      <w:r>
        <w:rPr/>
        <w:t>tasks</w:t>
      </w:r>
      <w:r>
        <w:rPr>
          <w:spacing w:val="-10"/>
        </w:rPr>
        <w:t> </w:t>
      </w:r>
      <w:r>
        <w:rPr/>
        <w:t>–</w:t>
      </w:r>
      <w:r>
        <w:rPr>
          <w:spacing w:val="-11"/>
        </w:rPr>
        <w:t> </w:t>
      </w:r>
      <w:r>
        <w:rPr/>
        <w:t>such</w:t>
      </w:r>
      <w:r>
        <w:rPr>
          <w:spacing w:val="-11"/>
        </w:rPr>
        <w:t> </w:t>
      </w:r>
      <w:r>
        <w:rPr/>
        <w:t>as</w:t>
      </w:r>
      <w:r>
        <w:rPr>
          <w:spacing w:val="-11"/>
        </w:rPr>
        <w:t> </w:t>
      </w:r>
      <w:r>
        <w:rPr/>
        <w:t>construction</w:t>
      </w:r>
      <w:r>
        <w:rPr>
          <w:spacing w:val="-9"/>
        </w:rPr>
        <w:t> </w:t>
      </w:r>
      <w:r>
        <w:rPr/>
        <w:t>oversight</w:t>
      </w:r>
      <w:r>
        <w:rPr>
          <w:spacing w:val="-10"/>
        </w:rPr>
        <w:t> </w:t>
      </w:r>
      <w:r>
        <w:rPr/>
        <w:t>of</w:t>
      </w:r>
      <w:r>
        <w:rPr>
          <w:spacing w:val="-10"/>
        </w:rPr>
        <w:t> </w:t>
      </w:r>
      <w:r>
        <w:rPr/>
        <w:t>the builder or specialized consulting related to</w:t>
      </w:r>
      <w:r>
        <w:rPr>
          <w:spacing w:val="-3"/>
        </w:rPr>
        <w:t> </w:t>
      </w:r>
      <w:r>
        <w:rPr/>
        <w:t>applying for or structuring various financial</w:t>
      </w:r>
      <w:r>
        <w:rPr>
          <w:spacing w:val="-1"/>
        </w:rPr>
        <w:t> </w:t>
      </w:r>
      <w:r>
        <w:rPr/>
        <w:t>incentives like</w:t>
      </w:r>
      <w:r>
        <w:rPr>
          <w:spacing w:val="-6"/>
        </w:rPr>
        <w:t> </w:t>
      </w:r>
      <w:r>
        <w:rPr/>
        <w:t>LIHTC.</w:t>
      </w:r>
      <w:r>
        <w:rPr>
          <w:spacing w:val="-6"/>
        </w:rPr>
        <w:t> </w:t>
      </w:r>
      <w:r>
        <w:rPr/>
        <w:t>The</w:t>
      </w:r>
      <w:r>
        <w:rPr>
          <w:spacing w:val="-9"/>
        </w:rPr>
        <w:t> </w:t>
      </w:r>
      <w:r>
        <w:rPr/>
        <w:t>costs</w:t>
      </w:r>
      <w:r>
        <w:rPr>
          <w:spacing w:val="-8"/>
        </w:rPr>
        <w:t> </w:t>
      </w:r>
      <w:r>
        <w:rPr/>
        <w:t>of</w:t>
      </w:r>
      <w:r>
        <w:rPr>
          <w:spacing w:val="-10"/>
        </w:rPr>
        <w:t> </w:t>
      </w:r>
      <w:r>
        <w:rPr/>
        <w:t>engaging</w:t>
      </w:r>
      <w:r>
        <w:rPr>
          <w:spacing w:val="-6"/>
        </w:rPr>
        <w:t> </w:t>
      </w:r>
      <w:r>
        <w:rPr/>
        <w:t>such</w:t>
      </w:r>
      <w:r>
        <w:rPr>
          <w:spacing w:val="-6"/>
        </w:rPr>
        <w:t> </w:t>
      </w:r>
      <w:r>
        <w:rPr/>
        <w:t>professionals,</w:t>
      </w:r>
      <w:r>
        <w:rPr>
          <w:spacing w:val="-6"/>
        </w:rPr>
        <w:t> </w:t>
      </w:r>
      <w:r>
        <w:rPr/>
        <w:t>whether</w:t>
      </w:r>
      <w:r>
        <w:rPr>
          <w:spacing w:val="-8"/>
        </w:rPr>
        <w:t> </w:t>
      </w:r>
      <w:r>
        <w:rPr/>
        <w:t>they</w:t>
      </w:r>
      <w:r>
        <w:rPr>
          <w:spacing w:val="-6"/>
        </w:rPr>
        <w:t> </w:t>
      </w:r>
      <w:r>
        <w:rPr/>
        <w:t>are</w:t>
      </w:r>
      <w:r>
        <w:rPr>
          <w:spacing w:val="-9"/>
        </w:rPr>
        <w:t> </w:t>
      </w:r>
      <w:r>
        <w:rPr/>
        <w:t>third</w:t>
      </w:r>
      <w:r>
        <w:rPr>
          <w:spacing w:val="-6"/>
        </w:rPr>
        <w:t> </w:t>
      </w:r>
      <w:r>
        <w:rPr/>
        <w:t>parties</w:t>
      </w:r>
      <w:r>
        <w:rPr>
          <w:spacing w:val="-6"/>
        </w:rPr>
        <w:t> </w:t>
      </w:r>
      <w:r>
        <w:rPr/>
        <w:t>or</w:t>
      </w:r>
      <w:r>
        <w:rPr>
          <w:spacing w:val="-6"/>
        </w:rPr>
        <w:t> </w:t>
      </w:r>
      <w:r>
        <w:rPr/>
        <w:t>identity</w:t>
      </w:r>
      <w:r>
        <w:rPr>
          <w:spacing w:val="-6"/>
        </w:rPr>
        <w:t> </w:t>
      </w:r>
      <w:r>
        <w:rPr/>
        <w:t>of interest relationships, must be paid from (and if separately itemized will be counted against) the allowable developer fee.</w:t>
      </w:r>
    </w:p>
    <w:p>
      <w:pPr>
        <w:pStyle w:val="BodyText"/>
        <w:spacing w:before="9"/>
        <w:rPr>
          <w:sz w:val="21"/>
        </w:rPr>
      </w:pPr>
    </w:p>
    <w:p>
      <w:pPr>
        <w:pStyle w:val="BodyText"/>
        <w:ind w:left="119" w:right="157"/>
        <w:jc w:val="both"/>
      </w:pPr>
      <w:r>
        <w:rPr>
          <w:i/>
        </w:rPr>
        <w:t>Reserves</w:t>
      </w:r>
      <w:r>
        <w:rPr>
          <w:i/>
          <w:spacing w:val="-6"/>
        </w:rPr>
        <w:t> </w:t>
      </w:r>
      <w:r>
        <w:rPr/>
        <w:t>–</w:t>
      </w:r>
      <w:r>
        <w:rPr>
          <w:spacing w:val="-6"/>
        </w:rPr>
        <w:t> </w:t>
      </w:r>
      <w:r>
        <w:rPr/>
        <w:t>Capitalized</w:t>
      </w:r>
      <w:r>
        <w:rPr>
          <w:spacing w:val="-6"/>
        </w:rPr>
        <w:t> </w:t>
      </w:r>
      <w:r>
        <w:rPr/>
        <w:t>reserves</w:t>
      </w:r>
      <w:r>
        <w:rPr>
          <w:spacing w:val="-8"/>
        </w:rPr>
        <w:t> </w:t>
      </w:r>
      <w:r>
        <w:rPr/>
        <w:t>to</w:t>
      </w:r>
      <w:r>
        <w:rPr>
          <w:spacing w:val="-6"/>
        </w:rPr>
        <w:t> </w:t>
      </w:r>
      <w:r>
        <w:rPr/>
        <w:t>facilitate</w:t>
      </w:r>
      <w:r>
        <w:rPr>
          <w:spacing w:val="-6"/>
        </w:rPr>
        <w:t> </w:t>
      </w:r>
      <w:r>
        <w:rPr/>
        <w:t>the</w:t>
      </w:r>
      <w:r>
        <w:rPr>
          <w:spacing w:val="-9"/>
        </w:rPr>
        <w:t> </w:t>
      </w:r>
      <w:r>
        <w:rPr/>
        <w:t>initial</w:t>
      </w:r>
      <w:r>
        <w:rPr>
          <w:spacing w:val="-7"/>
        </w:rPr>
        <w:t> </w:t>
      </w:r>
      <w:r>
        <w:rPr/>
        <w:t>start-up</w:t>
      </w:r>
      <w:r>
        <w:rPr>
          <w:spacing w:val="-6"/>
        </w:rPr>
        <w:t> </w:t>
      </w:r>
      <w:r>
        <w:rPr/>
        <w:t>and</w:t>
      </w:r>
      <w:r>
        <w:rPr>
          <w:spacing w:val="-9"/>
        </w:rPr>
        <w:t> </w:t>
      </w:r>
      <w:r>
        <w:rPr/>
        <w:t>to</w:t>
      </w:r>
      <w:r>
        <w:rPr>
          <w:spacing w:val="-6"/>
        </w:rPr>
        <w:t> </w:t>
      </w:r>
      <w:r>
        <w:rPr/>
        <w:t>protect</w:t>
      </w:r>
      <w:r>
        <w:rPr>
          <w:spacing w:val="-5"/>
        </w:rPr>
        <w:t> </w:t>
      </w:r>
      <w:r>
        <w:rPr/>
        <w:t>the</w:t>
      </w:r>
      <w:r>
        <w:rPr>
          <w:spacing w:val="-9"/>
        </w:rPr>
        <w:t> </w:t>
      </w:r>
      <w:r>
        <w:rPr/>
        <w:t>ongoing</w:t>
      </w:r>
      <w:r>
        <w:rPr>
          <w:spacing w:val="-6"/>
        </w:rPr>
        <w:t> </w:t>
      </w:r>
      <w:r>
        <w:rPr/>
        <w:t>viability of the project will include the following:</w:t>
      </w:r>
    </w:p>
    <w:p>
      <w:pPr>
        <w:pStyle w:val="BodyText"/>
        <w:spacing w:before="1"/>
      </w:pPr>
    </w:p>
    <w:p>
      <w:pPr>
        <w:pStyle w:val="ListParagraph"/>
        <w:numPr>
          <w:ilvl w:val="0"/>
          <w:numId w:val="29"/>
        </w:numPr>
        <w:tabs>
          <w:tab w:pos="840" w:val="left" w:leader="none"/>
        </w:tabs>
        <w:spacing w:line="240" w:lineRule="auto" w:before="0" w:after="0"/>
        <w:ind w:left="839" w:right="155" w:hanging="360"/>
        <w:jc w:val="both"/>
        <w:rPr>
          <w:sz w:val="22"/>
        </w:rPr>
      </w:pPr>
      <w:r>
        <w:rPr>
          <w:sz w:val="22"/>
        </w:rPr>
        <w:t>Deficit Reserve: The City anticipates that in most cases, developments with predicted deficits during the affordability period would not be funded. However, in the event a development’s long-term operating proforma projects actual cash deficits during the affordability period, an operating deficit reserve must be included in the development budget in an amount sufficient, taking into account any interest on reserve balances, to fully fund all predicted deficits through the affordability period.</w:t>
      </w:r>
    </w:p>
    <w:p>
      <w:pPr>
        <w:pStyle w:val="ListParagraph"/>
        <w:numPr>
          <w:ilvl w:val="0"/>
          <w:numId w:val="29"/>
        </w:numPr>
        <w:tabs>
          <w:tab w:pos="840" w:val="left" w:leader="none"/>
        </w:tabs>
        <w:spacing w:line="240" w:lineRule="auto" w:before="0" w:after="0"/>
        <w:ind w:left="839" w:right="156" w:hanging="360"/>
        <w:jc w:val="both"/>
        <w:rPr>
          <w:sz w:val="22"/>
        </w:rPr>
      </w:pPr>
      <w:r>
        <w:rPr>
          <w:sz w:val="22"/>
        </w:rPr>
        <w:t>Lease-Up</w:t>
      </w:r>
      <w:r>
        <w:rPr>
          <w:spacing w:val="-14"/>
          <w:sz w:val="22"/>
        </w:rPr>
        <w:t> </w:t>
      </w:r>
      <w:r>
        <w:rPr>
          <w:sz w:val="22"/>
        </w:rPr>
        <w:t>Reserve:</w:t>
      </w:r>
      <w:r>
        <w:rPr>
          <w:spacing w:val="-14"/>
          <w:sz w:val="22"/>
        </w:rPr>
        <w:t> </w:t>
      </w:r>
      <w:r>
        <w:rPr>
          <w:sz w:val="22"/>
        </w:rPr>
        <w:t>A</w:t>
      </w:r>
      <w:r>
        <w:rPr>
          <w:spacing w:val="-14"/>
          <w:sz w:val="22"/>
        </w:rPr>
        <w:t> </w:t>
      </w:r>
      <w:r>
        <w:rPr>
          <w:sz w:val="22"/>
        </w:rPr>
        <w:t>lease-up</w:t>
      </w:r>
      <w:r>
        <w:rPr>
          <w:spacing w:val="-16"/>
          <w:sz w:val="22"/>
        </w:rPr>
        <w:t> </w:t>
      </w:r>
      <w:r>
        <w:rPr>
          <w:sz w:val="22"/>
        </w:rPr>
        <w:t>reserve</w:t>
      </w:r>
      <w:r>
        <w:rPr>
          <w:spacing w:val="-15"/>
          <w:sz w:val="22"/>
        </w:rPr>
        <w:t> </w:t>
      </w:r>
      <w:r>
        <w:rPr>
          <w:sz w:val="22"/>
        </w:rPr>
        <w:t>intended</w:t>
      </w:r>
      <w:r>
        <w:rPr>
          <w:spacing w:val="-15"/>
          <w:sz w:val="22"/>
        </w:rPr>
        <w:t> </w:t>
      </w:r>
      <w:r>
        <w:rPr>
          <w:sz w:val="22"/>
        </w:rPr>
        <w:t>to</w:t>
      </w:r>
      <w:r>
        <w:rPr>
          <w:spacing w:val="-13"/>
          <w:sz w:val="22"/>
        </w:rPr>
        <w:t> </w:t>
      </w:r>
      <w:r>
        <w:rPr>
          <w:sz w:val="22"/>
        </w:rPr>
        <w:t>cover</w:t>
      </w:r>
      <w:r>
        <w:rPr>
          <w:spacing w:val="-14"/>
          <w:sz w:val="22"/>
        </w:rPr>
        <w:t> </w:t>
      </w:r>
      <w:r>
        <w:rPr>
          <w:sz w:val="22"/>
        </w:rPr>
        <w:t>initial</w:t>
      </w:r>
      <w:r>
        <w:rPr>
          <w:spacing w:val="-14"/>
          <w:sz w:val="22"/>
        </w:rPr>
        <w:t> </w:t>
      </w:r>
      <w:r>
        <w:rPr>
          <w:sz w:val="22"/>
        </w:rPr>
        <w:t>operating</w:t>
      </w:r>
      <w:r>
        <w:rPr>
          <w:spacing w:val="-13"/>
          <w:sz w:val="22"/>
        </w:rPr>
        <w:t> </w:t>
      </w:r>
      <w:r>
        <w:rPr>
          <w:sz w:val="22"/>
        </w:rPr>
        <w:t>deficits</w:t>
      </w:r>
      <w:r>
        <w:rPr>
          <w:spacing w:val="-15"/>
          <w:sz w:val="22"/>
        </w:rPr>
        <w:t> </w:t>
      </w:r>
      <w:r>
        <w:rPr>
          <w:sz w:val="22"/>
        </w:rPr>
        <w:t>following the completion of construction but prior to breakeven operations may be included. Any such reserve must be based on lease-up projections/cash-flow modeling and the lease- up (or absorption) period identified in the project’s market study. In evaluating the appropriateness of any</w:t>
      </w:r>
      <w:r>
        <w:rPr>
          <w:spacing w:val="-1"/>
          <w:sz w:val="22"/>
        </w:rPr>
        <w:t> </w:t>
      </w:r>
      <w:r>
        <w:rPr>
          <w:sz w:val="22"/>
        </w:rPr>
        <w:t>lease-up</w:t>
      </w:r>
      <w:r>
        <w:rPr>
          <w:spacing w:val="-1"/>
          <w:sz w:val="22"/>
        </w:rPr>
        <w:t> </w:t>
      </w:r>
      <w:r>
        <w:rPr>
          <w:sz w:val="22"/>
        </w:rPr>
        <w:t>reserve,</w:t>
      </w:r>
      <w:r>
        <w:rPr>
          <w:spacing w:val="-2"/>
          <w:sz w:val="22"/>
        </w:rPr>
        <w:t> </w:t>
      </w:r>
      <w:r>
        <w:rPr>
          <w:sz w:val="22"/>
        </w:rPr>
        <w:t>the</w:t>
      </w:r>
      <w:r>
        <w:rPr>
          <w:spacing w:val="-1"/>
          <w:sz w:val="22"/>
        </w:rPr>
        <w:t> </w:t>
      </w:r>
      <w:r>
        <w:rPr>
          <w:sz w:val="22"/>
        </w:rPr>
        <w:t>City will consider whether the development budget</w:t>
      </w:r>
      <w:r>
        <w:rPr>
          <w:spacing w:val="-4"/>
          <w:sz w:val="22"/>
        </w:rPr>
        <w:t> </w:t>
      </w:r>
      <w:r>
        <w:rPr>
          <w:sz w:val="22"/>
        </w:rPr>
        <w:t>includes</w:t>
      </w:r>
      <w:r>
        <w:rPr>
          <w:spacing w:val="-7"/>
          <w:sz w:val="22"/>
        </w:rPr>
        <w:t> </w:t>
      </w:r>
      <w:r>
        <w:rPr>
          <w:sz w:val="22"/>
        </w:rPr>
        <w:t>specific</w:t>
      </w:r>
      <w:r>
        <w:rPr>
          <w:spacing w:val="-5"/>
          <w:sz w:val="22"/>
        </w:rPr>
        <w:t> </w:t>
      </w:r>
      <w:r>
        <w:rPr>
          <w:sz w:val="22"/>
        </w:rPr>
        <w:t>line</w:t>
      </w:r>
      <w:r>
        <w:rPr>
          <w:spacing w:val="-5"/>
          <w:sz w:val="22"/>
        </w:rPr>
        <w:t> </w:t>
      </w:r>
      <w:r>
        <w:rPr>
          <w:sz w:val="22"/>
        </w:rPr>
        <w:t>items</w:t>
      </w:r>
      <w:r>
        <w:rPr>
          <w:spacing w:val="-7"/>
          <w:sz w:val="22"/>
        </w:rPr>
        <w:t> </w:t>
      </w:r>
      <w:r>
        <w:rPr>
          <w:sz w:val="22"/>
        </w:rPr>
        <w:t>for</w:t>
      </w:r>
      <w:r>
        <w:rPr>
          <w:spacing w:val="-4"/>
          <w:sz w:val="22"/>
        </w:rPr>
        <w:t> </w:t>
      </w:r>
      <w:r>
        <w:rPr>
          <w:sz w:val="22"/>
        </w:rPr>
        <w:t>other</w:t>
      </w:r>
      <w:r>
        <w:rPr>
          <w:spacing w:val="-6"/>
          <w:sz w:val="22"/>
        </w:rPr>
        <w:t> </w:t>
      </w:r>
      <w:r>
        <w:rPr>
          <w:sz w:val="22"/>
        </w:rPr>
        <w:t>start-up</w:t>
      </w:r>
      <w:r>
        <w:rPr>
          <w:spacing w:val="-5"/>
          <w:sz w:val="22"/>
        </w:rPr>
        <w:t> </w:t>
      </w:r>
      <w:r>
        <w:rPr>
          <w:sz w:val="22"/>
        </w:rPr>
        <w:t>expenses</w:t>
      </w:r>
      <w:r>
        <w:rPr>
          <w:spacing w:val="-7"/>
          <w:sz w:val="22"/>
        </w:rPr>
        <w:t> </w:t>
      </w:r>
      <w:r>
        <w:rPr>
          <w:sz w:val="22"/>
        </w:rPr>
        <w:t>that</w:t>
      </w:r>
      <w:r>
        <w:rPr>
          <w:spacing w:val="-4"/>
          <w:sz w:val="22"/>
        </w:rPr>
        <w:t> </w:t>
      </w:r>
      <w:r>
        <w:rPr>
          <w:sz w:val="22"/>
        </w:rPr>
        <w:t>otherwise</w:t>
      </w:r>
      <w:r>
        <w:rPr>
          <w:spacing w:val="-5"/>
          <w:sz w:val="22"/>
        </w:rPr>
        <w:t> </w:t>
      </w:r>
      <w:r>
        <w:rPr>
          <w:sz w:val="22"/>
        </w:rPr>
        <w:t>are</w:t>
      </w:r>
      <w:r>
        <w:rPr>
          <w:spacing w:val="-7"/>
          <w:sz w:val="22"/>
        </w:rPr>
        <w:t> </w:t>
      </w:r>
      <w:r>
        <w:rPr>
          <w:sz w:val="22"/>
        </w:rPr>
        <w:t>typically part of the ongoing operating budget for a development. This may include budgets for marketing, working capital, etc.</w:t>
      </w:r>
    </w:p>
    <w:p>
      <w:pPr>
        <w:pStyle w:val="ListParagraph"/>
        <w:numPr>
          <w:ilvl w:val="0"/>
          <w:numId w:val="29"/>
        </w:numPr>
        <w:tabs>
          <w:tab w:pos="840" w:val="left" w:leader="none"/>
        </w:tabs>
        <w:spacing w:line="240" w:lineRule="auto" w:before="0" w:after="0"/>
        <w:ind w:left="839" w:right="156" w:hanging="361"/>
        <w:jc w:val="both"/>
        <w:rPr>
          <w:sz w:val="22"/>
        </w:rPr>
      </w:pPr>
      <w:r>
        <w:rPr>
          <w:sz w:val="22"/>
        </w:rPr>
        <w:t>Operating</w:t>
      </w:r>
      <w:r>
        <w:rPr>
          <w:spacing w:val="-8"/>
          <w:sz w:val="22"/>
        </w:rPr>
        <w:t> </w:t>
      </w:r>
      <w:r>
        <w:rPr>
          <w:sz w:val="22"/>
        </w:rPr>
        <w:t>Reserve:</w:t>
      </w:r>
      <w:r>
        <w:rPr>
          <w:spacing w:val="-9"/>
          <w:sz w:val="22"/>
        </w:rPr>
        <w:t> </w:t>
      </w:r>
      <w:r>
        <w:rPr>
          <w:sz w:val="22"/>
        </w:rPr>
        <w:t>An</w:t>
      </w:r>
      <w:r>
        <w:rPr>
          <w:spacing w:val="-8"/>
          <w:sz w:val="22"/>
        </w:rPr>
        <w:t> </w:t>
      </w:r>
      <w:r>
        <w:rPr>
          <w:sz w:val="22"/>
        </w:rPr>
        <w:t>operating</w:t>
      </w:r>
      <w:r>
        <w:rPr>
          <w:spacing w:val="-10"/>
          <w:sz w:val="22"/>
        </w:rPr>
        <w:t> </w:t>
      </w:r>
      <w:r>
        <w:rPr>
          <w:sz w:val="22"/>
        </w:rPr>
        <w:t>reserve</w:t>
      </w:r>
      <w:r>
        <w:rPr>
          <w:spacing w:val="-8"/>
          <w:sz w:val="22"/>
        </w:rPr>
        <w:t> </w:t>
      </w:r>
      <w:r>
        <w:rPr>
          <w:sz w:val="22"/>
        </w:rPr>
        <w:t>equal</w:t>
      </w:r>
      <w:r>
        <w:rPr>
          <w:spacing w:val="-10"/>
          <w:sz w:val="22"/>
        </w:rPr>
        <w:t> </w:t>
      </w:r>
      <w:r>
        <w:rPr>
          <w:sz w:val="22"/>
        </w:rPr>
        <w:t>to</w:t>
      </w:r>
      <w:r>
        <w:rPr>
          <w:spacing w:val="-11"/>
          <w:sz w:val="22"/>
        </w:rPr>
        <w:t> </w:t>
      </w:r>
      <w:r>
        <w:rPr>
          <w:sz w:val="22"/>
        </w:rPr>
        <w:t>three</w:t>
      </w:r>
      <w:r>
        <w:rPr>
          <w:spacing w:val="-10"/>
          <w:sz w:val="22"/>
        </w:rPr>
        <w:t> </w:t>
      </w:r>
      <w:r>
        <w:rPr>
          <w:sz w:val="22"/>
        </w:rPr>
        <w:t>months</w:t>
      </w:r>
      <w:r>
        <w:rPr>
          <w:spacing w:val="-8"/>
          <w:sz w:val="22"/>
        </w:rPr>
        <w:t> </w:t>
      </w:r>
      <w:r>
        <w:rPr>
          <w:sz w:val="22"/>
        </w:rPr>
        <w:t>of</w:t>
      </w:r>
      <w:r>
        <w:rPr>
          <w:spacing w:val="-7"/>
          <w:sz w:val="22"/>
        </w:rPr>
        <w:t> </w:t>
      </w:r>
      <w:r>
        <w:rPr>
          <w:sz w:val="22"/>
        </w:rPr>
        <w:t>underwritten</w:t>
      </w:r>
      <w:r>
        <w:rPr>
          <w:spacing w:val="-8"/>
          <w:sz w:val="22"/>
        </w:rPr>
        <w:t> </w:t>
      </w:r>
      <w:r>
        <w:rPr>
          <w:sz w:val="22"/>
        </w:rPr>
        <w:t>operating expenses, reserve deposits, and amortizing debt service must be included in the development</w:t>
      </w:r>
      <w:r>
        <w:rPr>
          <w:spacing w:val="-16"/>
          <w:sz w:val="22"/>
        </w:rPr>
        <w:t> </w:t>
      </w:r>
      <w:r>
        <w:rPr>
          <w:sz w:val="22"/>
        </w:rPr>
        <w:t>budget.</w:t>
      </w:r>
      <w:r>
        <w:rPr>
          <w:spacing w:val="-15"/>
          <w:sz w:val="22"/>
        </w:rPr>
        <w:t> </w:t>
      </w:r>
      <w:r>
        <w:rPr>
          <w:sz w:val="22"/>
        </w:rPr>
        <w:t>The</w:t>
      </w:r>
      <w:r>
        <w:rPr>
          <w:spacing w:val="-14"/>
          <w:sz w:val="22"/>
        </w:rPr>
        <w:t> </w:t>
      </w:r>
      <w:r>
        <w:rPr>
          <w:sz w:val="22"/>
        </w:rPr>
        <w:t>operating</w:t>
      </w:r>
      <w:r>
        <w:rPr>
          <w:spacing w:val="-15"/>
          <w:sz w:val="22"/>
        </w:rPr>
        <w:t> </w:t>
      </w:r>
      <w:r>
        <w:rPr>
          <w:sz w:val="22"/>
        </w:rPr>
        <w:t>reserve</w:t>
      </w:r>
      <w:r>
        <w:rPr>
          <w:spacing w:val="-15"/>
          <w:sz w:val="22"/>
        </w:rPr>
        <w:t> </w:t>
      </w:r>
      <w:r>
        <w:rPr>
          <w:sz w:val="22"/>
        </w:rPr>
        <w:t>is</w:t>
      </w:r>
      <w:r>
        <w:rPr>
          <w:spacing w:val="-16"/>
          <w:sz w:val="22"/>
        </w:rPr>
        <w:t> </w:t>
      </w:r>
      <w:r>
        <w:rPr>
          <w:sz w:val="22"/>
        </w:rPr>
        <w:t>intended</w:t>
      </w:r>
      <w:r>
        <w:rPr>
          <w:spacing w:val="-14"/>
          <w:sz w:val="22"/>
        </w:rPr>
        <w:t> </w:t>
      </w:r>
      <w:r>
        <w:rPr>
          <w:sz w:val="22"/>
        </w:rPr>
        <w:t>as</w:t>
      </w:r>
      <w:r>
        <w:rPr>
          <w:spacing w:val="-14"/>
          <w:sz w:val="22"/>
        </w:rPr>
        <w:t> </w:t>
      </w:r>
      <w:r>
        <w:rPr>
          <w:sz w:val="22"/>
        </w:rPr>
        <w:t>an</w:t>
      </w:r>
      <w:r>
        <w:rPr>
          <w:spacing w:val="-16"/>
          <w:sz w:val="22"/>
        </w:rPr>
        <w:t> </w:t>
      </w:r>
      <w:r>
        <w:rPr>
          <w:sz w:val="22"/>
        </w:rPr>
        <w:t>“unexpected</w:t>
      </w:r>
      <w:r>
        <w:rPr>
          <w:spacing w:val="-15"/>
          <w:sz w:val="22"/>
        </w:rPr>
        <w:t> </w:t>
      </w:r>
      <w:r>
        <w:rPr>
          <w:sz w:val="22"/>
        </w:rPr>
        <w:t>rainy</w:t>
      </w:r>
      <w:r>
        <w:rPr>
          <w:spacing w:val="-14"/>
          <w:sz w:val="22"/>
        </w:rPr>
        <w:t> </w:t>
      </w:r>
      <w:r>
        <w:rPr>
          <w:sz w:val="22"/>
        </w:rPr>
        <w:t>day”</w:t>
      </w:r>
      <w:r>
        <w:rPr>
          <w:spacing w:val="-15"/>
          <w:sz w:val="22"/>
        </w:rPr>
        <w:t> </w:t>
      </w:r>
      <w:r>
        <w:rPr>
          <w:sz w:val="22"/>
        </w:rPr>
        <w:t>fund and will only be accessible after a project has achieved stabilized occupancy.</w:t>
      </w:r>
    </w:p>
    <w:p>
      <w:pPr>
        <w:pStyle w:val="ListParagraph"/>
        <w:numPr>
          <w:ilvl w:val="0"/>
          <w:numId w:val="29"/>
        </w:numPr>
        <w:tabs>
          <w:tab w:pos="840" w:val="left" w:leader="none"/>
        </w:tabs>
        <w:spacing w:line="237" w:lineRule="auto" w:before="0" w:after="0"/>
        <w:ind w:left="839" w:right="156" w:hanging="361"/>
        <w:jc w:val="both"/>
        <w:rPr>
          <w:sz w:val="22"/>
        </w:rPr>
      </w:pPr>
      <w:r>
        <w:rPr>
          <w:sz w:val="22"/>
        </w:rPr>
        <w:t>Replacement Reserve: For acquisition-rehabilitation projects, a capitalized replacement reserve</w:t>
      </w:r>
      <w:r>
        <w:rPr>
          <w:spacing w:val="-16"/>
          <w:sz w:val="22"/>
        </w:rPr>
        <w:t> </w:t>
      </w:r>
      <w:r>
        <w:rPr>
          <w:sz w:val="22"/>
        </w:rPr>
        <w:t>must</w:t>
      </w:r>
      <w:r>
        <w:rPr>
          <w:spacing w:val="-16"/>
          <w:sz w:val="22"/>
        </w:rPr>
        <w:t> </w:t>
      </w:r>
      <w:r>
        <w:rPr>
          <w:sz w:val="22"/>
        </w:rPr>
        <w:t>be</w:t>
      </w:r>
      <w:r>
        <w:rPr>
          <w:spacing w:val="-15"/>
          <w:sz w:val="22"/>
        </w:rPr>
        <w:t> </w:t>
      </w:r>
      <w:r>
        <w:rPr>
          <w:sz w:val="22"/>
        </w:rPr>
        <w:t>included</w:t>
      </w:r>
      <w:r>
        <w:rPr>
          <w:spacing w:val="-15"/>
          <w:sz w:val="22"/>
        </w:rPr>
        <w:t> </w:t>
      </w:r>
      <w:r>
        <w:rPr>
          <w:sz w:val="22"/>
        </w:rPr>
        <w:t>in</w:t>
      </w:r>
      <w:r>
        <w:rPr>
          <w:spacing w:val="-16"/>
          <w:sz w:val="22"/>
        </w:rPr>
        <w:t> </w:t>
      </w:r>
      <w:r>
        <w:rPr>
          <w:sz w:val="22"/>
        </w:rPr>
        <w:t>the</w:t>
      </w:r>
      <w:r>
        <w:rPr>
          <w:spacing w:val="-15"/>
          <w:sz w:val="22"/>
        </w:rPr>
        <w:t> </w:t>
      </w:r>
      <w:r>
        <w:rPr>
          <w:sz w:val="22"/>
        </w:rPr>
        <w:t>development</w:t>
      </w:r>
      <w:r>
        <w:rPr>
          <w:spacing w:val="-15"/>
          <w:sz w:val="22"/>
        </w:rPr>
        <w:t> </w:t>
      </w:r>
      <w:r>
        <w:rPr>
          <w:sz w:val="22"/>
        </w:rPr>
        <w:t>budget.</w:t>
      </w:r>
      <w:r>
        <w:rPr>
          <w:spacing w:val="-15"/>
          <w:sz w:val="22"/>
        </w:rPr>
        <w:t> </w:t>
      </w:r>
      <w:r>
        <w:rPr>
          <w:sz w:val="22"/>
        </w:rPr>
        <w:t>The</w:t>
      </w:r>
      <w:r>
        <w:rPr>
          <w:spacing w:val="-16"/>
          <w:sz w:val="22"/>
        </w:rPr>
        <w:t> </w:t>
      </w:r>
      <w:r>
        <w:rPr>
          <w:sz w:val="22"/>
        </w:rPr>
        <w:t>capitalized</w:t>
      </w:r>
      <w:r>
        <w:rPr>
          <w:spacing w:val="-15"/>
          <w:sz w:val="22"/>
        </w:rPr>
        <w:t> </w:t>
      </w:r>
      <w:r>
        <w:rPr>
          <w:sz w:val="22"/>
        </w:rPr>
        <w:t>replacement</w:t>
      </w:r>
      <w:r>
        <w:rPr>
          <w:spacing w:val="-15"/>
          <w:sz w:val="22"/>
        </w:rPr>
        <w:t> </w:t>
      </w:r>
      <w:r>
        <w:rPr>
          <w:sz w:val="22"/>
        </w:rPr>
        <w:t>reserve</w:t>
      </w:r>
    </w:p>
    <w:p>
      <w:pPr>
        <w:spacing w:after="0" w:line="237" w:lineRule="auto"/>
        <w:jc w:val="both"/>
        <w:rPr>
          <w:sz w:val="22"/>
        </w:rPr>
        <w:sectPr>
          <w:pgSz w:w="12240" w:h="15840"/>
          <w:pgMar w:header="0" w:footer="1176" w:top="1620" w:bottom="1420" w:left="1320" w:right="1280"/>
        </w:sectPr>
      </w:pPr>
    </w:p>
    <w:p>
      <w:pPr>
        <w:pStyle w:val="BodyText"/>
        <w:spacing w:before="80"/>
        <w:ind w:left="839" w:right="157"/>
        <w:jc w:val="both"/>
      </w:pPr>
      <w:r>
        <w:rPr/>
        <w:t>should be funded at the greater of i) $1,000 per unit; or ii) the amount determined by a capital needs assessment approved by the City.</w:t>
      </w:r>
    </w:p>
    <w:p>
      <w:pPr>
        <w:pStyle w:val="ListParagraph"/>
        <w:numPr>
          <w:ilvl w:val="0"/>
          <w:numId w:val="29"/>
        </w:numPr>
        <w:tabs>
          <w:tab w:pos="840" w:val="left" w:leader="none"/>
        </w:tabs>
        <w:spacing w:line="240" w:lineRule="auto" w:before="0" w:after="0"/>
        <w:ind w:left="839" w:right="156" w:hanging="361"/>
        <w:jc w:val="both"/>
        <w:rPr>
          <w:sz w:val="22"/>
        </w:rPr>
      </w:pPr>
      <w:r>
        <w:rPr>
          <w:sz w:val="22"/>
        </w:rPr>
        <w:t>Other:</w:t>
      </w:r>
      <w:r>
        <w:rPr>
          <w:spacing w:val="-4"/>
          <w:sz w:val="22"/>
        </w:rPr>
        <w:t> </w:t>
      </w:r>
      <w:r>
        <w:rPr>
          <w:sz w:val="22"/>
        </w:rPr>
        <w:t>The</w:t>
      </w:r>
      <w:r>
        <w:rPr>
          <w:spacing w:val="-3"/>
          <w:sz w:val="22"/>
        </w:rPr>
        <w:t> </w:t>
      </w:r>
      <w:r>
        <w:rPr>
          <w:sz w:val="22"/>
        </w:rPr>
        <w:t>City</w:t>
      </w:r>
      <w:r>
        <w:rPr>
          <w:spacing w:val="-5"/>
          <w:sz w:val="22"/>
        </w:rPr>
        <w:t> </w:t>
      </w:r>
      <w:r>
        <w:rPr>
          <w:sz w:val="22"/>
        </w:rPr>
        <w:t>may</w:t>
      </w:r>
      <w:r>
        <w:rPr>
          <w:spacing w:val="-5"/>
          <w:sz w:val="22"/>
        </w:rPr>
        <w:t> </w:t>
      </w:r>
      <w:r>
        <w:rPr>
          <w:sz w:val="22"/>
        </w:rPr>
        <w:t>consider</w:t>
      </w:r>
      <w:r>
        <w:rPr>
          <w:spacing w:val="-1"/>
          <w:sz w:val="22"/>
        </w:rPr>
        <w:t> </w:t>
      </w:r>
      <w:r>
        <w:rPr>
          <w:sz w:val="22"/>
        </w:rPr>
        <w:t>other</w:t>
      </w:r>
      <w:r>
        <w:rPr>
          <w:spacing w:val="-1"/>
          <w:sz w:val="22"/>
        </w:rPr>
        <w:t> </w:t>
      </w:r>
      <w:r>
        <w:rPr>
          <w:sz w:val="22"/>
        </w:rPr>
        <w:t>specialized</w:t>
      </w:r>
      <w:r>
        <w:rPr>
          <w:spacing w:val="-3"/>
          <w:sz w:val="22"/>
        </w:rPr>
        <w:t> </w:t>
      </w:r>
      <w:r>
        <w:rPr>
          <w:sz w:val="22"/>
        </w:rPr>
        <w:t>reserves</w:t>
      </w:r>
      <w:r>
        <w:rPr>
          <w:spacing w:val="-2"/>
          <w:sz w:val="22"/>
        </w:rPr>
        <w:t> </w:t>
      </w:r>
      <w:r>
        <w:rPr>
          <w:sz w:val="22"/>
        </w:rPr>
        <w:t>as</w:t>
      </w:r>
      <w:r>
        <w:rPr>
          <w:spacing w:val="-5"/>
          <w:sz w:val="22"/>
        </w:rPr>
        <w:t> </w:t>
      </w:r>
      <w:r>
        <w:rPr>
          <w:sz w:val="22"/>
        </w:rPr>
        <w:t>appropriate</w:t>
      </w:r>
      <w:r>
        <w:rPr>
          <w:spacing w:val="-3"/>
          <w:sz w:val="22"/>
        </w:rPr>
        <w:t> </w:t>
      </w:r>
      <w:r>
        <w:rPr>
          <w:sz w:val="22"/>
        </w:rPr>
        <w:t>based</w:t>
      </w:r>
      <w:r>
        <w:rPr>
          <w:spacing w:val="-3"/>
          <w:sz w:val="22"/>
        </w:rPr>
        <w:t> </w:t>
      </w:r>
      <w:r>
        <w:rPr>
          <w:sz w:val="22"/>
        </w:rPr>
        <w:t>on</w:t>
      </w:r>
      <w:r>
        <w:rPr>
          <w:spacing w:val="-3"/>
          <w:sz w:val="22"/>
        </w:rPr>
        <w:t> </w:t>
      </w:r>
      <w:r>
        <w:rPr>
          <w:sz w:val="22"/>
        </w:rPr>
        <w:t>unique features of the project and/or requirements of other funding sources. These may include special security reserves, supportive service reserves, or transition reserves for projects with expiring project-based rental assistance contracts, etc.</w:t>
      </w:r>
    </w:p>
    <w:p>
      <w:pPr>
        <w:pStyle w:val="BodyText"/>
        <w:spacing w:before="9"/>
        <w:rPr>
          <w:sz w:val="21"/>
        </w:rPr>
      </w:pPr>
    </w:p>
    <w:p>
      <w:pPr>
        <w:pStyle w:val="BodyText"/>
        <w:spacing w:line="252" w:lineRule="exact"/>
        <w:ind w:left="119"/>
        <w:jc w:val="both"/>
      </w:pPr>
      <w:r>
        <w:rPr/>
        <w:t>Operating</w:t>
      </w:r>
      <w:r>
        <w:rPr>
          <w:spacing w:val="-8"/>
        </w:rPr>
        <w:t> </w:t>
      </w:r>
      <w:r>
        <w:rPr>
          <w:spacing w:val="-2"/>
        </w:rPr>
        <w:t>Revenues</w:t>
      </w:r>
    </w:p>
    <w:p>
      <w:pPr>
        <w:pStyle w:val="BodyText"/>
        <w:ind w:left="119" w:right="153"/>
        <w:jc w:val="both"/>
      </w:pPr>
      <w:r>
        <w:rPr/>
        <w:pict>
          <v:shape style="position:absolute;margin-left:90.065002pt;margin-top:12.607638pt;width:395.3pt;height:419pt;mso-position-horizontal-relative:page;mso-position-vertical-relative:paragraph;z-index:-17678336" id="docshape130" coordorigin="1801,252" coordsize="7906,8380" path="m4498,7516l4492,7442,4477,7364,4455,7281,4432,7212,4403,7140,4367,7065,4325,6987,4276,6907,4237,6848,4200,6797,4200,7483,4197,7539,4186,7596,4167,7653,4138,7713,4097,7776,4044,7842,3979,7911,3674,8217,2216,6759,2517,6458,2598,6382,2672,6322,2740,6279,2801,6252,2868,6237,2941,6233,3020,6240,3105,6258,3195,6287,3255,6313,3317,6345,3380,6384,3446,6429,3514,6480,3584,6538,3656,6603,3729,6675,3789,6736,3845,6796,3896,6855,3943,6913,3986,6970,4025,7025,4059,7079,4101,7153,4136,7226,4163,7295,4183,7362,4196,7426,4200,7483,4200,6797,4194,6788,4148,6728,4098,6667,4045,6606,3989,6545,3929,6483,3865,6421,3801,6363,3737,6308,3673,6256,3643,6233,3609,6208,3546,6164,3482,6122,3419,6085,3346,6047,3274,6014,3203,5987,3132,5965,3062,5948,2992,5936,2923,5929,2850,5927,2779,5934,2709,5949,2642,5972,2577,6002,2528,6031,2476,6068,2420,6113,2359,6167,2294,6230,1801,6723,3710,8631,4124,8217,4226,8115,4287,8050,4341,7984,4386,7918,4424,7852,4454,7785,4476,7719,4491,7652,4498,7584,4498,7516xm6418,5923l6056,5795,5650,5652,5561,5623,5475,5599,5393,5580,5365,5575,5314,5566,5239,5556,5193,5554,5143,5557,5089,5564,5030,5575,5073,5505,5109,5436,5136,5366,5154,5298,5164,5229,5165,5161,5157,5093,5139,5015,5111,4939,5075,4864,5030,4792,4976,4721,4956,4698,4913,4652,4872,4614,4872,5171,4868,5227,4854,5282,4830,5338,4794,5397,4747,5458,4687,5521,4280,5929,3649,5297,4102,4844,4166,4787,4229,4744,4293,4715,4358,4699,4422,4698,4501,4713,4577,4743,4649,4788,4718,4847,4761,4895,4797,4946,4827,5000,4851,5056,4867,5114,4872,5171,4872,4614,4849,4593,4782,4540,4713,4495,4641,4456,4566,4424,4474,4396,4386,4383,4303,4385,4225,4401,4163,4426,4098,4462,4030,4511,3958,4570,3883,4641,3248,5276,5157,7184,5346,6995,4499,6147,4718,5929,4753,5894,4783,5867,4810,5846,4833,5831,4863,5818,4896,5807,4932,5799,4971,5795,5014,5795,5066,5800,5125,5811,5194,5827,5256,5844,5328,5865,5407,5890,5496,5919,6180,6161,6418,5923xm7780,4560l7415,4365,6555,3911,6555,4218,6070,4704,6030,4632,5989,4560,5748,4130,5708,4058,5668,3987,5629,3921,5590,3856,5550,3792,5509,3729,5467,3667,5424,3606,5380,3545,5436,3581,5498,3619,5564,3658,5635,3700,5792,3791,6555,4218,6555,3911,5862,3545,5286,3238,5082,3442,5277,3793,5316,3863,5701,4560,6207,5479,6441,5900,6642,5699,6565,5566,6298,5097,6221,4964,6481,4704,6820,4365,7173,4560,7565,4776,7780,4560xm8131,4210l7264,3343,7936,2671,7711,2446,7039,3118,6448,2527,7224,1751,6999,1525,6033,2491,7941,4399,8131,4210xm9707,2634l8024,951,8497,477,8272,252,7138,1387,7363,1612,7834,1140,9517,2823,9707,2634xe" filled="true" fillcolor="#c0c0c0" stroked="false">
            <v:path arrowok="t"/>
            <v:fill opacity="32896f" type="solid"/>
            <w10:wrap type="none"/>
          </v:shape>
        </w:pict>
      </w:r>
      <w:r>
        <w:rPr/>
        <w:t>The</w:t>
      </w:r>
      <w:r>
        <w:rPr>
          <w:spacing w:val="-10"/>
        </w:rPr>
        <w:t> </w:t>
      </w:r>
      <w:r>
        <w:rPr/>
        <w:t>City</w:t>
      </w:r>
      <w:r>
        <w:rPr>
          <w:spacing w:val="-12"/>
        </w:rPr>
        <w:t> </w:t>
      </w:r>
      <w:r>
        <w:rPr/>
        <w:t>will</w:t>
      </w:r>
      <w:r>
        <w:rPr>
          <w:spacing w:val="-10"/>
        </w:rPr>
        <w:t> </w:t>
      </w:r>
      <w:r>
        <w:rPr/>
        <w:t>review</w:t>
      </w:r>
      <w:r>
        <w:rPr>
          <w:spacing w:val="-10"/>
        </w:rPr>
        <w:t> </w:t>
      </w:r>
      <w:r>
        <w:rPr/>
        <w:t>an</w:t>
      </w:r>
      <w:r>
        <w:rPr>
          <w:spacing w:val="-12"/>
        </w:rPr>
        <w:t> </w:t>
      </w:r>
      <w:r>
        <w:rPr/>
        <w:t>applicant’s</w:t>
      </w:r>
      <w:r>
        <w:rPr>
          <w:spacing w:val="-9"/>
        </w:rPr>
        <w:t> </w:t>
      </w:r>
      <w:r>
        <w:rPr/>
        <w:t>projection</w:t>
      </w:r>
      <w:r>
        <w:rPr>
          <w:spacing w:val="-10"/>
        </w:rPr>
        <w:t> </w:t>
      </w:r>
      <w:r>
        <w:rPr/>
        <w:t>of</w:t>
      </w:r>
      <w:r>
        <w:rPr>
          <w:spacing w:val="-11"/>
        </w:rPr>
        <w:t> </w:t>
      </w:r>
      <w:r>
        <w:rPr/>
        <w:t>operating</w:t>
      </w:r>
      <w:r>
        <w:rPr>
          <w:spacing w:val="-12"/>
        </w:rPr>
        <w:t> </w:t>
      </w:r>
      <w:r>
        <w:rPr/>
        <w:t>revenues</w:t>
      </w:r>
      <w:r>
        <w:rPr>
          <w:spacing w:val="-12"/>
        </w:rPr>
        <w:t> </w:t>
      </w:r>
      <w:r>
        <w:rPr/>
        <w:t>to</w:t>
      </w:r>
      <w:r>
        <w:rPr>
          <w:spacing w:val="-12"/>
        </w:rPr>
        <w:t> </w:t>
      </w:r>
      <w:r>
        <w:rPr/>
        <w:t>ensure</w:t>
      </w:r>
      <w:r>
        <w:rPr>
          <w:spacing w:val="-12"/>
        </w:rPr>
        <w:t> </w:t>
      </w:r>
      <w:r>
        <w:rPr/>
        <w:t>they</w:t>
      </w:r>
      <w:r>
        <w:rPr>
          <w:spacing w:val="-12"/>
        </w:rPr>
        <w:t> </w:t>
      </w:r>
      <w:r>
        <w:rPr/>
        <w:t>are</w:t>
      </w:r>
      <w:r>
        <w:rPr>
          <w:spacing w:val="-12"/>
        </w:rPr>
        <w:t> </w:t>
      </w:r>
      <w:r>
        <w:rPr/>
        <w:t>reasonable and</w:t>
      </w:r>
      <w:r>
        <w:rPr>
          <w:spacing w:val="-16"/>
        </w:rPr>
        <w:t> </w:t>
      </w:r>
      <w:r>
        <w:rPr/>
        <w:t>achievable</w:t>
      </w:r>
      <w:r>
        <w:rPr>
          <w:spacing w:val="-15"/>
        </w:rPr>
        <w:t> </w:t>
      </w:r>
      <w:r>
        <w:rPr/>
        <w:t>both</w:t>
      </w:r>
      <w:r>
        <w:rPr>
          <w:spacing w:val="-15"/>
        </w:rPr>
        <w:t> </w:t>
      </w:r>
      <w:r>
        <w:rPr/>
        <w:t>initially</w:t>
      </w:r>
      <w:r>
        <w:rPr>
          <w:spacing w:val="-16"/>
        </w:rPr>
        <w:t> </w:t>
      </w:r>
      <w:r>
        <w:rPr/>
        <w:t>and</w:t>
      </w:r>
      <w:r>
        <w:rPr>
          <w:spacing w:val="-15"/>
        </w:rPr>
        <w:t> </w:t>
      </w:r>
      <w:r>
        <w:rPr/>
        <w:t>through</w:t>
      </w:r>
      <w:r>
        <w:rPr>
          <w:spacing w:val="-15"/>
        </w:rPr>
        <w:t> </w:t>
      </w:r>
      <w:r>
        <w:rPr/>
        <w:t>the</w:t>
      </w:r>
      <w:r>
        <w:rPr>
          <w:spacing w:val="-15"/>
        </w:rPr>
        <w:t> </w:t>
      </w:r>
      <w:r>
        <w:rPr/>
        <w:t>affordability</w:t>
      </w:r>
      <w:r>
        <w:rPr>
          <w:spacing w:val="-16"/>
        </w:rPr>
        <w:t> </w:t>
      </w:r>
      <w:r>
        <w:rPr/>
        <w:t>period.</w:t>
      </w:r>
      <w:r>
        <w:rPr>
          <w:spacing w:val="-15"/>
        </w:rPr>
        <w:t> </w:t>
      </w:r>
      <w:r>
        <w:rPr/>
        <w:t>In</w:t>
      </w:r>
      <w:r>
        <w:rPr>
          <w:spacing w:val="-15"/>
        </w:rPr>
        <w:t> </w:t>
      </w:r>
      <w:r>
        <w:rPr/>
        <w:t>evaluating</w:t>
      </w:r>
      <w:r>
        <w:rPr>
          <w:spacing w:val="-16"/>
        </w:rPr>
        <w:t> </w:t>
      </w:r>
      <w:r>
        <w:rPr/>
        <w:t>operating</w:t>
      </w:r>
      <w:r>
        <w:rPr>
          <w:spacing w:val="-15"/>
        </w:rPr>
        <w:t> </w:t>
      </w:r>
      <w:r>
        <w:rPr/>
        <w:t>revenues, the</w:t>
      </w:r>
      <w:r>
        <w:rPr>
          <w:spacing w:val="-9"/>
        </w:rPr>
        <w:t> </w:t>
      </w:r>
      <w:r>
        <w:rPr/>
        <w:t>City</w:t>
      </w:r>
      <w:r>
        <w:rPr>
          <w:spacing w:val="-8"/>
        </w:rPr>
        <w:t> </w:t>
      </w:r>
      <w:r>
        <w:rPr/>
        <w:t>will</w:t>
      </w:r>
      <w:r>
        <w:rPr>
          <w:spacing w:val="-9"/>
        </w:rPr>
        <w:t> </w:t>
      </w:r>
      <w:r>
        <w:rPr/>
        <w:t>take</w:t>
      </w:r>
      <w:r>
        <w:rPr>
          <w:spacing w:val="-9"/>
        </w:rPr>
        <w:t> </w:t>
      </w:r>
      <w:r>
        <w:rPr/>
        <w:t>into</w:t>
      </w:r>
      <w:r>
        <w:rPr>
          <w:spacing w:val="-11"/>
        </w:rPr>
        <w:t> </w:t>
      </w:r>
      <w:r>
        <w:rPr/>
        <w:t>account</w:t>
      </w:r>
      <w:r>
        <w:rPr>
          <w:spacing w:val="-7"/>
        </w:rPr>
        <w:t> </w:t>
      </w:r>
      <w:r>
        <w:rPr/>
        <w:t>the</w:t>
      </w:r>
      <w:r>
        <w:rPr>
          <w:spacing w:val="-11"/>
        </w:rPr>
        <w:t> </w:t>
      </w:r>
      <w:r>
        <w:rPr/>
        <w:t>i)</w:t>
      </w:r>
      <w:r>
        <w:rPr>
          <w:spacing w:val="-8"/>
        </w:rPr>
        <w:t> </w:t>
      </w:r>
      <w:r>
        <w:rPr/>
        <w:t>project-specific</w:t>
      </w:r>
      <w:r>
        <w:rPr>
          <w:spacing w:val="-8"/>
        </w:rPr>
        <w:t> </w:t>
      </w:r>
      <w:r>
        <w:rPr/>
        <w:t>market</w:t>
      </w:r>
      <w:r>
        <w:rPr>
          <w:spacing w:val="-10"/>
        </w:rPr>
        <w:t> </w:t>
      </w:r>
      <w:r>
        <w:rPr/>
        <w:t>study;</w:t>
      </w:r>
      <w:r>
        <w:rPr>
          <w:spacing w:val="-7"/>
        </w:rPr>
        <w:t> </w:t>
      </w:r>
      <w:r>
        <w:rPr/>
        <w:t>ii)</w:t>
      </w:r>
      <w:r>
        <w:rPr>
          <w:spacing w:val="-8"/>
        </w:rPr>
        <w:t> </w:t>
      </w:r>
      <w:r>
        <w:rPr/>
        <w:t>actual</w:t>
      </w:r>
      <w:r>
        <w:rPr>
          <w:spacing w:val="-12"/>
        </w:rPr>
        <w:t> </w:t>
      </w:r>
      <w:r>
        <w:rPr/>
        <w:t>operating</w:t>
      </w:r>
      <w:r>
        <w:rPr>
          <w:spacing w:val="-9"/>
        </w:rPr>
        <w:t> </w:t>
      </w:r>
      <w:r>
        <w:rPr/>
        <w:t>performance from</w:t>
      </w:r>
      <w:r>
        <w:rPr>
          <w:spacing w:val="-16"/>
        </w:rPr>
        <w:t> </w:t>
      </w:r>
      <w:r>
        <w:rPr/>
        <w:t>other</w:t>
      </w:r>
      <w:r>
        <w:rPr>
          <w:spacing w:val="-15"/>
        </w:rPr>
        <w:t> </w:t>
      </w:r>
      <w:r>
        <w:rPr/>
        <w:t>comparable</w:t>
      </w:r>
      <w:r>
        <w:rPr>
          <w:spacing w:val="-15"/>
        </w:rPr>
        <w:t> </w:t>
      </w:r>
      <w:r>
        <w:rPr/>
        <w:t>projects</w:t>
      </w:r>
      <w:r>
        <w:rPr>
          <w:spacing w:val="-16"/>
        </w:rPr>
        <w:t> </w:t>
      </w:r>
      <w:r>
        <w:rPr/>
        <w:t>including</w:t>
      </w:r>
      <w:r>
        <w:rPr>
          <w:spacing w:val="-15"/>
        </w:rPr>
        <w:t> </w:t>
      </w:r>
      <w:r>
        <w:rPr/>
        <w:t>those</w:t>
      </w:r>
      <w:r>
        <w:rPr>
          <w:spacing w:val="-15"/>
        </w:rPr>
        <w:t> </w:t>
      </w:r>
      <w:r>
        <w:rPr/>
        <w:t>from</w:t>
      </w:r>
      <w:r>
        <w:rPr>
          <w:spacing w:val="-15"/>
        </w:rPr>
        <w:t> </w:t>
      </w:r>
      <w:r>
        <w:rPr/>
        <w:t>the</w:t>
      </w:r>
      <w:r>
        <w:rPr>
          <w:spacing w:val="-16"/>
        </w:rPr>
        <w:t> </w:t>
      </w:r>
      <w:r>
        <w:rPr/>
        <w:t>applicant’s</w:t>
      </w:r>
      <w:r>
        <w:rPr>
          <w:spacing w:val="-15"/>
        </w:rPr>
        <w:t> </w:t>
      </w:r>
      <w:r>
        <w:rPr/>
        <w:t>existing</w:t>
      </w:r>
      <w:r>
        <w:rPr>
          <w:spacing w:val="-15"/>
        </w:rPr>
        <w:t> </w:t>
      </w:r>
      <w:r>
        <w:rPr/>
        <w:t>portfolio</w:t>
      </w:r>
      <w:r>
        <w:rPr>
          <w:spacing w:val="-16"/>
        </w:rPr>
        <w:t> </w:t>
      </w:r>
      <w:r>
        <w:rPr/>
        <w:t>of</w:t>
      </w:r>
      <w:r>
        <w:rPr>
          <w:spacing w:val="-15"/>
        </w:rPr>
        <w:t> </w:t>
      </w:r>
      <w:r>
        <w:rPr/>
        <w:t>real-estate owned; iii) data available from comparable projects in the City’s portfolio; and/or iv) information available from actual performance within TDHCA’s portfolio.</w:t>
      </w:r>
    </w:p>
    <w:p>
      <w:pPr>
        <w:pStyle w:val="BodyText"/>
        <w:ind w:left="119" w:right="155"/>
        <w:jc w:val="both"/>
      </w:pPr>
      <w:r>
        <w:rPr/>
        <w:t>For purposes of the long-term operating proforma, operating revenue projections cannot be increased by more than 2% per year. The City reserves the right to “stress” proposals for underwriting</w:t>
      </w:r>
      <w:r>
        <w:rPr>
          <w:spacing w:val="-5"/>
        </w:rPr>
        <w:t> </w:t>
      </w:r>
      <w:r>
        <w:rPr/>
        <w:t>purposes</w:t>
      </w:r>
      <w:r>
        <w:rPr>
          <w:spacing w:val="-7"/>
        </w:rPr>
        <w:t> </w:t>
      </w:r>
      <w:r>
        <w:rPr/>
        <w:t>to</w:t>
      </w:r>
      <w:r>
        <w:rPr>
          <w:spacing w:val="-7"/>
        </w:rPr>
        <w:t> </w:t>
      </w:r>
      <w:r>
        <w:rPr/>
        <w:t>assess</w:t>
      </w:r>
      <w:r>
        <w:rPr>
          <w:spacing w:val="-7"/>
        </w:rPr>
        <w:t> </w:t>
      </w:r>
      <w:r>
        <w:rPr/>
        <w:t>the</w:t>
      </w:r>
      <w:r>
        <w:rPr>
          <w:spacing w:val="-7"/>
        </w:rPr>
        <w:t> </w:t>
      </w:r>
      <w:r>
        <w:rPr/>
        <w:t>impact</w:t>
      </w:r>
      <w:r>
        <w:rPr>
          <w:spacing w:val="-4"/>
        </w:rPr>
        <w:t> </w:t>
      </w:r>
      <w:r>
        <w:rPr/>
        <w:t>of</w:t>
      </w:r>
      <w:r>
        <w:rPr>
          <w:spacing w:val="-4"/>
        </w:rPr>
        <w:t> </w:t>
      </w:r>
      <w:r>
        <w:rPr/>
        <w:t>lower</w:t>
      </w:r>
      <w:r>
        <w:rPr>
          <w:spacing w:val="-4"/>
        </w:rPr>
        <w:t> </w:t>
      </w:r>
      <w:r>
        <w:rPr/>
        <w:t>inflationary</w:t>
      </w:r>
      <w:r>
        <w:rPr>
          <w:spacing w:val="-5"/>
        </w:rPr>
        <w:t> </w:t>
      </w:r>
      <w:r>
        <w:rPr/>
        <w:t>increases,</w:t>
      </w:r>
      <w:r>
        <w:rPr>
          <w:spacing w:val="-7"/>
        </w:rPr>
        <w:t> </w:t>
      </w:r>
      <w:r>
        <w:rPr/>
        <w:t>such</w:t>
      </w:r>
      <w:r>
        <w:rPr>
          <w:spacing w:val="-5"/>
        </w:rPr>
        <w:t> </w:t>
      </w:r>
      <w:r>
        <w:rPr/>
        <w:t>as</w:t>
      </w:r>
      <w:r>
        <w:rPr>
          <w:spacing w:val="-7"/>
        </w:rPr>
        <w:t> </w:t>
      </w:r>
      <w:r>
        <w:rPr/>
        <w:t>modeling</w:t>
      </w:r>
      <w:r>
        <w:rPr>
          <w:spacing w:val="-7"/>
        </w:rPr>
        <w:t> </w:t>
      </w:r>
      <w:r>
        <w:rPr/>
        <w:t>the impact of only 1% rent increases</w:t>
      </w:r>
      <w:r>
        <w:rPr>
          <w:spacing w:val="-1"/>
        </w:rPr>
        <w:t> </w:t>
      </w:r>
      <w:r>
        <w:rPr/>
        <w:t>for the</w:t>
      </w:r>
      <w:r>
        <w:rPr>
          <w:spacing w:val="-1"/>
        </w:rPr>
        <w:t> </w:t>
      </w:r>
      <w:r>
        <w:rPr/>
        <w:t>first three</w:t>
      </w:r>
      <w:r>
        <w:rPr>
          <w:spacing w:val="-1"/>
        </w:rPr>
        <w:t> </w:t>
      </w:r>
      <w:r>
        <w:rPr/>
        <w:t>to</w:t>
      </w:r>
      <w:r>
        <w:rPr>
          <w:spacing w:val="-1"/>
        </w:rPr>
        <w:t> </w:t>
      </w:r>
      <w:r>
        <w:rPr/>
        <w:t>five</w:t>
      </w:r>
      <w:r>
        <w:rPr>
          <w:spacing w:val="-1"/>
        </w:rPr>
        <w:t> </w:t>
      </w:r>
      <w:r>
        <w:rPr/>
        <w:t>years</w:t>
      </w:r>
      <w:r>
        <w:rPr>
          <w:spacing w:val="-1"/>
        </w:rPr>
        <w:t> </w:t>
      </w:r>
      <w:r>
        <w:rPr/>
        <w:t>of a project’s affordability period.</w:t>
      </w:r>
    </w:p>
    <w:p>
      <w:pPr>
        <w:pStyle w:val="BodyText"/>
      </w:pPr>
    </w:p>
    <w:p>
      <w:pPr>
        <w:pStyle w:val="BodyText"/>
        <w:spacing w:line="252" w:lineRule="exact"/>
        <w:ind w:left="119"/>
      </w:pPr>
      <w:r>
        <w:rPr>
          <w:spacing w:val="-4"/>
        </w:rPr>
        <w:t>Rents</w:t>
      </w:r>
    </w:p>
    <w:p>
      <w:pPr>
        <w:pStyle w:val="BodyText"/>
        <w:ind w:left="119" w:right="156"/>
        <w:jc w:val="both"/>
      </w:pPr>
      <w:r>
        <w:rPr/>
        <w:t>All rents should be supported by the market study. Including the utility allowance, the gross rent for any income/rent restricted unit should demonstrate at last a 15% “discount” compared to comparable “market rate” units.</w:t>
      </w:r>
    </w:p>
    <w:p>
      <w:pPr>
        <w:pStyle w:val="BodyText"/>
      </w:pPr>
    </w:p>
    <w:p>
      <w:pPr>
        <w:pStyle w:val="BodyText"/>
        <w:ind w:left="119" w:right="155"/>
        <w:jc w:val="both"/>
      </w:pPr>
      <w:r>
        <w:rPr/>
        <w:t>Additionally, to hedge against flat or declining rents to the owner in the event that income limits (and</w:t>
      </w:r>
      <w:r>
        <w:rPr>
          <w:spacing w:val="-16"/>
        </w:rPr>
        <w:t> </w:t>
      </w:r>
      <w:r>
        <w:rPr/>
        <w:t>therefore</w:t>
      </w:r>
      <w:r>
        <w:rPr>
          <w:spacing w:val="-15"/>
        </w:rPr>
        <w:t> </w:t>
      </w:r>
      <w:r>
        <w:rPr/>
        <w:t>rents)</w:t>
      </w:r>
      <w:r>
        <w:rPr>
          <w:spacing w:val="-12"/>
        </w:rPr>
        <w:t> </w:t>
      </w:r>
      <w:r>
        <w:rPr/>
        <w:t>do</w:t>
      </w:r>
      <w:r>
        <w:rPr>
          <w:spacing w:val="-12"/>
        </w:rPr>
        <w:t> </w:t>
      </w:r>
      <w:r>
        <w:rPr/>
        <w:t>not</w:t>
      </w:r>
      <w:r>
        <w:rPr>
          <w:spacing w:val="-11"/>
        </w:rPr>
        <w:t> </w:t>
      </w:r>
      <w:r>
        <w:rPr/>
        <w:t>increase</w:t>
      </w:r>
      <w:r>
        <w:rPr>
          <w:spacing w:val="-15"/>
        </w:rPr>
        <w:t> </w:t>
      </w:r>
      <w:r>
        <w:rPr/>
        <w:t>in</w:t>
      </w:r>
      <w:r>
        <w:rPr>
          <w:spacing w:val="-12"/>
        </w:rPr>
        <w:t> </w:t>
      </w:r>
      <w:r>
        <w:rPr/>
        <w:t>a</w:t>
      </w:r>
      <w:r>
        <w:rPr>
          <w:spacing w:val="-15"/>
        </w:rPr>
        <w:t> </w:t>
      </w:r>
      <w:r>
        <w:rPr/>
        <w:t>given</w:t>
      </w:r>
      <w:r>
        <w:rPr>
          <w:spacing w:val="-12"/>
        </w:rPr>
        <w:t> </w:t>
      </w:r>
      <w:r>
        <w:rPr/>
        <w:t>year</w:t>
      </w:r>
      <w:r>
        <w:rPr>
          <w:spacing w:val="-13"/>
        </w:rPr>
        <w:t> </w:t>
      </w:r>
      <w:r>
        <w:rPr/>
        <w:t>(particularly</w:t>
      </w:r>
      <w:r>
        <w:rPr>
          <w:spacing w:val="-12"/>
        </w:rPr>
        <w:t> </w:t>
      </w:r>
      <w:r>
        <w:rPr/>
        <w:t>between</w:t>
      </w:r>
      <w:r>
        <w:rPr>
          <w:spacing w:val="-12"/>
        </w:rPr>
        <w:t> </w:t>
      </w:r>
      <w:r>
        <w:rPr/>
        <w:t>commitment</w:t>
      </w:r>
      <w:r>
        <w:rPr>
          <w:spacing w:val="-11"/>
        </w:rPr>
        <w:t> </w:t>
      </w:r>
      <w:r>
        <w:rPr/>
        <w:t>and</w:t>
      </w:r>
      <w:r>
        <w:rPr>
          <w:spacing w:val="-15"/>
        </w:rPr>
        <w:t> </w:t>
      </w:r>
      <w:r>
        <w:rPr/>
        <w:t>lease- up), gross rents should demonstrate at least a 2.5% discount from the regulatory limit imposed on any income/rent restricted units by HOME, LIHTC, or other similar sources. As an alternative to setting rents below the applicable regulatory limit, the City will consider increasing the allowance for vacancy by 2.5%.</w:t>
      </w:r>
    </w:p>
    <w:p>
      <w:pPr>
        <w:pStyle w:val="BodyText"/>
      </w:pPr>
    </w:p>
    <w:p>
      <w:pPr>
        <w:pStyle w:val="BodyText"/>
        <w:spacing w:line="252" w:lineRule="exact"/>
        <w:ind w:left="119"/>
        <w:jc w:val="both"/>
      </w:pPr>
      <w:r>
        <w:rPr/>
        <w:t>Non-Rental</w:t>
      </w:r>
      <w:r>
        <w:rPr>
          <w:spacing w:val="-9"/>
        </w:rPr>
        <w:t> </w:t>
      </w:r>
      <w:r>
        <w:rPr>
          <w:spacing w:val="-2"/>
        </w:rPr>
        <w:t>Revenue</w:t>
      </w:r>
    </w:p>
    <w:p>
      <w:pPr>
        <w:pStyle w:val="BodyText"/>
        <w:ind w:left="119" w:right="155"/>
        <w:jc w:val="both"/>
      </w:pPr>
      <w:r>
        <w:rPr/>
        <w:t>Non-rental revenue must be fully explained and conservatively estimates. In general, no more than</w:t>
      </w:r>
      <w:r>
        <w:rPr>
          <w:spacing w:val="-7"/>
        </w:rPr>
        <w:t> </w:t>
      </w:r>
      <w:r>
        <w:rPr/>
        <w:t>$60-$240</w:t>
      </w:r>
      <w:r>
        <w:rPr>
          <w:spacing w:val="-7"/>
        </w:rPr>
        <w:t> </w:t>
      </w:r>
      <w:r>
        <w:rPr/>
        <w:t>per-unit,</w:t>
      </w:r>
      <w:r>
        <w:rPr>
          <w:spacing w:val="-7"/>
        </w:rPr>
        <w:t> </w:t>
      </w:r>
      <w:r>
        <w:rPr/>
        <w:t>per-year</w:t>
      </w:r>
      <w:r>
        <w:rPr>
          <w:spacing w:val="-8"/>
        </w:rPr>
        <w:t> </w:t>
      </w:r>
      <w:r>
        <w:rPr/>
        <w:t>may</w:t>
      </w:r>
      <w:r>
        <w:rPr>
          <w:spacing w:val="-7"/>
        </w:rPr>
        <w:t> </w:t>
      </w:r>
      <w:r>
        <w:rPr/>
        <w:t>be</w:t>
      </w:r>
      <w:r>
        <w:rPr>
          <w:spacing w:val="-9"/>
        </w:rPr>
        <w:t> </w:t>
      </w:r>
      <w:r>
        <w:rPr/>
        <w:t>budgeted</w:t>
      </w:r>
      <w:r>
        <w:rPr>
          <w:spacing w:val="-7"/>
        </w:rPr>
        <w:t> </w:t>
      </w:r>
      <w:r>
        <w:rPr/>
        <w:t>in</w:t>
      </w:r>
      <w:r>
        <w:rPr>
          <w:spacing w:val="-7"/>
        </w:rPr>
        <w:t> </w:t>
      </w:r>
      <w:r>
        <w:rPr/>
        <w:t>“other</w:t>
      </w:r>
      <w:r>
        <w:rPr>
          <w:spacing w:val="-8"/>
        </w:rPr>
        <w:t> </w:t>
      </w:r>
      <w:r>
        <w:rPr/>
        <w:t>revenue”</w:t>
      </w:r>
      <w:r>
        <w:rPr>
          <w:spacing w:val="-8"/>
        </w:rPr>
        <w:t> </w:t>
      </w:r>
      <w:r>
        <w:rPr/>
        <w:t>including</w:t>
      </w:r>
      <w:r>
        <w:rPr>
          <w:spacing w:val="-7"/>
        </w:rPr>
        <w:t> </w:t>
      </w:r>
      <w:r>
        <w:rPr/>
        <w:t>that</w:t>
      </w:r>
      <w:r>
        <w:rPr>
          <w:spacing w:val="-7"/>
        </w:rPr>
        <w:t> </w:t>
      </w:r>
      <w:r>
        <w:rPr/>
        <w:t>from</w:t>
      </w:r>
      <w:r>
        <w:rPr>
          <w:spacing w:val="-8"/>
        </w:rPr>
        <w:t> </w:t>
      </w:r>
      <w:r>
        <w:rPr/>
        <w:t>tenant’s fees (such as fees for late payment of rent, nonsufficient funds, garage/carport upgrades, pet fees, etc. or interest on operating account balances). Exceptions may be considered by the City based on the operating history of an acquisition/rehabilitation project or normalized operations are other comparable properties in the same market area.</w:t>
      </w:r>
    </w:p>
    <w:p>
      <w:pPr>
        <w:pStyle w:val="BodyText"/>
        <w:spacing w:line="252" w:lineRule="exact" w:before="1"/>
        <w:ind w:left="119"/>
      </w:pPr>
      <w:r>
        <w:rPr>
          <w:spacing w:val="-2"/>
        </w:rPr>
        <w:t>Vacancy</w:t>
      </w:r>
    </w:p>
    <w:p>
      <w:pPr>
        <w:pStyle w:val="BodyText"/>
        <w:ind w:left="119" w:right="157"/>
        <w:jc w:val="both"/>
      </w:pPr>
      <w:r>
        <w:rPr/>
        <w:t>Total economic vacancy includes physical vacancy (a unit is unrented), bed debt (a unit is occupied</w:t>
      </w:r>
      <w:r>
        <w:rPr>
          <w:spacing w:val="-4"/>
        </w:rPr>
        <w:t> </w:t>
      </w:r>
      <w:r>
        <w:rPr/>
        <w:t>but</w:t>
      </w:r>
      <w:r>
        <w:rPr>
          <w:spacing w:val="-5"/>
        </w:rPr>
        <w:t> </w:t>
      </w:r>
      <w:r>
        <w:rPr/>
        <w:t>the</w:t>
      </w:r>
      <w:r>
        <w:rPr>
          <w:spacing w:val="-9"/>
        </w:rPr>
        <w:t> </w:t>
      </w:r>
      <w:r>
        <w:rPr/>
        <w:t>tenant</w:t>
      </w:r>
      <w:r>
        <w:rPr>
          <w:spacing w:val="-5"/>
        </w:rPr>
        <w:t> </w:t>
      </w:r>
      <w:r>
        <w:rPr/>
        <w:t>is</w:t>
      </w:r>
      <w:r>
        <w:rPr>
          <w:spacing w:val="-4"/>
        </w:rPr>
        <w:t> </w:t>
      </w:r>
      <w:r>
        <w:rPr/>
        <w:t>not</w:t>
      </w:r>
      <w:r>
        <w:rPr>
          <w:spacing w:val="-5"/>
        </w:rPr>
        <w:t> </w:t>
      </w:r>
      <w:r>
        <w:rPr/>
        <w:t>paying</w:t>
      </w:r>
      <w:r>
        <w:rPr>
          <w:spacing w:val="-7"/>
        </w:rPr>
        <w:t> </w:t>
      </w:r>
      <w:r>
        <w:rPr/>
        <w:t>rent),</w:t>
      </w:r>
      <w:r>
        <w:rPr>
          <w:spacing w:val="-3"/>
        </w:rPr>
        <w:t> </w:t>
      </w:r>
      <w:r>
        <w:rPr/>
        <w:t>concessions</w:t>
      </w:r>
      <w:r>
        <w:rPr>
          <w:spacing w:val="-4"/>
        </w:rPr>
        <w:t> </w:t>
      </w:r>
      <w:r>
        <w:rPr/>
        <w:t>(a</w:t>
      </w:r>
      <w:r>
        <w:rPr>
          <w:spacing w:val="-6"/>
        </w:rPr>
        <w:t> </w:t>
      </w:r>
      <w:r>
        <w:rPr/>
        <w:t>unit</w:t>
      </w:r>
      <w:r>
        <w:rPr>
          <w:spacing w:val="-5"/>
        </w:rPr>
        <w:t> </w:t>
      </w:r>
      <w:r>
        <w:rPr/>
        <w:t>has</w:t>
      </w:r>
      <w:r>
        <w:rPr>
          <w:spacing w:val="-6"/>
        </w:rPr>
        <w:t> </w:t>
      </w:r>
      <w:r>
        <w:rPr/>
        <w:t>been</w:t>
      </w:r>
      <w:r>
        <w:rPr>
          <w:spacing w:val="-4"/>
        </w:rPr>
        <w:t> </w:t>
      </w:r>
      <w:r>
        <w:rPr/>
        <w:t>leased</w:t>
      </w:r>
      <w:r>
        <w:rPr>
          <w:spacing w:val="-4"/>
        </w:rPr>
        <w:t> </w:t>
      </w:r>
      <w:r>
        <w:rPr/>
        <w:t>for</w:t>
      </w:r>
      <w:r>
        <w:rPr>
          <w:spacing w:val="-5"/>
        </w:rPr>
        <w:t> </w:t>
      </w:r>
      <w:r>
        <w:rPr/>
        <w:t>less</w:t>
      </w:r>
      <w:r>
        <w:rPr>
          <w:spacing w:val="-6"/>
        </w:rPr>
        <w:t> </w:t>
      </w:r>
      <w:r>
        <w:rPr/>
        <w:t>than</w:t>
      </w:r>
      <w:r>
        <w:rPr>
          <w:spacing w:val="-7"/>
        </w:rPr>
        <w:t> </w:t>
      </w:r>
      <w:r>
        <w:rPr/>
        <w:t>the budgeted</w:t>
      </w:r>
      <w:r>
        <w:rPr>
          <w:spacing w:val="-6"/>
        </w:rPr>
        <w:t> </w:t>
      </w:r>
      <w:r>
        <w:rPr/>
        <w:t>rent),</w:t>
      </w:r>
      <w:r>
        <w:rPr>
          <w:spacing w:val="-5"/>
        </w:rPr>
        <w:t> </w:t>
      </w:r>
      <w:r>
        <w:rPr/>
        <w:t>and</w:t>
      </w:r>
      <w:r>
        <w:rPr>
          <w:spacing w:val="-4"/>
        </w:rPr>
        <w:t> </w:t>
      </w:r>
      <w:r>
        <w:rPr/>
        <w:t>“loss</w:t>
      </w:r>
      <w:r>
        <w:rPr>
          <w:spacing w:val="-6"/>
        </w:rPr>
        <w:t> </w:t>
      </w:r>
      <w:r>
        <w:rPr/>
        <w:t>to</w:t>
      </w:r>
      <w:r>
        <w:rPr>
          <w:spacing w:val="-4"/>
        </w:rPr>
        <w:t> </w:t>
      </w:r>
      <w:r>
        <w:rPr/>
        <w:t>lease”</w:t>
      </w:r>
      <w:r>
        <w:rPr>
          <w:spacing w:val="-5"/>
        </w:rPr>
        <w:t> </w:t>
      </w:r>
      <w:r>
        <w:rPr/>
        <w:t>(an</w:t>
      </w:r>
      <w:r>
        <w:rPr>
          <w:spacing w:val="-4"/>
        </w:rPr>
        <w:t> </w:t>
      </w:r>
      <w:r>
        <w:rPr/>
        <w:t>pre-existing</w:t>
      </w:r>
      <w:r>
        <w:rPr>
          <w:spacing w:val="-4"/>
        </w:rPr>
        <w:t> </w:t>
      </w:r>
      <w:r>
        <w:rPr/>
        <w:t>lease</w:t>
      </w:r>
      <w:r>
        <w:rPr>
          <w:spacing w:val="-4"/>
        </w:rPr>
        <w:t> </w:t>
      </w:r>
      <w:r>
        <w:rPr/>
        <w:t>is</w:t>
      </w:r>
      <w:r>
        <w:rPr>
          <w:spacing w:val="-4"/>
        </w:rPr>
        <w:t> </w:t>
      </w:r>
      <w:r>
        <w:rPr/>
        <w:t>less</w:t>
      </w:r>
      <w:r>
        <w:rPr>
          <w:spacing w:val="-6"/>
        </w:rPr>
        <w:t> </w:t>
      </w:r>
      <w:r>
        <w:rPr/>
        <w:t>than</w:t>
      </w:r>
      <w:r>
        <w:rPr>
          <w:spacing w:val="-7"/>
        </w:rPr>
        <w:t> </w:t>
      </w:r>
      <w:r>
        <w:rPr/>
        <w:t>the</w:t>
      </w:r>
      <w:r>
        <w:rPr>
          <w:spacing w:val="-7"/>
        </w:rPr>
        <w:t> </w:t>
      </w:r>
      <w:r>
        <w:rPr/>
        <w:t>most</w:t>
      </w:r>
      <w:r>
        <w:rPr>
          <w:spacing w:val="-5"/>
        </w:rPr>
        <w:t> </w:t>
      </w:r>
      <w:r>
        <w:rPr/>
        <w:t>recently</w:t>
      </w:r>
      <w:r>
        <w:rPr>
          <w:spacing w:val="-4"/>
        </w:rPr>
        <w:t> </w:t>
      </w:r>
      <w:r>
        <w:rPr/>
        <w:t>approved annual rent but will be adjusted upward at renewal).</w:t>
      </w:r>
    </w:p>
    <w:p>
      <w:pPr>
        <w:pStyle w:val="BodyText"/>
        <w:spacing w:before="10"/>
        <w:rPr>
          <w:sz w:val="21"/>
        </w:rPr>
      </w:pPr>
    </w:p>
    <w:p>
      <w:pPr>
        <w:pStyle w:val="BodyText"/>
        <w:ind w:left="119" w:right="156"/>
        <w:jc w:val="both"/>
      </w:pPr>
      <w:r>
        <w:rPr/>
        <w:t>In all cases, based on the market study or other data available to the City, the City reserves the right to require higher vacancy projections. This may include higher vacancy rates for small developments (e.g. less than 20 unit) where standard percentage assumptions about vacancy may not be appropriate. Minimum allowances for vacancy must include:</w:t>
      </w:r>
    </w:p>
    <w:p>
      <w:pPr>
        <w:spacing w:after="0"/>
        <w:jc w:val="both"/>
        <w:sectPr>
          <w:pgSz w:w="12240" w:h="15840"/>
          <w:pgMar w:header="0" w:footer="1176" w:top="1360" w:bottom="1420" w:left="1320" w:right="1280"/>
        </w:sectPr>
      </w:pPr>
    </w:p>
    <w:p>
      <w:pPr>
        <w:pStyle w:val="ListParagraph"/>
        <w:numPr>
          <w:ilvl w:val="0"/>
          <w:numId w:val="29"/>
        </w:numPr>
        <w:tabs>
          <w:tab w:pos="841" w:val="left" w:leader="none"/>
        </w:tabs>
        <w:spacing w:line="237" w:lineRule="auto" w:before="84" w:after="0"/>
        <w:ind w:left="840" w:right="157" w:hanging="361"/>
        <w:jc w:val="both"/>
        <w:rPr>
          <w:sz w:val="22"/>
        </w:rPr>
      </w:pPr>
      <w:r>
        <w:rPr>
          <w:sz w:val="22"/>
        </w:rPr>
        <w:t>5%</w:t>
      </w:r>
      <w:r>
        <w:rPr>
          <w:spacing w:val="-15"/>
          <w:sz w:val="22"/>
        </w:rPr>
        <w:t> </w:t>
      </w:r>
      <w:r>
        <w:rPr>
          <w:sz w:val="22"/>
        </w:rPr>
        <w:t>for</w:t>
      </w:r>
      <w:r>
        <w:rPr>
          <w:spacing w:val="-13"/>
          <w:sz w:val="22"/>
        </w:rPr>
        <w:t> </w:t>
      </w:r>
      <w:r>
        <w:rPr>
          <w:sz w:val="22"/>
        </w:rPr>
        <w:t>projects</w:t>
      </w:r>
      <w:r>
        <w:rPr>
          <w:spacing w:val="-14"/>
          <w:sz w:val="22"/>
        </w:rPr>
        <w:t> </w:t>
      </w:r>
      <w:r>
        <w:rPr>
          <w:sz w:val="22"/>
        </w:rPr>
        <w:t>where</w:t>
      </w:r>
      <w:r>
        <w:rPr>
          <w:spacing w:val="-15"/>
          <w:sz w:val="22"/>
        </w:rPr>
        <w:t> </w:t>
      </w:r>
      <w:r>
        <w:rPr>
          <w:sz w:val="22"/>
        </w:rPr>
        <w:t>all</w:t>
      </w:r>
      <w:r>
        <w:rPr>
          <w:spacing w:val="-15"/>
          <w:sz w:val="22"/>
        </w:rPr>
        <w:t> </w:t>
      </w:r>
      <w:r>
        <w:rPr>
          <w:sz w:val="22"/>
        </w:rPr>
        <w:t>units</w:t>
      </w:r>
      <w:r>
        <w:rPr>
          <w:spacing w:val="-12"/>
          <w:sz w:val="22"/>
        </w:rPr>
        <w:t> </w:t>
      </w:r>
      <w:r>
        <w:rPr>
          <w:sz w:val="22"/>
        </w:rPr>
        <w:t>are</w:t>
      </w:r>
      <w:r>
        <w:rPr>
          <w:spacing w:val="-15"/>
          <w:sz w:val="22"/>
        </w:rPr>
        <w:t> </w:t>
      </w:r>
      <w:r>
        <w:rPr>
          <w:sz w:val="22"/>
        </w:rPr>
        <w:t>supported</w:t>
      </w:r>
      <w:r>
        <w:rPr>
          <w:spacing w:val="-15"/>
          <w:sz w:val="22"/>
        </w:rPr>
        <w:t> </w:t>
      </w:r>
      <w:r>
        <w:rPr>
          <w:sz w:val="22"/>
        </w:rPr>
        <w:t>by</w:t>
      </w:r>
      <w:r>
        <w:rPr>
          <w:spacing w:val="-14"/>
          <w:sz w:val="22"/>
        </w:rPr>
        <w:t> </w:t>
      </w:r>
      <w:r>
        <w:rPr>
          <w:sz w:val="22"/>
        </w:rPr>
        <w:t>a</w:t>
      </w:r>
      <w:r>
        <w:rPr>
          <w:spacing w:val="-16"/>
          <w:sz w:val="22"/>
        </w:rPr>
        <w:t> </w:t>
      </w:r>
      <w:r>
        <w:rPr>
          <w:sz w:val="22"/>
        </w:rPr>
        <w:t>project-based</w:t>
      </w:r>
      <w:r>
        <w:rPr>
          <w:spacing w:val="-14"/>
          <w:sz w:val="22"/>
        </w:rPr>
        <w:t> </w:t>
      </w:r>
      <w:r>
        <w:rPr>
          <w:sz w:val="22"/>
        </w:rPr>
        <w:t>rental</w:t>
      </w:r>
      <w:r>
        <w:rPr>
          <w:spacing w:val="-13"/>
          <w:sz w:val="22"/>
        </w:rPr>
        <w:t> </w:t>
      </w:r>
      <w:r>
        <w:rPr>
          <w:sz w:val="22"/>
        </w:rPr>
        <w:t>assistance</w:t>
      </w:r>
      <w:r>
        <w:rPr>
          <w:spacing w:val="-15"/>
          <w:sz w:val="22"/>
        </w:rPr>
        <w:t> </w:t>
      </w:r>
      <w:r>
        <w:rPr>
          <w:sz w:val="22"/>
        </w:rPr>
        <w:t>contract with</w:t>
      </w:r>
      <w:r>
        <w:rPr>
          <w:spacing w:val="-3"/>
          <w:sz w:val="22"/>
        </w:rPr>
        <w:t> </w:t>
      </w:r>
      <w:r>
        <w:rPr>
          <w:sz w:val="22"/>
        </w:rPr>
        <w:t>a</w:t>
      </w:r>
      <w:r>
        <w:rPr>
          <w:spacing w:val="-3"/>
          <w:sz w:val="22"/>
        </w:rPr>
        <w:t> </w:t>
      </w:r>
      <w:r>
        <w:rPr>
          <w:sz w:val="22"/>
        </w:rPr>
        <w:t>term</w:t>
      </w:r>
      <w:r>
        <w:rPr>
          <w:spacing w:val="-3"/>
          <w:sz w:val="22"/>
        </w:rPr>
        <w:t> </w:t>
      </w:r>
      <w:r>
        <w:rPr>
          <w:sz w:val="22"/>
        </w:rPr>
        <w:t>equal</w:t>
      </w:r>
      <w:r>
        <w:rPr>
          <w:spacing w:val="-3"/>
          <w:sz w:val="22"/>
        </w:rPr>
        <w:t> </w:t>
      </w:r>
      <w:r>
        <w:rPr>
          <w:sz w:val="22"/>
        </w:rPr>
        <w:t>to</w:t>
      </w:r>
      <w:r>
        <w:rPr>
          <w:spacing w:val="-4"/>
          <w:sz w:val="22"/>
        </w:rPr>
        <w:t> </w:t>
      </w:r>
      <w:r>
        <w:rPr>
          <w:sz w:val="22"/>
        </w:rPr>
        <w:t>or</w:t>
      </w:r>
      <w:r>
        <w:rPr>
          <w:spacing w:val="-1"/>
          <w:sz w:val="22"/>
        </w:rPr>
        <w:t> </w:t>
      </w:r>
      <w:r>
        <w:rPr>
          <w:sz w:val="22"/>
        </w:rPr>
        <w:t>in</w:t>
      </w:r>
      <w:r>
        <w:rPr>
          <w:spacing w:val="-4"/>
          <w:sz w:val="22"/>
        </w:rPr>
        <w:t> </w:t>
      </w:r>
      <w:r>
        <w:rPr>
          <w:sz w:val="22"/>
        </w:rPr>
        <w:t>excess</w:t>
      </w:r>
      <w:r>
        <w:rPr>
          <w:spacing w:val="-2"/>
          <w:sz w:val="22"/>
        </w:rPr>
        <w:t> </w:t>
      </w:r>
      <w:r>
        <w:rPr>
          <w:sz w:val="22"/>
        </w:rPr>
        <w:t>of</w:t>
      </w:r>
      <w:r>
        <w:rPr>
          <w:spacing w:val="-3"/>
          <w:sz w:val="22"/>
        </w:rPr>
        <w:t> </w:t>
      </w:r>
      <w:r>
        <w:rPr>
          <w:sz w:val="22"/>
        </w:rPr>
        <w:t>the</w:t>
      </w:r>
      <w:r>
        <w:rPr>
          <w:spacing w:val="-3"/>
          <w:sz w:val="22"/>
        </w:rPr>
        <w:t> </w:t>
      </w:r>
      <w:r>
        <w:rPr>
          <w:sz w:val="22"/>
        </w:rPr>
        <w:t>affordability</w:t>
      </w:r>
      <w:r>
        <w:rPr>
          <w:spacing w:val="-2"/>
          <w:sz w:val="22"/>
        </w:rPr>
        <w:t> </w:t>
      </w:r>
      <w:r>
        <w:rPr>
          <w:sz w:val="22"/>
        </w:rPr>
        <w:t>period</w:t>
      </w:r>
      <w:r>
        <w:rPr>
          <w:spacing w:val="-3"/>
          <w:sz w:val="22"/>
        </w:rPr>
        <w:t> </w:t>
      </w:r>
      <w:r>
        <w:rPr>
          <w:sz w:val="22"/>
        </w:rPr>
        <w:t>(e.g.</w:t>
      </w:r>
      <w:r>
        <w:rPr>
          <w:spacing w:val="-1"/>
          <w:sz w:val="22"/>
        </w:rPr>
        <w:t> </w:t>
      </w:r>
      <w:r>
        <w:rPr>
          <w:sz w:val="22"/>
        </w:rPr>
        <w:t>project-based</w:t>
      </w:r>
      <w:r>
        <w:rPr>
          <w:spacing w:val="-3"/>
          <w:sz w:val="22"/>
        </w:rPr>
        <w:t> </w:t>
      </w:r>
      <w:r>
        <w:rPr>
          <w:sz w:val="22"/>
        </w:rPr>
        <w:t>Section</w:t>
      </w:r>
      <w:r>
        <w:rPr>
          <w:spacing w:val="-3"/>
          <w:sz w:val="22"/>
        </w:rPr>
        <w:t> </w:t>
      </w:r>
      <w:r>
        <w:rPr>
          <w:sz w:val="22"/>
        </w:rPr>
        <w:t>8); </w:t>
      </w:r>
      <w:r>
        <w:rPr>
          <w:spacing w:val="-6"/>
          <w:sz w:val="22"/>
        </w:rPr>
        <w:t>or</w:t>
      </w:r>
    </w:p>
    <w:p>
      <w:pPr>
        <w:pStyle w:val="ListParagraph"/>
        <w:numPr>
          <w:ilvl w:val="0"/>
          <w:numId w:val="29"/>
        </w:numPr>
        <w:tabs>
          <w:tab w:pos="841" w:val="left" w:leader="none"/>
        </w:tabs>
        <w:spacing w:line="240" w:lineRule="auto" w:before="2" w:after="0"/>
        <w:ind w:left="840" w:right="0" w:hanging="361"/>
        <w:jc w:val="both"/>
        <w:rPr>
          <w:sz w:val="22"/>
        </w:rPr>
      </w:pPr>
      <w:r>
        <w:rPr>
          <w:sz w:val="22"/>
        </w:rPr>
        <w:t>7%</w:t>
      </w:r>
      <w:r>
        <w:rPr>
          <w:spacing w:val="-3"/>
          <w:sz w:val="22"/>
        </w:rPr>
        <w:t> </w:t>
      </w:r>
      <w:r>
        <w:rPr>
          <w:sz w:val="22"/>
        </w:rPr>
        <w:t>for</w:t>
      </w:r>
      <w:r>
        <w:rPr>
          <w:spacing w:val="-3"/>
          <w:sz w:val="22"/>
        </w:rPr>
        <w:t> </w:t>
      </w:r>
      <w:r>
        <w:rPr>
          <w:sz w:val="22"/>
        </w:rPr>
        <w:t>all</w:t>
      </w:r>
      <w:r>
        <w:rPr>
          <w:spacing w:val="-2"/>
          <w:sz w:val="22"/>
        </w:rPr>
        <w:t> </w:t>
      </w:r>
      <w:r>
        <w:rPr>
          <w:sz w:val="22"/>
        </w:rPr>
        <w:t>other</w:t>
      </w:r>
      <w:r>
        <w:rPr>
          <w:spacing w:val="-2"/>
          <w:sz w:val="22"/>
        </w:rPr>
        <w:t> projects.</w:t>
      </w:r>
    </w:p>
    <w:p>
      <w:pPr>
        <w:pStyle w:val="BodyText"/>
        <w:spacing w:before="8"/>
        <w:rPr>
          <w:sz w:val="21"/>
        </w:rPr>
      </w:pPr>
    </w:p>
    <w:p>
      <w:pPr>
        <w:pStyle w:val="BodyText"/>
        <w:ind w:left="120" w:right="153"/>
        <w:jc w:val="both"/>
      </w:pPr>
      <w:r>
        <w:rPr/>
        <w:t>As</w:t>
      </w:r>
      <w:r>
        <w:rPr>
          <w:spacing w:val="-6"/>
        </w:rPr>
        <w:t> </w:t>
      </w:r>
      <w:r>
        <w:rPr/>
        <w:t>noted</w:t>
      </w:r>
      <w:r>
        <w:rPr>
          <w:spacing w:val="-9"/>
        </w:rPr>
        <w:t> </w:t>
      </w:r>
      <w:r>
        <w:rPr/>
        <w:t>above,</w:t>
      </w:r>
      <w:r>
        <w:rPr>
          <w:spacing w:val="-7"/>
        </w:rPr>
        <w:t> </w:t>
      </w:r>
      <w:r>
        <w:rPr/>
        <w:t>the</w:t>
      </w:r>
      <w:r>
        <w:rPr>
          <w:spacing w:val="-9"/>
        </w:rPr>
        <w:t> </w:t>
      </w:r>
      <w:r>
        <w:rPr/>
        <w:t>minimum</w:t>
      </w:r>
      <w:r>
        <w:rPr>
          <w:spacing w:val="-8"/>
        </w:rPr>
        <w:t> </w:t>
      </w:r>
      <w:r>
        <w:rPr/>
        <w:t>vacancy</w:t>
      </w:r>
      <w:r>
        <w:rPr>
          <w:spacing w:val="-8"/>
        </w:rPr>
        <w:t> </w:t>
      </w:r>
      <w:r>
        <w:rPr/>
        <w:t>rate</w:t>
      </w:r>
      <w:r>
        <w:rPr>
          <w:spacing w:val="-9"/>
        </w:rPr>
        <w:t> </w:t>
      </w:r>
      <w:r>
        <w:rPr/>
        <w:t>will</w:t>
      </w:r>
      <w:r>
        <w:rPr>
          <w:spacing w:val="-7"/>
        </w:rPr>
        <w:t> </w:t>
      </w:r>
      <w:r>
        <w:rPr/>
        <w:t>be</w:t>
      </w:r>
      <w:r>
        <w:rPr>
          <w:spacing w:val="-6"/>
        </w:rPr>
        <w:t> </w:t>
      </w:r>
      <w:r>
        <w:rPr/>
        <w:t>increased</w:t>
      </w:r>
      <w:r>
        <w:rPr>
          <w:spacing w:val="-9"/>
        </w:rPr>
        <w:t> </w:t>
      </w:r>
      <w:r>
        <w:rPr/>
        <w:t>by</w:t>
      </w:r>
      <w:r>
        <w:rPr>
          <w:spacing w:val="-8"/>
        </w:rPr>
        <w:t> </w:t>
      </w:r>
      <w:r>
        <w:rPr/>
        <w:t>2.5%</w:t>
      </w:r>
      <w:r>
        <w:rPr>
          <w:spacing w:val="-6"/>
        </w:rPr>
        <w:t> </w:t>
      </w:r>
      <w:r>
        <w:rPr/>
        <w:t>if</w:t>
      </w:r>
      <w:r>
        <w:rPr>
          <w:spacing w:val="-7"/>
        </w:rPr>
        <w:t> </w:t>
      </w:r>
      <w:r>
        <w:rPr/>
        <w:t>budgeted</w:t>
      </w:r>
      <w:r>
        <w:rPr>
          <w:spacing w:val="-6"/>
        </w:rPr>
        <w:t> </w:t>
      </w:r>
      <w:r>
        <w:rPr/>
        <w:t>gross</w:t>
      </w:r>
      <w:r>
        <w:rPr>
          <w:spacing w:val="-8"/>
        </w:rPr>
        <w:t> </w:t>
      </w:r>
      <w:r>
        <w:rPr/>
        <w:t>rents</w:t>
      </w:r>
      <w:r>
        <w:rPr>
          <w:spacing w:val="-8"/>
        </w:rPr>
        <w:t> </w:t>
      </w:r>
      <w:r>
        <w:rPr/>
        <w:t>are at the applicable regulatory maximums.</w:t>
      </w:r>
    </w:p>
    <w:p>
      <w:pPr>
        <w:pStyle w:val="BodyText"/>
        <w:spacing w:before="2"/>
      </w:pPr>
    </w:p>
    <w:p>
      <w:pPr>
        <w:pStyle w:val="BodyText"/>
        <w:spacing w:line="252" w:lineRule="exact"/>
        <w:ind w:left="120"/>
        <w:jc w:val="both"/>
      </w:pPr>
      <w:r>
        <w:rPr/>
        <w:pict>
          <v:shape style="position:absolute;margin-left:90.065002pt;margin-top:11.768588pt;width:395.3pt;height:419pt;mso-position-horizontal-relative:page;mso-position-vertical-relative:paragraph;z-index:-17677824" id="docshape131" coordorigin="1801,235" coordsize="7906,8380" path="m4498,7499l4492,7426,4477,7348,4455,7265,4432,7196,4403,7124,4367,7049,4325,6971,4276,6890,4237,6831,4200,6780,4200,7466,4197,7522,4186,7579,4167,7636,4138,7696,4097,7759,4044,7825,3979,7894,3674,8200,2216,6742,2517,6441,2598,6365,2672,6305,2740,6262,2801,6235,2868,6221,2941,6217,3020,6223,3105,6241,3195,6270,3255,6296,3317,6328,3380,6367,3446,6412,3514,6464,3584,6522,3656,6586,3729,6658,3789,6719,3845,6779,3896,6838,3943,6896,3986,6953,4025,7008,4059,7062,4101,7137,4136,7209,4163,7278,4183,7345,4196,7410,4200,7466,4200,6780,4194,6771,4148,6711,4098,6651,4045,6590,3989,6528,3929,6466,3865,6404,3801,6346,3737,6291,3673,6239,3643,6217,3609,6191,3546,6147,3482,6106,3419,6068,3346,6030,3274,5998,3203,5971,3132,5948,3062,5931,2992,5919,2923,5912,2850,5911,2779,5917,2709,5932,2642,5955,2577,5986,2528,6014,2476,6051,2420,6096,2359,6151,2294,6213,1801,6706,3710,8615,4124,8200,4226,8098,4287,8033,4341,7968,4386,7902,4424,7835,4454,7768,4476,7702,4491,7635,4498,7568,4498,7499xm6418,5906l6056,5778,5650,5635,5561,5606,5475,5582,5393,5563,5365,5558,5314,5549,5239,5539,5193,5537,5143,5540,5089,5547,5030,5558,5073,5488,5109,5419,5136,5350,5154,5281,5164,5212,5165,5144,5157,5076,5139,4998,5111,4922,5075,4848,5030,4775,4976,4704,4956,4681,4913,4635,4872,4597,4872,5155,4868,5210,4854,5265,4830,5321,4794,5380,4747,5441,4687,5505,4280,5912,3649,5281,4102,4828,4166,4771,4229,4727,4293,4698,4358,4683,4422,4681,4501,4697,4577,4726,4649,4771,4718,4831,4761,4878,4797,4929,4827,4983,4851,5039,4867,5098,4872,5155,4872,4597,4849,4576,4782,4523,4713,4478,4641,4439,4566,4407,4474,4379,4386,4366,4303,4368,4225,4384,4163,4409,4098,4446,4030,4494,3958,4553,3883,4624,3248,5259,5157,7167,5346,6978,4499,6131,4718,5912,4753,5877,4783,5850,4810,5829,4833,5814,4863,5801,4896,5790,4932,5782,4971,5778,5014,5778,5066,5783,5125,5794,5194,5810,5256,5828,5328,5848,5407,5873,5496,5903,6180,6144,6418,5906xm7780,4544l7415,4349,6555,3894,6555,4201,6070,4687,6030,4615,5989,4544,5748,4113,5708,4041,5668,3970,5629,3904,5590,3840,5550,3776,5509,3713,5467,3650,5424,3589,5380,3528,5436,3564,5498,3602,5564,3642,5635,3684,5792,3774,6555,4201,6555,3894,5862,3528,5286,3221,5082,3425,5277,3776,5316,3846,5701,4544,6207,5463,6441,5883,6642,5682,6565,5549,6298,5081,6221,4947,6481,4687,6820,4349,7173,4544,7565,4759,7780,4544xm8131,4193l7264,3326,7936,2654,7711,2429,7039,3101,6448,2510,7224,1734,6999,1509,6033,2474,7941,4383,8131,4193xm9707,2617l8024,934,8497,461,8272,235,7138,1370,7363,1595,7834,1124,9517,2807,9707,2617xe" filled="true" fillcolor="#c0c0c0" stroked="false">
            <v:path arrowok="t"/>
            <v:fill opacity="32896f" type="solid"/>
            <w10:wrap type="none"/>
          </v:shape>
        </w:pict>
      </w:r>
      <w:r>
        <w:rPr/>
        <w:t>Operating</w:t>
      </w:r>
      <w:r>
        <w:rPr>
          <w:spacing w:val="-8"/>
        </w:rPr>
        <w:t> </w:t>
      </w:r>
      <w:r>
        <w:rPr>
          <w:spacing w:val="-4"/>
        </w:rPr>
        <w:t>Costs</w:t>
      </w:r>
    </w:p>
    <w:p>
      <w:pPr>
        <w:pStyle w:val="BodyText"/>
        <w:ind w:left="120" w:right="152"/>
        <w:jc w:val="both"/>
      </w:pPr>
      <w:r>
        <w:rPr/>
        <w:t>The</w:t>
      </w:r>
      <w:r>
        <w:rPr>
          <w:spacing w:val="-14"/>
        </w:rPr>
        <w:t> </w:t>
      </w:r>
      <w:r>
        <w:rPr/>
        <w:t>City</w:t>
      </w:r>
      <w:r>
        <w:rPr>
          <w:spacing w:val="-13"/>
        </w:rPr>
        <w:t> </w:t>
      </w:r>
      <w:r>
        <w:rPr/>
        <w:t>will</w:t>
      </w:r>
      <w:r>
        <w:rPr>
          <w:spacing w:val="-14"/>
        </w:rPr>
        <w:t> </w:t>
      </w:r>
      <w:r>
        <w:rPr/>
        <w:t>review</w:t>
      </w:r>
      <w:r>
        <w:rPr>
          <w:spacing w:val="-14"/>
        </w:rPr>
        <w:t> </w:t>
      </w:r>
      <w:r>
        <w:rPr/>
        <w:t>an</w:t>
      </w:r>
      <w:r>
        <w:rPr>
          <w:spacing w:val="-14"/>
        </w:rPr>
        <w:t> </w:t>
      </w:r>
      <w:r>
        <w:rPr/>
        <w:t>applicant’s</w:t>
      </w:r>
      <w:r>
        <w:rPr>
          <w:spacing w:val="-13"/>
        </w:rPr>
        <w:t> </w:t>
      </w:r>
      <w:r>
        <w:rPr/>
        <w:t>projection</w:t>
      </w:r>
      <w:r>
        <w:rPr>
          <w:spacing w:val="-14"/>
        </w:rPr>
        <w:t> </w:t>
      </w:r>
      <w:r>
        <w:rPr/>
        <w:t>of</w:t>
      </w:r>
      <w:r>
        <w:rPr>
          <w:spacing w:val="-12"/>
        </w:rPr>
        <w:t> </w:t>
      </w:r>
      <w:r>
        <w:rPr/>
        <w:t>operating</w:t>
      </w:r>
      <w:r>
        <w:rPr>
          <w:spacing w:val="-14"/>
        </w:rPr>
        <w:t> </w:t>
      </w:r>
      <w:r>
        <w:rPr/>
        <w:t>expenses</w:t>
      </w:r>
      <w:r>
        <w:rPr>
          <w:spacing w:val="-16"/>
        </w:rPr>
        <w:t> </w:t>
      </w:r>
      <w:r>
        <w:rPr/>
        <w:t>to</w:t>
      </w:r>
      <w:r>
        <w:rPr>
          <w:spacing w:val="-13"/>
        </w:rPr>
        <w:t> </w:t>
      </w:r>
      <w:r>
        <w:rPr/>
        <w:t>ensure</w:t>
      </w:r>
      <w:r>
        <w:rPr>
          <w:spacing w:val="-14"/>
        </w:rPr>
        <w:t> </w:t>
      </w:r>
      <w:r>
        <w:rPr/>
        <w:t>they</w:t>
      </w:r>
      <w:r>
        <w:rPr>
          <w:spacing w:val="-13"/>
        </w:rPr>
        <w:t> </w:t>
      </w:r>
      <w:r>
        <w:rPr/>
        <w:t>are</w:t>
      </w:r>
      <w:r>
        <w:rPr>
          <w:spacing w:val="-16"/>
        </w:rPr>
        <w:t> </w:t>
      </w:r>
      <w:r>
        <w:rPr/>
        <w:t>reasonable and adequate to sustain ongoing operations of the project through the affordability period. In evaluating</w:t>
      </w:r>
      <w:r>
        <w:rPr>
          <w:spacing w:val="-11"/>
        </w:rPr>
        <w:t> </w:t>
      </w:r>
      <w:r>
        <w:rPr/>
        <w:t>a</w:t>
      </w:r>
      <w:r>
        <w:rPr>
          <w:spacing w:val="-11"/>
        </w:rPr>
        <w:t> </w:t>
      </w:r>
      <w:r>
        <w:rPr/>
        <w:t>proposed</w:t>
      </w:r>
      <w:r>
        <w:rPr>
          <w:spacing w:val="-11"/>
        </w:rPr>
        <w:t> </w:t>
      </w:r>
      <w:r>
        <w:rPr/>
        <w:t>operating</w:t>
      </w:r>
      <w:r>
        <w:rPr>
          <w:spacing w:val="-11"/>
        </w:rPr>
        <w:t> </w:t>
      </w:r>
      <w:r>
        <w:rPr/>
        <w:t>budget,</w:t>
      </w:r>
      <w:r>
        <w:rPr>
          <w:spacing w:val="-12"/>
        </w:rPr>
        <w:t> </w:t>
      </w:r>
      <w:r>
        <w:rPr/>
        <w:t>the</w:t>
      </w:r>
      <w:r>
        <w:rPr>
          <w:spacing w:val="-14"/>
        </w:rPr>
        <w:t> </w:t>
      </w:r>
      <w:r>
        <w:rPr/>
        <w:t>City</w:t>
      </w:r>
      <w:r>
        <w:rPr>
          <w:spacing w:val="-13"/>
        </w:rPr>
        <w:t> </w:t>
      </w:r>
      <w:r>
        <w:rPr/>
        <w:t>will</w:t>
      </w:r>
      <w:r>
        <w:rPr>
          <w:spacing w:val="-12"/>
        </w:rPr>
        <w:t> </w:t>
      </w:r>
      <w:r>
        <w:rPr/>
        <w:t>compare</w:t>
      </w:r>
      <w:r>
        <w:rPr>
          <w:spacing w:val="-11"/>
        </w:rPr>
        <w:t> </w:t>
      </w:r>
      <w:r>
        <w:rPr/>
        <w:t>projects</w:t>
      </w:r>
      <w:r>
        <w:rPr>
          <w:spacing w:val="-11"/>
        </w:rPr>
        <w:t> </w:t>
      </w:r>
      <w:r>
        <w:rPr/>
        <w:t>costs</w:t>
      </w:r>
      <w:r>
        <w:rPr>
          <w:spacing w:val="-13"/>
        </w:rPr>
        <w:t> </w:t>
      </w:r>
      <w:r>
        <w:rPr/>
        <w:t>to</w:t>
      </w:r>
      <w:r>
        <w:rPr>
          <w:spacing w:val="-11"/>
        </w:rPr>
        <w:t> </w:t>
      </w:r>
      <w:r>
        <w:rPr/>
        <w:t>i)</w:t>
      </w:r>
      <w:r>
        <w:rPr>
          <w:spacing w:val="-12"/>
        </w:rPr>
        <w:t> </w:t>
      </w:r>
      <w:r>
        <w:rPr/>
        <w:t>actual</w:t>
      </w:r>
      <w:r>
        <w:rPr>
          <w:spacing w:val="-12"/>
        </w:rPr>
        <w:t> </w:t>
      </w:r>
      <w:r>
        <w:rPr/>
        <w:t>operating expenses of comparable projects in the applicant’s existing portfolio of real-estate owned (insomuch</w:t>
      </w:r>
      <w:r>
        <w:rPr>
          <w:spacing w:val="-11"/>
        </w:rPr>
        <w:t> </w:t>
      </w:r>
      <w:r>
        <w:rPr/>
        <w:t>as</w:t>
      </w:r>
      <w:r>
        <w:rPr>
          <w:spacing w:val="-13"/>
        </w:rPr>
        <w:t> </w:t>
      </w:r>
      <w:r>
        <w:rPr/>
        <w:t>possible,</w:t>
      </w:r>
      <w:r>
        <w:rPr>
          <w:spacing w:val="-10"/>
        </w:rPr>
        <w:t> </w:t>
      </w:r>
      <w:r>
        <w:rPr/>
        <w:t>comparable</w:t>
      </w:r>
      <w:r>
        <w:rPr>
          <w:spacing w:val="-11"/>
        </w:rPr>
        <w:t> </w:t>
      </w:r>
      <w:r>
        <w:rPr/>
        <w:t>projects</w:t>
      </w:r>
      <w:r>
        <w:rPr>
          <w:spacing w:val="-11"/>
        </w:rPr>
        <w:t> </w:t>
      </w:r>
      <w:r>
        <w:rPr/>
        <w:t>will</w:t>
      </w:r>
      <w:r>
        <w:rPr>
          <w:spacing w:val="-12"/>
        </w:rPr>
        <w:t> </w:t>
      </w:r>
      <w:r>
        <w:rPr/>
        <w:t>be</w:t>
      </w:r>
      <w:r>
        <w:rPr>
          <w:spacing w:val="-11"/>
        </w:rPr>
        <w:t> </w:t>
      </w:r>
      <w:r>
        <w:rPr/>
        <w:t>in</w:t>
      </w:r>
      <w:r>
        <w:rPr>
          <w:spacing w:val="-11"/>
        </w:rPr>
        <w:t> </w:t>
      </w:r>
      <w:r>
        <w:rPr/>
        <w:t>the</w:t>
      </w:r>
      <w:r>
        <w:rPr>
          <w:spacing w:val="-11"/>
        </w:rPr>
        <w:t> </w:t>
      </w:r>
      <w:r>
        <w:rPr/>
        <w:t>same</w:t>
      </w:r>
      <w:r>
        <w:rPr>
          <w:spacing w:val="-14"/>
        </w:rPr>
        <w:t> </w:t>
      </w:r>
      <w:r>
        <w:rPr/>
        <w:t>vicinity</w:t>
      </w:r>
      <w:r>
        <w:rPr>
          <w:spacing w:val="-11"/>
        </w:rPr>
        <w:t> </w:t>
      </w:r>
      <w:r>
        <w:rPr/>
        <w:t>and</w:t>
      </w:r>
      <w:r>
        <w:rPr>
          <w:spacing w:val="-14"/>
        </w:rPr>
        <w:t> </w:t>
      </w:r>
      <w:r>
        <w:rPr/>
        <w:t>operated</w:t>
      </w:r>
      <w:r>
        <w:rPr>
          <w:spacing w:val="-11"/>
        </w:rPr>
        <w:t> </w:t>
      </w:r>
      <w:r>
        <w:rPr/>
        <w:t>by</w:t>
      </w:r>
      <w:r>
        <w:rPr>
          <w:spacing w:val="-11"/>
        </w:rPr>
        <w:t> </w:t>
      </w:r>
      <w:r>
        <w:rPr/>
        <w:t>the</w:t>
      </w:r>
      <w:r>
        <w:rPr>
          <w:spacing w:val="-11"/>
        </w:rPr>
        <w:t> </w:t>
      </w:r>
      <w:r>
        <w:rPr/>
        <w:t>same management company); ii) actual operating expenses of other comparable projects in the City’s portfolio; iii) data available on the operating costs of affordable housing in the TDHCA portfolio; and/or iv) minimum per-unit, per-year allowances established by the City through periodic RFPs for rental housing.</w:t>
      </w:r>
    </w:p>
    <w:p>
      <w:pPr>
        <w:pStyle w:val="BodyText"/>
        <w:spacing w:before="10"/>
        <w:rPr>
          <w:sz w:val="21"/>
        </w:rPr>
      </w:pPr>
    </w:p>
    <w:p>
      <w:pPr>
        <w:pStyle w:val="BodyText"/>
        <w:ind w:left="120" w:right="155"/>
        <w:jc w:val="both"/>
      </w:pPr>
      <w:r>
        <w:rPr/>
        <w:t>For purposes of the long-term operating proforma, operating expenses, including reserve deposits, will be inflated at no less than 3% per year. The City reserves the right to “stress” proposals for underwriting purposes to assess the impact of higher operating cost factors, such as</w:t>
      </w:r>
      <w:r>
        <w:rPr>
          <w:spacing w:val="-16"/>
        </w:rPr>
        <w:t> </w:t>
      </w:r>
      <w:r>
        <w:rPr/>
        <w:t>modeling</w:t>
      </w:r>
      <w:r>
        <w:rPr>
          <w:spacing w:val="-15"/>
        </w:rPr>
        <w:t> </w:t>
      </w:r>
      <w:r>
        <w:rPr/>
        <w:t>the</w:t>
      </w:r>
      <w:r>
        <w:rPr>
          <w:spacing w:val="-15"/>
        </w:rPr>
        <w:t> </w:t>
      </w:r>
      <w:r>
        <w:rPr/>
        <w:t>impact</w:t>
      </w:r>
      <w:r>
        <w:rPr>
          <w:spacing w:val="-16"/>
        </w:rPr>
        <w:t> </w:t>
      </w:r>
      <w:r>
        <w:rPr/>
        <w:t>of</w:t>
      </w:r>
      <w:r>
        <w:rPr>
          <w:spacing w:val="-14"/>
        </w:rPr>
        <w:t> </w:t>
      </w:r>
      <w:r>
        <w:rPr/>
        <w:t>higher</w:t>
      </w:r>
      <w:r>
        <w:rPr>
          <w:spacing w:val="-15"/>
        </w:rPr>
        <w:t> </w:t>
      </w:r>
      <w:r>
        <w:rPr/>
        <w:t>inflation</w:t>
      </w:r>
      <w:r>
        <w:rPr>
          <w:spacing w:val="-16"/>
        </w:rPr>
        <w:t> </w:t>
      </w:r>
      <w:r>
        <w:rPr/>
        <w:t>rates</w:t>
      </w:r>
      <w:r>
        <w:rPr>
          <w:spacing w:val="-15"/>
        </w:rPr>
        <w:t> </w:t>
      </w:r>
      <w:r>
        <w:rPr/>
        <w:t>in</w:t>
      </w:r>
      <w:r>
        <w:rPr>
          <w:spacing w:val="-15"/>
        </w:rPr>
        <w:t> </w:t>
      </w:r>
      <w:r>
        <w:rPr/>
        <w:t>general</w:t>
      </w:r>
      <w:r>
        <w:rPr>
          <w:spacing w:val="-14"/>
        </w:rPr>
        <w:t> </w:t>
      </w:r>
      <w:r>
        <w:rPr/>
        <w:t>of</w:t>
      </w:r>
      <w:r>
        <w:rPr>
          <w:spacing w:val="-16"/>
        </w:rPr>
        <w:t> </w:t>
      </w:r>
      <w:r>
        <w:rPr/>
        <w:t>for</w:t>
      </w:r>
      <w:r>
        <w:rPr>
          <w:spacing w:val="-15"/>
        </w:rPr>
        <w:t> </w:t>
      </w:r>
      <w:r>
        <w:rPr/>
        <w:t>specific</w:t>
      </w:r>
      <w:r>
        <w:rPr>
          <w:spacing w:val="-13"/>
        </w:rPr>
        <w:t> </w:t>
      </w:r>
      <w:r>
        <w:rPr/>
        <w:t>items</w:t>
      </w:r>
      <w:r>
        <w:rPr>
          <w:spacing w:val="-14"/>
        </w:rPr>
        <w:t> </w:t>
      </w:r>
      <w:r>
        <w:rPr/>
        <w:t>of</w:t>
      </w:r>
      <w:r>
        <w:rPr>
          <w:spacing w:val="-12"/>
        </w:rPr>
        <w:t> </w:t>
      </w:r>
      <w:r>
        <w:rPr/>
        <w:t>cost</w:t>
      </w:r>
      <w:r>
        <w:rPr>
          <w:spacing w:val="-16"/>
        </w:rPr>
        <w:t> </w:t>
      </w:r>
      <w:r>
        <w:rPr/>
        <w:t>(for</w:t>
      </w:r>
      <w:r>
        <w:rPr>
          <w:spacing w:val="-15"/>
        </w:rPr>
        <w:t> </w:t>
      </w:r>
      <w:r>
        <w:rPr/>
        <w:t>example, assessing the impact of high rates of increase for insurance or development paid utility costs).</w:t>
      </w:r>
    </w:p>
    <w:p>
      <w:pPr>
        <w:pStyle w:val="BodyText"/>
        <w:spacing w:before="1"/>
      </w:pPr>
    </w:p>
    <w:p>
      <w:pPr>
        <w:pStyle w:val="BodyText"/>
        <w:spacing w:line="252" w:lineRule="exact"/>
        <w:ind w:left="120"/>
        <w:jc w:val="both"/>
      </w:pPr>
      <w:r>
        <w:rPr/>
        <w:t>Selected</w:t>
      </w:r>
      <w:r>
        <w:rPr>
          <w:spacing w:val="-6"/>
        </w:rPr>
        <w:t> </w:t>
      </w:r>
      <w:r>
        <w:rPr/>
        <w:t>Items</w:t>
      </w:r>
      <w:r>
        <w:rPr>
          <w:spacing w:val="-5"/>
        </w:rPr>
        <w:t> </w:t>
      </w:r>
      <w:r>
        <w:rPr/>
        <w:t>of</w:t>
      </w:r>
      <w:r>
        <w:rPr>
          <w:spacing w:val="-6"/>
        </w:rPr>
        <w:t> </w:t>
      </w:r>
      <w:r>
        <w:rPr/>
        <w:t>Operating</w:t>
      </w:r>
      <w:r>
        <w:rPr>
          <w:spacing w:val="-5"/>
        </w:rPr>
        <w:t> </w:t>
      </w:r>
      <w:r>
        <w:rPr>
          <w:spacing w:val="-4"/>
        </w:rPr>
        <w:t>Cost</w:t>
      </w:r>
    </w:p>
    <w:p>
      <w:pPr>
        <w:pStyle w:val="BodyText"/>
        <w:ind w:left="120" w:right="156"/>
        <w:jc w:val="both"/>
      </w:pPr>
      <w:r>
        <w:rPr>
          <w:i/>
        </w:rPr>
        <w:t>City HOME Monitoring Fee </w:t>
      </w:r>
      <w:r>
        <w:rPr/>
        <w:t>– Pursuant to 24 CFR 92.214(b)(1)(i), the City assesses an annual HOME monitoring fee. The operating budget for each project must include an allowance for the City’s annual HOME Monitoring Fee as specified in periodic RFPs issued by the City.</w:t>
      </w:r>
    </w:p>
    <w:p>
      <w:pPr>
        <w:pStyle w:val="BodyText"/>
      </w:pPr>
    </w:p>
    <w:p>
      <w:pPr>
        <w:pStyle w:val="BodyText"/>
        <w:ind w:left="120" w:right="155"/>
        <w:jc w:val="both"/>
      </w:pPr>
      <w:r>
        <w:rPr>
          <w:i/>
        </w:rPr>
        <w:t>Property Management Fees </w:t>
      </w:r>
      <w:r>
        <w:rPr/>
        <w:t>– An allowance of 5% of effective gross income (i.e. gross rent potential plus other revenues minus actual vacancy, bad debt, concessions, etc.) should be included. In</w:t>
      </w:r>
      <w:r>
        <w:rPr>
          <w:spacing w:val="-4"/>
        </w:rPr>
        <w:t> </w:t>
      </w:r>
      <w:r>
        <w:rPr/>
        <w:t>the</w:t>
      </w:r>
      <w:r>
        <w:rPr>
          <w:spacing w:val="-2"/>
        </w:rPr>
        <w:t> </w:t>
      </w:r>
      <w:r>
        <w:rPr/>
        <w:t>event a</w:t>
      </w:r>
      <w:r>
        <w:rPr>
          <w:spacing w:val="-2"/>
        </w:rPr>
        <w:t> </w:t>
      </w:r>
      <w:r>
        <w:rPr/>
        <w:t>lower management fee</w:t>
      </w:r>
      <w:r>
        <w:rPr>
          <w:spacing w:val="-2"/>
        </w:rPr>
        <w:t> </w:t>
      </w:r>
      <w:r>
        <w:rPr/>
        <w:t>is</w:t>
      </w:r>
      <w:r>
        <w:rPr>
          <w:spacing w:val="-1"/>
        </w:rPr>
        <w:t> </w:t>
      </w:r>
      <w:r>
        <w:rPr/>
        <w:t>proposed, the</w:t>
      </w:r>
      <w:r>
        <w:rPr>
          <w:spacing w:val="-2"/>
        </w:rPr>
        <w:t> </w:t>
      </w:r>
      <w:r>
        <w:rPr/>
        <w:t>City</w:t>
      </w:r>
      <w:r>
        <w:rPr>
          <w:spacing w:val="-1"/>
        </w:rPr>
        <w:t> </w:t>
      </w:r>
      <w:r>
        <w:rPr/>
        <w:t>will consider using</w:t>
      </w:r>
      <w:r>
        <w:rPr>
          <w:spacing w:val="-2"/>
        </w:rPr>
        <w:t> </w:t>
      </w:r>
      <w:r>
        <w:rPr/>
        <w:t>a</w:t>
      </w:r>
      <w:r>
        <w:rPr>
          <w:spacing w:val="-2"/>
        </w:rPr>
        <w:t> </w:t>
      </w:r>
      <w:r>
        <w:rPr/>
        <w:t>fee</w:t>
      </w:r>
      <w:r>
        <w:rPr>
          <w:spacing w:val="-2"/>
        </w:rPr>
        <w:t> </w:t>
      </w:r>
      <w:r>
        <w:rPr/>
        <w:t>as low</w:t>
      </w:r>
      <w:r>
        <w:rPr>
          <w:spacing w:val="-16"/>
        </w:rPr>
        <w:t> </w:t>
      </w:r>
      <w:r>
        <w:rPr/>
        <w:t>as</w:t>
      </w:r>
      <w:r>
        <w:rPr>
          <w:spacing w:val="-13"/>
        </w:rPr>
        <w:t> </w:t>
      </w:r>
      <w:r>
        <w:rPr/>
        <w:t>3%</w:t>
      </w:r>
      <w:r>
        <w:rPr>
          <w:spacing w:val="-15"/>
        </w:rPr>
        <w:t> </w:t>
      </w:r>
      <w:r>
        <w:rPr/>
        <w:t>provided</w:t>
      </w:r>
      <w:r>
        <w:rPr>
          <w:spacing w:val="-16"/>
        </w:rPr>
        <w:t> </w:t>
      </w:r>
      <w:r>
        <w:rPr/>
        <w:t>the</w:t>
      </w:r>
      <w:r>
        <w:rPr>
          <w:spacing w:val="-15"/>
        </w:rPr>
        <w:t> </w:t>
      </w:r>
      <w:r>
        <w:rPr/>
        <w:t>proposed</w:t>
      </w:r>
      <w:r>
        <w:rPr>
          <w:spacing w:val="-15"/>
        </w:rPr>
        <w:t> </w:t>
      </w:r>
      <w:r>
        <w:rPr/>
        <w:t>management</w:t>
      </w:r>
      <w:r>
        <w:rPr>
          <w:spacing w:val="-15"/>
        </w:rPr>
        <w:t> </w:t>
      </w:r>
      <w:r>
        <w:rPr/>
        <w:t>company</w:t>
      </w:r>
      <w:r>
        <w:rPr>
          <w:spacing w:val="-13"/>
        </w:rPr>
        <w:t> </w:t>
      </w:r>
      <w:r>
        <w:rPr/>
        <w:t>is</w:t>
      </w:r>
      <w:r>
        <w:rPr>
          <w:spacing w:val="-16"/>
        </w:rPr>
        <w:t> </w:t>
      </w:r>
      <w:r>
        <w:rPr/>
        <w:t>acceptable</w:t>
      </w:r>
      <w:r>
        <w:rPr>
          <w:spacing w:val="-13"/>
        </w:rPr>
        <w:t> </w:t>
      </w:r>
      <w:r>
        <w:rPr/>
        <w:t>to</w:t>
      </w:r>
      <w:r>
        <w:rPr>
          <w:spacing w:val="-16"/>
        </w:rPr>
        <w:t> </w:t>
      </w:r>
      <w:r>
        <w:rPr/>
        <w:t>the</w:t>
      </w:r>
      <w:r>
        <w:rPr>
          <w:spacing w:val="-13"/>
        </w:rPr>
        <w:t> </w:t>
      </w:r>
      <w:r>
        <w:rPr/>
        <w:t>City</w:t>
      </w:r>
      <w:r>
        <w:rPr>
          <w:spacing w:val="-13"/>
        </w:rPr>
        <w:t> </w:t>
      </w:r>
      <w:r>
        <w:rPr/>
        <w:t>and</w:t>
      </w:r>
      <w:r>
        <w:rPr>
          <w:spacing w:val="-16"/>
        </w:rPr>
        <w:t> </w:t>
      </w:r>
      <w:r>
        <w:rPr/>
        <w:t>has</w:t>
      </w:r>
      <w:r>
        <w:rPr>
          <w:spacing w:val="-12"/>
        </w:rPr>
        <w:t> </w:t>
      </w:r>
      <w:r>
        <w:rPr/>
        <w:t>agreed in writing to the lower fee.</w:t>
      </w:r>
    </w:p>
    <w:p>
      <w:pPr>
        <w:pStyle w:val="BodyText"/>
        <w:spacing w:before="10"/>
        <w:rPr>
          <w:sz w:val="21"/>
        </w:rPr>
      </w:pPr>
    </w:p>
    <w:p>
      <w:pPr>
        <w:pStyle w:val="BodyText"/>
        <w:ind w:left="120" w:right="155"/>
        <w:jc w:val="both"/>
      </w:pPr>
      <w:r>
        <w:rPr>
          <w:i/>
        </w:rPr>
        <w:t>Property Taxes </w:t>
      </w:r>
      <w:r>
        <w:rPr/>
        <w:t>– Applicants must provide detailed explanations of property tax projections and, as applicable, provide documentation that any anticipated partial</w:t>
      </w:r>
      <w:r>
        <w:rPr>
          <w:spacing w:val="-1"/>
        </w:rPr>
        <w:t> </w:t>
      </w:r>
      <w:r>
        <w:rPr/>
        <w:t>or</w:t>
      </w:r>
      <w:r>
        <w:rPr>
          <w:spacing w:val="-1"/>
        </w:rPr>
        <w:t> </w:t>
      </w:r>
      <w:r>
        <w:rPr/>
        <w:t>full</w:t>
      </w:r>
      <w:r>
        <w:rPr>
          <w:spacing w:val="-1"/>
        </w:rPr>
        <w:t> </w:t>
      </w:r>
      <w:r>
        <w:rPr/>
        <w:t>exemptions or payments in lieu of taxes (PILOT) have been approved by the appropriate tax assessor. In the absence of a</w:t>
      </w:r>
      <w:r>
        <w:rPr>
          <w:spacing w:val="-4"/>
        </w:rPr>
        <w:t> </w:t>
      </w:r>
      <w:r>
        <w:rPr/>
        <w:t>tax</w:t>
      </w:r>
      <w:r>
        <w:rPr>
          <w:spacing w:val="-6"/>
        </w:rPr>
        <w:t> </w:t>
      </w:r>
      <w:r>
        <w:rPr/>
        <w:t>exemption</w:t>
      </w:r>
      <w:r>
        <w:rPr>
          <w:spacing w:val="-4"/>
        </w:rPr>
        <w:t> </w:t>
      </w:r>
      <w:r>
        <w:rPr/>
        <w:t>or</w:t>
      </w:r>
      <w:r>
        <w:rPr>
          <w:spacing w:val="-3"/>
        </w:rPr>
        <w:t> </w:t>
      </w:r>
      <w:r>
        <w:rPr/>
        <w:t>PILOT,</w:t>
      </w:r>
      <w:r>
        <w:rPr>
          <w:spacing w:val="-5"/>
        </w:rPr>
        <w:t> </w:t>
      </w:r>
      <w:r>
        <w:rPr/>
        <w:t>the</w:t>
      </w:r>
      <w:r>
        <w:rPr>
          <w:spacing w:val="-4"/>
        </w:rPr>
        <w:t> </w:t>
      </w:r>
      <w:r>
        <w:rPr/>
        <w:t>operating</w:t>
      </w:r>
      <w:r>
        <w:rPr>
          <w:spacing w:val="-7"/>
        </w:rPr>
        <w:t> </w:t>
      </w:r>
      <w:r>
        <w:rPr/>
        <w:t>budget</w:t>
      </w:r>
      <w:r>
        <w:rPr>
          <w:spacing w:val="-7"/>
        </w:rPr>
        <w:t> </w:t>
      </w:r>
      <w:r>
        <w:rPr/>
        <w:t>must</w:t>
      </w:r>
      <w:r>
        <w:rPr>
          <w:spacing w:val="-5"/>
        </w:rPr>
        <w:t> </w:t>
      </w:r>
      <w:r>
        <w:rPr/>
        <w:t>provide</w:t>
      </w:r>
      <w:r>
        <w:rPr>
          <w:spacing w:val="-4"/>
        </w:rPr>
        <w:t> </w:t>
      </w:r>
      <w:r>
        <w:rPr/>
        <w:t>for</w:t>
      </w:r>
      <w:r>
        <w:rPr>
          <w:spacing w:val="-3"/>
        </w:rPr>
        <w:t> </w:t>
      </w:r>
      <w:r>
        <w:rPr/>
        <w:t>a</w:t>
      </w:r>
      <w:r>
        <w:rPr>
          <w:spacing w:val="-6"/>
        </w:rPr>
        <w:t> </w:t>
      </w:r>
      <w:r>
        <w:rPr/>
        <w:t>tax</w:t>
      </w:r>
      <w:r>
        <w:rPr>
          <w:spacing w:val="-6"/>
        </w:rPr>
        <w:t> </w:t>
      </w:r>
      <w:r>
        <w:rPr/>
        <w:t>rate</w:t>
      </w:r>
      <w:r>
        <w:rPr>
          <w:spacing w:val="-4"/>
        </w:rPr>
        <w:t> </w:t>
      </w:r>
      <w:r>
        <w:rPr/>
        <w:t>equal</w:t>
      </w:r>
      <w:r>
        <w:rPr>
          <w:spacing w:val="-5"/>
        </w:rPr>
        <w:t> </w:t>
      </w:r>
      <w:r>
        <w:rPr/>
        <w:t>to</w:t>
      </w:r>
      <w:r>
        <w:rPr>
          <w:spacing w:val="-6"/>
        </w:rPr>
        <w:t> </w:t>
      </w:r>
      <w:r>
        <w:rPr/>
        <w:t>1.25%</w:t>
      </w:r>
      <w:r>
        <w:rPr>
          <w:spacing w:val="-5"/>
        </w:rPr>
        <w:t> </w:t>
      </w:r>
      <w:r>
        <w:rPr/>
        <w:t>of</w:t>
      </w:r>
      <w:r>
        <w:rPr>
          <w:spacing w:val="-5"/>
        </w:rPr>
        <w:t> </w:t>
      </w:r>
      <w:r>
        <w:rPr/>
        <w:t>the market value of the property or the City, at its option, may require confirmation from the tax assessor of the applicant’s projection.</w:t>
      </w:r>
    </w:p>
    <w:p>
      <w:pPr>
        <w:pStyle w:val="BodyText"/>
      </w:pPr>
    </w:p>
    <w:p>
      <w:pPr>
        <w:spacing w:before="0"/>
        <w:ind w:left="119" w:right="0" w:firstLine="0"/>
        <w:jc w:val="left"/>
        <w:rPr>
          <w:sz w:val="22"/>
        </w:rPr>
      </w:pPr>
      <w:r>
        <w:rPr>
          <w:i/>
          <w:sz w:val="22"/>
        </w:rPr>
        <w:t>Replacement</w:t>
      </w:r>
      <w:r>
        <w:rPr>
          <w:i/>
          <w:spacing w:val="38"/>
          <w:sz w:val="22"/>
        </w:rPr>
        <w:t> </w:t>
      </w:r>
      <w:r>
        <w:rPr>
          <w:i/>
          <w:sz w:val="22"/>
        </w:rPr>
        <w:t>Reserve</w:t>
      </w:r>
      <w:r>
        <w:rPr>
          <w:i/>
          <w:spacing w:val="35"/>
          <w:sz w:val="22"/>
        </w:rPr>
        <w:t> </w:t>
      </w:r>
      <w:r>
        <w:rPr>
          <w:i/>
          <w:sz w:val="22"/>
        </w:rPr>
        <w:t>Deposits</w:t>
      </w:r>
      <w:r>
        <w:rPr>
          <w:i/>
          <w:spacing w:val="38"/>
          <w:sz w:val="22"/>
        </w:rPr>
        <w:t> </w:t>
      </w:r>
      <w:r>
        <w:rPr>
          <w:sz w:val="22"/>
        </w:rPr>
        <w:t>–</w:t>
      </w:r>
      <w:r>
        <w:rPr>
          <w:spacing w:val="37"/>
          <w:sz w:val="22"/>
        </w:rPr>
        <w:t> </w:t>
      </w:r>
      <w:r>
        <w:rPr>
          <w:sz w:val="22"/>
        </w:rPr>
        <w:t>The</w:t>
      </w:r>
      <w:r>
        <w:rPr>
          <w:spacing w:val="35"/>
          <w:sz w:val="22"/>
        </w:rPr>
        <w:t> </w:t>
      </w:r>
      <w:r>
        <w:rPr>
          <w:sz w:val="22"/>
        </w:rPr>
        <w:t>operating</w:t>
      </w:r>
      <w:r>
        <w:rPr>
          <w:spacing w:val="37"/>
          <w:sz w:val="22"/>
        </w:rPr>
        <w:t> </w:t>
      </w:r>
      <w:r>
        <w:rPr>
          <w:sz w:val="22"/>
        </w:rPr>
        <w:t>budget</w:t>
      </w:r>
      <w:r>
        <w:rPr>
          <w:spacing w:val="36"/>
          <w:sz w:val="22"/>
        </w:rPr>
        <w:t> </w:t>
      </w:r>
      <w:r>
        <w:rPr>
          <w:sz w:val="22"/>
        </w:rPr>
        <w:t>must</w:t>
      </w:r>
      <w:r>
        <w:rPr>
          <w:spacing w:val="39"/>
          <w:sz w:val="22"/>
        </w:rPr>
        <w:t> </w:t>
      </w:r>
      <w:r>
        <w:rPr>
          <w:sz w:val="22"/>
        </w:rPr>
        <w:t>include</w:t>
      </w:r>
      <w:r>
        <w:rPr>
          <w:spacing w:val="35"/>
          <w:sz w:val="22"/>
        </w:rPr>
        <w:t> </w:t>
      </w:r>
      <w:r>
        <w:rPr>
          <w:sz w:val="22"/>
        </w:rPr>
        <w:t>minimum</w:t>
      </w:r>
      <w:r>
        <w:rPr>
          <w:spacing w:val="36"/>
          <w:sz w:val="22"/>
        </w:rPr>
        <w:t> </w:t>
      </w:r>
      <w:r>
        <w:rPr>
          <w:sz w:val="22"/>
        </w:rPr>
        <w:t>replacement reserve deposits of:</w:t>
      </w:r>
    </w:p>
    <w:p>
      <w:pPr>
        <w:pStyle w:val="ListParagraph"/>
        <w:numPr>
          <w:ilvl w:val="0"/>
          <w:numId w:val="29"/>
        </w:numPr>
        <w:tabs>
          <w:tab w:pos="840" w:val="left" w:leader="none"/>
          <w:tab w:pos="841" w:val="left" w:leader="none"/>
        </w:tabs>
        <w:spacing w:line="269" w:lineRule="exact" w:before="0" w:after="0"/>
        <w:ind w:left="840" w:right="0" w:hanging="361"/>
        <w:jc w:val="left"/>
        <w:rPr>
          <w:sz w:val="22"/>
        </w:rPr>
      </w:pPr>
      <w:r>
        <w:rPr>
          <w:sz w:val="22"/>
        </w:rPr>
        <w:t>New</w:t>
      </w:r>
      <w:r>
        <w:rPr>
          <w:spacing w:val="-7"/>
          <w:sz w:val="22"/>
        </w:rPr>
        <w:t> </w:t>
      </w:r>
      <w:r>
        <w:rPr>
          <w:sz w:val="22"/>
        </w:rPr>
        <w:t>Construction</w:t>
      </w:r>
      <w:r>
        <w:rPr>
          <w:spacing w:val="-7"/>
          <w:sz w:val="22"/>
        </w:rPr>
        <w:t> </w:t>
      </w:r>
      <w:r>
        <w:rPr>
          <w:sz w:val="22"/>
        </w:rPr>
        <w:t>Family:</w:t>
      </w:r>
      <w:r>
        <w:rPr>
          <w:spacing w:val="-5"/>
          <w:sz w:val="22"/>
        </w:rPr>
        <w:t> </w:t>
      </w:r>
      <w:r>
        <w:rPr>
          <w:sz w:val="22"/>
        </w:rPr>
        <w:t>$300</w:t>
      </w:r>
      <w:r>
        <w:rPr>
          <w:spacing w:val="-9"/>
          <w:sz w:val="22"/>
        </w:rPr>
        <w:t> </w:t>
      </w:r>
      <w:r>
        <w:rPr>
          <w:sz w:val="22"/>
        </w:rPr>
        <w:t>per-unit,</w:t>
      </w:r>
      <w:r>
        <w:rPr>
          <w:spacing w:val="-6"/>
          <w:sz w:val="22"/>
        </w:rPr>
        <w:t> </w:t>
      </w:r>
      <w:r>
        <w:rPr>
          <w:sz w:val="22"/>
        </w:rPr>
        <w:t>per-</w:t>
      </w:r>
      <w:r>
        <w:rPr>
          <w:spacing w:val="-4"/>
          <w:sz w:val="22"/>
        </w:rPr>
        <w:t>year</w:t>
      </w:r>
    </w:p>
    <w:p>
      <w:pPr>
        <w:pStyle w:val="ListParagraph"/>
        <w:numPr>
          <w:ilvl w:val="0"/>
          <w:numId w:val="29"/>
        </w:numPr>
        <w:tabs>
          <w:tab w:pos="840" w:val="left" w:leader="none"/>
          <w:tab w:pos="841" w:val="left" w:leader="none"/>
        </w:tabs>
        <w:spacing w:line="268" w:lineRule="exact" w:before="0" w:after="0"/>
        <w:ind w:left="840" w:right="0" w:hanging="361"/>
        <w:jc w:val="left"/>
        <w:rPr>
          <w:sz w:val="22"/>
        </w:rPr>
      </w:pPr>
      <w:r>
        <w:rPr>
          <w:sz w:val="22"/>
        </w:rPr>
        <w:t>New</w:t>
      </w:r>
      <w:r>
        <w:rPr>
          <w:spacing w:val="-7"/>
          <w:sz w:val="22"/>
        </w:rPr>
        <w:t> </w:t>
      </w:r>
      <w:r>
        <w:rPr>
          <w:sz w:val="22"/>
        </w:rPr>
        <w:t>Construction</w:t>
      </w:r>
      <w:r>
        <w:rPr>
          <w:spacing w:val="-7"/>
          <w:sz w:val="22"/>
        </w:rPr>
        <w:t> </w:t>
      </w:r>
      <w:r>
        <w:rPr>
          <w:sz w:val="22"/>
        </w:rPr>
        <w:t>Senior:</w:t>
      </w:r>
      <w:r>
        <w:rPr>
          <w:spacing w:val="-5"/>
          <w:sz w:val="22"/>
        </w:rPr>
        <w:t> </w:t>
      </w:r>
      <w:r>
        <w:rPr>
          <w:sz w:val="22"/>
        </w:rPr>
        <w:t>$250</w:t>
      </w:r>
      <w:r>
        <w:rPr>
          <w:spacing w:val="-9"/>
          <w:sz w:val="22"/>
        </w:rPr>
        <w:t> </w:t>
      </w:r>
      <w:r>
        <w:rPr>
          <w:sz w:val="22"/>
        </w:rPr>
        <w:t>per-unit,</w:t>
      </w:r>
      <w:r>
        <w:rPr>
          <w:spacing w:val="-6"/>
          <w:sz w:val="22"/>
        </w:rPr>
        <w:t> </w:t>
      </w:r>
      <w:r>
        <w:rPr>
          <w:sz w:val="22"/>
        </w:rPr>
        <w:t>per-</w:t>
      </w:r>
      <w:r>
        <w:rPr>
          <w:spacing w:val="-4"/>
          <w:sz w:val="22"/>
        </w:rPr>
        <w:t>year</w:t>
      </w:r>
    </w:p>
    <w:p>
      <w:pPr>
        <w:pStyle w:val="ListParagraph"/>
        <w:numPr>
          <w:ilvl w:val="0"/>
          <w:numId w:val="29"/>
        </w:numPr>
        <w:tabs>
          <w:tab w:pos="840" w:val="left" w:leader="none"/>
          <w:tab w:pos="841" w:val="left" w:leader="none"/>
        </w:tabs>
        <w:spacing w:line="237" w:lineRule="auto" w:before="1" w:after="0"/>
        <w:ind w:left="840" w:right="158" w:hanging="361"/>
        <w:jc w:val="left"/>
        <w:rPr>
          <w:sz w:val="22"/>
        </w:rPr>
      </w:pPr>
      <w:r>
        <w:rPr>
          <w:sz w:val="22"/>
        </w:rPr>
        <w:t>Rehabilitation:</w:t>
      </w:r>
      <w:r>
        <w:rPr>
          <w:spacing w:val="-7"/>
          <w:sz w:val="22"/>
        </w:rPr>
        <w:t> </w:t>
      </w:r>
      <w:r>
        <w:rPr>
          <w:sz w:val="22"/>
        </w:rPr>
        <w:t>The</w:t>
      </w:r>
      <w:r>
        <w:rPr>
          <w:spacing w:val="-8"/>
          <w:sz w:val="22"/>
        </w:rPr>
        <w:t> </w:t>
      </w:r>
      <w:r>
        <w:rPr>
          <w:sz w:val="22"/>
        </w:rPr>
        <w:t>greater</w:t>
      </w:r>
      <w:r>
        <w:rPr>
          <w:spacing w:val="-7"/>
          <w:sz w:val="22"/>
        </w:rPr>
        <w:t> </w:t>
      </w:r>
      <w:r>
        <w:rPr>
          <w:sz w:val="22"/>
        </w:rPr>
        <w:t>of</w:t>
      </w:r>
      <w:r>
        <w:rPr>
          <w:spacing w:val="-9"/>
          <w:sz w:val="22"/>
        </w:rPr>
        <w:t> </w:t>
      </w:r>
      <w:r>
        <w:rPr>
          <w:sz w:val="22"/>
        </w:rPr>
        <w:t>i)</w:t>
      </w:r>
      <w:r>
        <w:rPr>
          <w:spacing w:val="-6"/>
          <w:sz w:val="22"/>
        </w:rPr>
        <w:t> </w:t>
      </w:r>
      <w:r>
        <w:rPr>
          <w:sz w:val="22"/>
        </w:rPr>
        <w:t>$300</w:t>
      </w:r>
      <w:r>
        <w:rPr>
          <w:spacing w:val="-8"/>
          <w:sz w:val="22"/>
        </w:rPr>
        <w:t> </w:t>
      </w:r>
      <w:r>
        <w:rPr>
          <w:sz w:val="22"/>
        </w:rPr>
        <w:t>per-unit,</w:t>
      </w:r>
      <w:r>
        <w:rPr>
          <w:spacing w:val="-7"/>
          <w:sz w:val="22"/>
        </w:rPr>
        <w:t> </w:t>
      </w:r>
      <w:r>
        <w:rPr>
          <w:sz w:val="22"/>
        </w:rPr>
        <w:t>per-year;</w:t>
      </w:r>
      <w:r>
        <w:rPr>
          <w:spacing w:val="-7"/>
          <w:sz w:val="22"/>
        </w:rPr>
        <w:t> </w:t>
      </w:r>
      <w:r>
        <w:rPr>
          <w:sz w:val="22"/>
        </w:rPr>
        <w:t>or</w:t>
      </w:r>
      <w:r>
        <w:rPr>
          <w:spacing w:val="-10"/>
          <w:sz w:val="22"/>
        </w:rPr>
        <w:t> </w:t>
      </w:r>
      <w:r>
        <w:rPr>
          <w:sz w:val="22"/>
        </w:rPr>
        <w:t>ii)</w:t>
      </w:r>
      <w:r>
        <w:rPr>
          <w:spacing w:val="-7"/>
          <w:sz w:val="22"/>
        </w:rPr>
        <w:t> </w:t>
      </w:r>
      <w:r>
        <w:rPr>
          <w:sz w:val="22"/>
        </w:rPr>
        <w:t>a</w:t>
      </w:r>
      <w:r>
        <w:rPr>
          <w:spacing w:val="-8"/>
          <w:sz w:val="22"/>
        </w:rPr>
        <w:t> </w:t>
      </w:r>
      <w:r>
        <w:rPr>
          <w:sz w:val="22"/>
        </w:rPr>
        <w:t>higher</w:t>
      </w:r>
      <w:r>
        <w:rPr>
          <w:spacing w:val="-10"/>
          <w:sz w:val="22"/>
        </w:rPr>
        <w:t> </w:t>
      </w:r>
      <w:r>
        <w:rPr>
          <w:sz w:val="22"/>
        </w:rPr>
        <w:t>amount</w:t>
      </w:r>
      <w:r>
        <w:rPr>
          <w:spacing w:val="-7"/>
          <w:sz w:val="22"/>
        </w:rPr>
        <w:t> </w:t>
      </w:r>
      <w:r>
        <w:rPr>
          <w:sz w:val="22"/>
        </w:rPr>
        <w:t>established by a Capital Needs Assessment (CNA) approved by the City.</w:t>
      </w:r>
    </w:p>
    <w:p>
      <w:pPr>
        <w:spacing w:after="0" w:line="237" w:lineRule="auto"/>
        <w:jc w:val="left"/>
        <w:rPr>
          <w:sz w:val="22"/>
        </w:rPr>
        <w:sectPr>
          <w:pgSz w:w="12240" w:h="15840"/>
          <w:pgMar w:header="0" w:footer="1176" w:top="1360" w:bottom="1420" w:left="1320" w:right="1280"/>
        </w:sectPr>
      </w:pPr>
    </w:p>
    <w:p>
      <w:pPr>
        <w:pStyle w:val="BodyText"/>
        <w:spacing w:before="80"/>
        <w:ind w:left="119" w:right="159"/>
        <w:jc w:val="both"/>
      </w:pPr>
      <w:r>
        <w:rPr/>
        <w:t>Note:</w:t>
      </w:r>
      <w:r>
        <w:rPr>
          <w:spacing w:val="-3"/>
        </w:rPr>
        <w:t> </w:t>
      </w:r>
      <w:r>
        <w:rPr/>
        <w:t>The</w:t>
      </w:r>
      <w:r>
        <w:rPr>
          <w:spacing w:val="-4"/>
        </w:rPr>
        <w:t> </w:t>
      </w:r>
      <w:r>
        <w:rPr/>
        <w:t>City</w:t>
      </w:r>
      <w:r>
        <w:rPr>
          <w:spacing w:val="-4"/>
        </w:rPr>
        <w:t> </w:t>
      </w:r>
      <w:r>
        <w:rPr/>
        <w:t>will</w:t>
      </w:r>
      <w:r>
        <w:rPr>
          <w:spacing w:val="-5"/>
        </w:rPr>
        <w:t> </w:t>
      </w:r>
      <w:r>
        <w:rPr/>
        <w:t>reserve</w:t>
      </w:r>
      <w:r>
        <w:rPr>
          <w:spacing w:val="-4"/>
        </w:rPr>
        <w:t> </w:t>
      </w:r>
      <w:r>
        <w:rPr/>
        <w:t>the</w:t>
      </w:r>
      <w:r>
        <w:rPr>
          <w:spacing w:val="-4"/>
        </w:rPr>
        <w:t> </w:t>
      </w:r>
      <w:r>
        <w:rPr/>
        <w:t>right</w:t>
      </w:r>
      <w:r>
        <w:rPr>
          <w:spacing w:val="-5"/>
        </w:rPr>
        <w:t> </w:t>
      </w:r>
      <w:r>
        <w:rPr/>
        <w:t>within</w:t>
      </w:r>
      <w:r>
        <w:rPr>
          <w:spacing w:val="-4"/>
        </w:rPr>
        <w:t> </w:t>
      </w:r>
      <w:r>
        <w:rPr/>
        <w:t>a</w:t>
      </w:r>
      <w:r>
        <w:rPr>
          <w:spacing w:val="-4"/>
        </w:rPr>
        <w:t> </w:t>
      </w:r>
      <w:r>
        <w:rPr/>
        <w:t>project’s</w:t>
      </w:r>
      <w:r>
        <w:rPr>
          <w:spacing w:val="-4"/>
        </w:rPr>
        <w:t> </w:t>
      </w:r>
      <w:r>
        <w:rPr/>
        <w:t>transactional</w:t>
      </w:r>
      <w:r>
        <w:rPr>
          <w:spacing w:val="-5"/>
        </w:rPr>
        <w:t> </w:t>
      </w:r>
      <w:r>
        <w:rPr/>
        <w:t>documents</w:t>
      </w:r>
      <w:r>
        <w:rPr>
          <w:spacing w:val="-4"/>
        </w:rPr>
        <w:t> </w:t>
      </w:r>
      <w:r>
        <w:rPr/>
        <w:t>to</w:t>
      </w:r>
      <w:r>
        <w:rPr>
          <w:spacing w:val="-7"/>
        </w:rPr>
        <w:t> </w:t>
      </w:r>
      <w:r>
        <w:rPr/>
        <w:t>require</w:t>
      </w:r>
      <w:r>
        <w:rPr>
          <w:spacing w:val="-4"/>
        </w:rPr>
        <w:t> </w:t>
      </w:r>
      <w:r>
        <w:rPr/>
        <w:t>periodic CNAs for all projects and to adjust ongoing replacement reserve deposits base on the results of the CNA to ensure</w:t>
      </w:r>
      <w:r>
        <w:rPr>
          <w:spacing w:val="-2"/>
        </w:rPr>
        <w:t> </w:t>
      </w:r>
      <w:r>
        <w:rPr/>
        <w:t>that the replacement reserve is sufficient to address all anticipated needs for the project’s affordability period of the term of the City’s loan, whichever is longer.</w:t>
      </w:r>
    </w:p>
    <w:p>
      <w:pPr>
        <w:pStyle w:val="BodyText"/>
        <w:spacing w:before="11"/>
        <w:rPr>
          <w:sz w:val="21"/>
        </w:rPr>
      </w:pPr>
    </w:p>
    <w:p>
      <w:pPr>
        <w:pStyle w:val="BodyText"/>
        <w:spacing w:line="252" w:lineRule="exact"/>
        <w:ind w:left="119"/>
        <w:jc w:val="both"/>
      </w:pPr>
      <w:r>
        <w:rPr/>
        <w:t>Items</w:t>
      </w:r>
      <w:r>
        <w:rPr>
          <w:spacing w:val="-4"/>
        </w:rPr>
        <w:t> </w:t>
      </w:r>
      <w:r>
        <w:rPr/>
        <w:t>Payable</w:t>
      </w:r>
      <w:r>
        <w:rPr>
          <w:spacing w:val="-6"/>
        </w:rPr>
        <w:t> </w:t>
      </w:r>
      <w:r>
        <w:rPr/>
        <w:t>only</w:t>
      </w:r>
      <w:r>
        <w:rPr>
          <w:spacing w:val="-5"/>
        </w:rPr>
        <w:t> </w:t>
      </w:r>
      <w:r>
        <w:rPr/>
        <w:t>from</w:t>
      </w:r>
      <w:r>
        <w:rPr>
          <w:spacing w:val="-5"/>
        </w:rPr>
        <w:t> </w:t>
      </w:r>
      <w:r>
        <w:rPr/>
        <w:t>Surplus</w:t>
      </w:r>
      <w:r>
        <w:rPr>
          <w:spacing w:val="-3"/>
        </w:rPr>
        <w:t> </w:t>
      </w:r>
      <w:r>
        <w:rPr>
          <w:spacing w:val="-4"/>
        </w:rPr>
        <w:t>Cash</w:t>
      </w:r>
    </w:p>
    <w:p>
      <w:pPr>
        <w:pStyle w:val="BodyText"/>
        <w:ind w:left="120" w:right="155" w:hanging="1"/>
        <w:jc w:val="both"/>
      </w:pPr>
      <w:r>
        <w:rPr/>
        <w:t>Certain</w:t>
      </w:r>
      <w:r>
        <w:rPr>
          <w:spacing w:val="-5"/>
        </w:rPr>
        <w:t> </w:t>
      </w:r>
      <w:r>
        <w:rPr/>
        <w:t>costs,</w:t>
      </w:r>
      <w:r>
        <w:rPr>
          <w:spacing w:val="-3"/>
        </w:rPr>
        <w:t> </w:t>
      </w:r>
      <w:r>
        <w:rPr/>
        <w:t>sometimes</w:t>
      </w:r>
      <w:r>
        <w:rPr>
          <w:spacing w:val="-5"/>
        </w:rPr>
        <w:t> </w:t>
      </w:r>
      <w:r>
        <w:rPr/>
        <w:t>identified</w:t>
      </w:r>
      <w:r>
        <w:rPr>
          <w:spacing w:val="-5"/>
        </w:rPr>
        <w:t> </w:t>
      </w:r>
      <w:r>
        <w:rPr/>
        <w:t>by</w:t>
      </w:r>
      <w:r>
        <w:rPr>
          <w:spacing w:val="-7"/>
        </w:rPr>
        <w:t> </w:t>
      </w:r>
      <w:r>
        <w:rPr/>
        <w:t>project</w:t>
      </w:r>
      <w:r>
        <w:rPr>
          <w:spacing w:val="-4"/>
        </w:rPr>
        <w:t> </w:t>
      </w:r>
      <w:r>
        <w:rPr/>
        <w:t>owners</w:t>
      </w:r>
      <w:r>
        <w:rPr>
          <w:spacing w:val="-5"/>
        </w:rPr>
        <w:t> </w:t>
      </w:r>
      <w:r>
        <w:rPr/>
        <w:t>as</w:t>
      </w:r>
      <w:r>
        <w:rPr>
          <w:spacing w:val="-7"/>
        </w:rPr>
        <w:t> </w:t>
      </w:r>
      <w:r>
        <w:rPr/>
        <w:t>“operating</w:t>
      </w:r>
      <w:r>
        <w:rPr>
          <w:spacing w:val="-7"/>
        </w:rPr>
        <w:t> </w:t>
      </w:r>
      <w:r>
        <w:rPr/>
        <w:t>costs,”</w:t>
      </w:r>
      <w:r>
        <w:rPr>
          <w:spacing w:val="-4"/>
        </w:rPr>
        <w:t> </w:t>
      </w:r>
      <w:r>
        <w:rPr/>
        <w:t>cannot</w:t>
      </w:r>
      <w:r>
        <w:rPr>
          <w:spacing w:val="-4"/>
        </w:rPr>
        <w:t> </w:t>
      </w:r>
      <w:r>
        <w:rPr/>
        <w:t>be</w:t>
      </w:r>
      <w:r>
        <w:rPr>
          <w:spacing w:val="-7"/>
        </w:rPr>
        <w:t> </w:t>
      </w:r>
      <w:r>
        <w:rPr/>
        <w:t>included</w:t>
      </w:r>
      <w:r>
        <w:rPr>
          <w:spacing w:val="-5"/>
        </w:rPr>
        <w:t> </w:t>
      </w:r>
      <w:r>
        <w:rPr/>
        <w:t>in the operating budget and</w:t>
      </w:r>
      <w:r>
        <w:rPr>
          <w:spacing w:val="-1"/>
        </w:rPr>
        <w:t> </w:t>
      </w:r>
      <w:r>
        <w:rPr/>
        <w:t>will only be payable</w:t>
      </w:r>
      <w:r>
        <w:rPr>
          <w:spacing w:val="-1"/>
        </w:rPr>
        <w:t> </w:t>
      </w:r>
      <w:r>
        <w:rPr/>
        <w:t>from surplus cash</w:t>
      </w:r>
      <w:r>
        <w:rPr>
          <w:spacing w:val="-1"/>
        </w:rPr>
        <w:t> </w:t>
      </w:r>
      <w:r>
        <w:rPr/>
        <w:t>(aka cash flow). These</w:t>
      </w:r>
      <w:r>
        <w:rPr>
          <w:spacing w:val="-1"/>
        </w:rPr>
        <w:t> </w:t>
      </w:r>
      <w:r>
        <w:rPr/>
        <w:t>include:</w:t>
      </w:r>
    </w:p>
    <w:p>
      <w:pPr>
        <w:pStyle w:val="BodyText"/>
        <w:spacing w:before="3"/>
      </w:pPr>
    </w:p>
    <w:p>
      <w:pPr>
        <w:pStyle w:val="ListParagraph"/>
        <w:numPr>
          <w:ilvl w:val="0"/>
          <w:numId w:val="29"/>
        </w:numPr>
        <w:tabs>
          <w:tab w:pos="840" w:val="left" w:leader="none"/>
          <w:tab w:pos="841" w:val="left" w:leader="none"/>
        </w:tabs>
        <w:spacing w:line="237" w:lineRule="auto" w:before="0" w:after="0"/>
        <w:ind w:left="840" w:right="158" w:hanging="361"/>
        <w:jc w:val="left"/>
        <w:rPr>
          <w:sz w:val="22"/>
        </w:rPr>
      </w:pPr>
      <w:r>
        <w:rPr/>
        <w:pict>
          <v:shape style="position:absolute;margin-left:90.065002pt;margin-top:.52018pt;width:395.3pt;height:419pt;mso-position-horizontal-relative:page;mso-position-vertical-relative:paragraph;z-index:-17677312" id="docshape132" coordorigin="1801,10" coordsize="7906,8380" path="m4498,7274l4492,7201,4477,7123,4455,7040,4432,6971,4403,6899,4367,6824,4325,6746,4276,6665,4237,6606,4200,6555,4200,7241,4197,7297,4186,7354,4167,7411,4138,7471,4097,7534,4044,7600,3979,7669,3674,7975,2216,6517,2517,6216,2598,6140,2672,6080,2740,6037,2801,6010,2868,5996,2941,5992,3020,5998,3105,6016,3195,6045,3255,6071,3317,6103,3380,6142,3446,6187,3514,6239,3584,6297,3656,6361,3729,6433,3789,6494,3845,6554,3896,6613,3943,6671,3986,6728,4025,6783,4059,6837,4101,6912,4136,6984,4163,7053,4183,7120,4196,7185,4200,7241,4200,6555,4194,6546,4148,6486,4098,6426,4045,6365,3989,6303,3929,6242,3865,6179,3801,6121,3737,6066,3673,6014,3643,5992,3609,5966,3546,5922,3482,5881,3419,5843,3346,5805,3274,5773,3203,5746,3132,5724,3062,5707,2992,5694,2923,5687,2850,5686,2779,5692,2709,5707,2642,5730,2577,5761,2528,5789,2476,5826,2420,5872,2359,5926,2294,5988,1801,6481,3710,8390,4124,7975,4226,7873,4287,7808,4341,7743,4386,7677,4424,7610,4454,7544,4476,7477,4491,7410,4498,7343,4498,7274xm6418,5681l6056,5553,5650,5410,5561,5381,5475,5357,5393,5338,5365,5333,5314,5324,5239,5314,5193,5312,5143,5315,5089,5322,5030,5333,5073,5263,5109,5194,5136,5125,5154,5056,5164,4987,5165,4919,5157,4851,5139,4773,5111,4697,5075,4623,5030,4550,4976,4479,4956,4456,4913,4410,4872,4372,4872,4930,4868,4985,4854,5040,4830,5096,4794,5155,4747,5216,4687,5280,4280,5687,3649,5056,4102,4603,4166,4546,4229,4502,4293,4473,4358,4458,4422,4456,4501,4472,4577,4501,4649,4546,4718,4606,4761,4653,4797,4704,4827,4758,4851,4814,4867,4873,4872,4930,4872,4372,4849,4351,4782,4298,4713,4253,4641,4214,4566,4182,4474,4154,4386,4141,4303,4143,4225,4159,4163,4184,4098,4221,4030,4269,3958,4328,3883,4399,3248,5034,5157,6942,5346,6753,4499,5906,4718,5687,4753,5652,4783,5625,4810,5604,4833,5589,4863,5576,4896,5565,4932,5558,4971,5553,5014,5553,5066,5558,5125,5569,5194,5585,5256,5603,5328,5624,5407,5648,5496,5678,6180,5919,6418,5681xm7780,4319l7415,4124,6555,3669,6555,3976,6070,4462,6030,4390,5989,4319,5748,3888,5708,3816,5668,3745,5629,3679,5590,3615,5550,3551,5509,3488,5467,3425,5424,3364,5380,3303,5436,3339,5498,3377,5564,3417,5635,3459,5792,3549,6555,3976,6555,3669,5862,3303,5286,2996,5082,3200,5277,3551,5316,3621,5701,4319,6207,5238,6441,5658,6642,5457,6565,5324,6298,4856,6221,4722,6481,4462,6820,4124,7173,4319,7565,4535,7780,4319xm8131,3968l7264,3101,7936,2429,7711,2204,7039,2876,6448,2285,7224,1509,6999,1284,6033,2249,7941,4158,8131,3968xm9707,2392l8024,709,8497,236,8272,10,7138,1145,7363,1370,7834,899,9517,2582,9707,2392xe" filled="true" fillcolor="#c0c0c0" stroked="false">
            <v:path arrowok="t"/>
            <v:fill opacity="32896f" type="solid"/>
            <w10:wrap type="none"/>
          </v:shape>
        </w:pict>
      </w:r>
      <w:r>
        <w:rPr>
          <w:sz w:val="22"/>
        </w:rPr>
        <w:t>Incentive</w:t>
      </w:r>
      <w:r>
        <w:rPr>
          <w:spacing w:val="-11"/>
          <w:sz w:val="22"/>
        </w:rPr>
        <w:t> </w:t>
      </w:r>
      <w:r>
        <w:rPr>
          <w:sz w:val="22"/>
        </w:rPr>
        <w:t>Management</w:t>
      </w:r>
      <w:r>
        <w:rPr>
          <w:spacing w:val="-7"/>
          <w:sz w:val="22"/>
        </w:rPr>
        <w:t> </w:t>
      </w:r>
      <w:r>
        <w:rPr>
          <w:sz w:val="22"/>
        </w:rPr>
        <w:t>Fees</w:t>
      </w:r>
      <w:r>
        <w:rPr>
          <w:spacing w:val="-8"/>
          <w:sz w:val="22"/>
        </w:rPr>
        <w:t> </w:t>
      </w:r>
      <w:r>
        <w:rPr>
          <w:sz w:val="22"/>
        </w:rPr>
        <w:t>payable</w:t>
      </w:r>
      <w:r>
        <w:rPr>
          <w:spacing w:val="-8"/>
          <w:sz w:val="22"/>
        </w:rPr>
        <w:t> </w:t>
      </w:r>
      <w:r>
        <w:rPr>
          <w:sz w:val="22"/>
        </w:rPr>
        <w:t>in</w:t>
      </w:r>
      <w:r>
        <w:rPr>
          <w:spacing w:val="-11"/>
          <w:sz w:val="22"/>
        </w:rPr>
        <w:t> </w:t>
      </w:r>
      <w:r>
        <w:rPr>
          <w:sz w:val="22"/>
        </w:rPr>
        <w:t>addition</w:t>
      </w:r>
      <w:r>
        <w:rPr>
          <w:spacing w:val="-11"/>
          <w:sz w:val="22"/>
        </w:rPr>
        <w:t> </w:t>
      </w:r>
      <w:r>
        <w:rPr>
          <w:sz w:val="22"/>
        </w:rPr>
        <w:t>to</w:t>
      </w:r>
      <w:r>
        <w:rPr>
          <w:spacing w:val="-8"/>
          <w:sz w:val="22"/>
        </w:rPr>
        <w:t> </w:t>
      </w:r>
      <w:r>
        <w:rPr>
          <w:sz w:val="22"/>
        </w:rPr>
        <w:t>the</w:t>
      </w:r>
      <w:r>
        <w:rPr>
          <w:spacing w:val="-11"/>
          <w:sz w:val="22"/>
        </w:rPr>
        <w:t> </w:t>
      </w:r>
      <w:r>
        <w:rPr>
          <w:sz w:val="22"/>
        </w:rPr>
        <w:t>allowable</w:t>
      </w:r>
      <w:r>
        <w:rPr>
          <w:spacing w:val="-8"/>
          <w:sz w:val="22"/>
        </w:rPr>
        <w:t> </w:t>
      </w:r>
      <w:r>
        <w:rPr>
          <w:sz w:val="22"/>
        </w:rPr>
        <w:t>management</w:t>
      </w:r>
      <w:r>
        <w:rPr>
          <w:spacing w:val="-9"/>
          <w:sz w:val="22"/>
        </w:rPr>
        <w:t> </w:t>
      </w:r>
      <w:r>
        <w:rPr>
          <w:sz w:val="22"/>
        </w:rPr>
        <w:t>fees</w:t>
      </w:r>
      <w:r>
        <w:rPr>
          <w:spacing w:val="-8"/>
          <w:sz w:val="22"/>
        </w:rPr>
        <w:t> </w:t>
      </w:r>
      <w:r>
        <w:rPr>
          <w:sz w:val="22"/>
        </w:rPr>
        <w:t>noted above, whether paid to related party or independent third-party management fees.</w:t>
      </w:r>
    </w:p>
    <w:p>
      <w:pPr>
        <w:pStyle w:val="ListParagraph"/>
        <w:numPr>
          <w:ilvl w:val="0"/>
          <w:numId w:val="29"/>
        </w:numPr>
        <w:tabs>
          <w:tab w:pos="840" w:val="left" w:leader="none"/>
          <w:tab w:pos="841" w:val="left" w:leader="none"/>
        </w:tabs>
        <w:spacing w:line="237" w:lineRule="auto" w:before="3" w:after="0"/>
        <w:ind w:left="840" w:right="159" w:hanging="361"/>
        <w:jc w:val="left"/>
        <w:rPr>
          <w:sz w:val="22"/>
        </w:rPr>
      </w:pPr>
      <w:r>
        <w:rPr>
          <w:sz w:val="22"/>
        </w:rPr>
        <w:t>Asset Management Fees payable to any investor, general or limited partner, or member of the ownership entity.</w:t>
      </w:r>
    </w:p>
    <w:p>
      <w:pPr>
        <w:pStyle w:val="ListParagraph"/>
        <w:numPr>
          <w:ilvl w:val="0"/>
          <w:numId w:val="29"/>
        </w:numPr>
        <w:tabs>
          <w:tab w:pos="840" w:val="left" w:leader="none"/>
          <w:tab w:pos="841" w:val="left" w:leader="none"/>
        </w:tabs>
        <w:spacing w:line="269" w:lineRule="exact" w:before="1" w:after="0"/>
        <w:ind w:left="840" w:right="0" w:hanging="361"/>
        <w:jc w:val="left"/>
        <w:rPr>
          <w:sz w:val="22"/>
        </w:rPr>
      </w:pPr>
      <w:r>
        <w:rPr>
          <w:sz w:val="22"/>
        </w:rPr>
        <w:t>Deferred</w:t>
      </w:r>
      <w:r>
        <w:rPr>
          <w:spacing w:val="-9"/>
          <w:sz w:val="22"/>
        </w:rPr>
        <w:t> </w:t>
      </w:r>
      <w:r>
        <w:rPr>
          <w:sz w:val="22"/>
        </w:rPr>
        <w:t>Developer</w:t>
      </w:r>
      <w:r>
        <w:rPr>
          <w:spacing w:val="-8"/>
          <w:sz w:val="22"/>
        </w:rPr>
        <w:t> </w:t>
      </w:r>
      <w:r>
        <w:rPr>
          <w:spacing w:val="-4"/>
          <w:sz w:val="22"/>
        </w:rPr>
        <w:t>Fees</w:t>
      </w:r>
    </w:p>
    <w:p>
      <w:pPr>
        <w:pStyle w:val="ListParagraph"/>
        <w:numPr>
          <w:ilvl w:val="0"/>
          <w:numId w:val="29"/>
        </w:numPr>
        <w:tabs>
          <w:tab w:pos="841" w:val="left" w:leader="none"/>
        </w:tabs>
        <w:spacing w:line="237" w:lineRule="auto" w:before="2" w:after="0"/>
        <w:ind w:left="840" w:right="157" w:hanging="361"/>
        <w:jc w:val="both"/>
        <w:rPr>
          <w:sz w:val="22"/>
        </w:rPr>
      </w:pPr>
      <w:r>
        <w:rPr>
          <w:spacing w:val="-2"/>
          <w:sz w:val="22"/>
        </w:rPr>
        <w:t>Operating</w:t>
      </w:r>
      <w:r>
        <w:rPr>
          <w:spacing w:val="-4"/>
          <w:sz w:val="22"/>
        </w:rPr>
        <w:t> </w:t>
      </w:r>
      <w:r>
        <w:rPr>
          <w:spacing w:val="-2"/>
          <w:sz w:val="22"/>
        </w:rPr>
        <w:t>Deficit</w:t>
      </w:r>
      <w:r>
        <w:rPr>
          <w:spacing w:val="-5"/>
          <w:sz w:val="22"/>
        </w:rPr>
        <w:t> </w:t>
      </w:r>
      <w:r>
        <w:rPr>
          <w:spacing w:val="-2"/>
          <w:sz w:val="22"/>
        </w:rPr>
        <w:t>Loan</w:t>
      </w:r>
      <w:r>
        <w:rPr>
          <w:spacing w:val="-6"/>
          <w:sz w:val="22"/>
        </w:rPr>
        <w:t> </w:t>
      </w:r>
      <w:r>
        <w:rPr>
          <w:spacing w:val="-2"/>
          <w:sz w:val="22"/>
        </w:rPr>
        <w:t>Payments</w:t>
      </w:r>
      <w:r>
        <w:rPr>
          <w:spacing w:val="-6"/>
          <w:sz w:val="22"/>
        </w:rPr>
        <w:t> </w:t>
      </w:r>
      <w:r>
        <w:rPr>
          <w:spacing w:val="-2"/>
          <w:sz w:val="22"/>
        </w:rPr>
        <w:t>made</w:t>
      </w:r>
      <w:r>
        <w:rPr>
          <w:spacing w:val="-6"/>
          <w:sz w:val="22"/>
        </w:rPr>
        <w:t> </w:t>
      </w:r>
      <w:r>
        <w:rPr>
          <w:spacing w:val="-2"/>
          <w:sz w:val="22"/>
        </w:rPr>
        <w:t>to</w:t>
      </w:r>
      <w:r>
        <w:rPr>
          <w:spacing w:val="-6"/>
          <w:sz w:val="22"/>
        </w:rPr>
        <w:t> </w:t>
      </w:r>
      <w:r>
        <w:rPr>
          <w:spacing w:val="-2"/>
          <w:sz w:val="22"/>
        </w:rPr>
        <w:t>any</w:t>
      </w:r>
      <w:r>
        <w:rPr>
          <w:spacing w:val="-6"/>
          <w:sz w:val="22"/>
        </w:rPr>
        <w:t> </w:t>
      </w:r>
      <w:r>
        <w:rPr>
          <w:spacing w:val="-2"/>
          <w:sz w:val="22"/>
        </w:rPr>
        <w:t>related</w:t>
      </w:r>
      <w:r>
        <w:rPr>
          <w:spacing w:val="-4"/>
          <w:sz w:val="22"/>
        </w:rPr>
        <w:t> </w:t>
      </w:r>
      <w:r>
        <w:rPr>
          <w:spacing w:val="-2"/>
          <w:sz w:val="22"/>
        </w:rPr>
        <w:t>party</w:t>
      </w:r>
      <w:r>
        <w:rPr>
          <w:spacing w:val="-6"/>
          <w:sz w:val="22"/>
        </w:rPr>
        <w:t> </w:t>
      </w:r>
      <w:r>
        <w:rPr>
          <w:spacing w:val="-2"/>
          <w:sz w:val="22"/>
        </w:rPr>
        <w:t>including</w:t>
      </w:r>
      <w:r>
        <w:rPr>
          <w:spacing w:val="-4"/>
          <w:sz w:val="22"/>
        </w:rPr>
        <w:t> </w:t>
      </w:r>
      <w:r>
        <w:rPr>
          <w:spacing w:val="-2"/>
          <w:sz w:val="22"/>
        </w:rPr>
        <w:t>any</w:t>
      </w:r>
      <w:r>
        <w:rPr>
          <w:spacing w:val="-6"/>
          <w:sz w:val="22"/>
        </w:rPr>
        <w:t> </w:t>
      </w:r>
      <w:r>
        <w:rPr>
          <w:spacing w:val="-2"/>
          <w:sz w:val="22"/>
        </w:rPr>
        <w:t>investor,</w:t>
      </w:r>
      <w:r>
        <w:rPr>
          <w:spacing w:val="-5"/>
          <w:sz w:val="22"/>
        </w:rPr>
        <w:t> </w:t>
      </w:r>
      <w:r>
        <w:rPr>
          <w:spacing w:val="-2"/>
          <w:sz w:val="22"/>
        </w:rPr>
        <w:t>general </w:t>
      </w:r>
      <w:r>
        <w:rPr>
          <w:sz w:val="22"/>
        </w:rPr>
        <w:t>or limited partner, or members of the ownership entity.</w:t>
      </w:r>
    </w:p>
    <w:p>
      <w:pPr>
        <w:pStyle w:val="ListParagraph"/>
        <w:numPr>
          <w:ilvl w:val="0"/>
          <w:numId w:val="29"/>
        </w:numPr>
        <w:tabs>
          <w:tab w:pos="841" w:val="left" w:leader="none"/>
        </w:tabs>
        <w:spacing w:line="237" w:lineRule="auto" w:before="3" w:after="0"/>
        <w:ind w:left="840" w:right="156" w:hanging="361"/>
        <w:jc w:val="both"/>
        <w:rPr>
          <w:sz w:val="22"/>
        </w:rPr>
      </w:pPr>
      <w:r>
        <w:rPr>
          <w:sz w:val="22"/>
        </w:rPr>
        <w:t>Other payments to investors, general or limited partners, or members of the ownership entity, however characterized, including but not limited to negative adjustors, yield maintenance fees, etc.</w:t>
      </w:r>
    </w:p>
    <w:p>
      <w:pPr>
        <w:pStyle w:val="BodyText"/>
        <w:spacing w:before="2"/>
      </w:pPr>
    </w:p>
    <w:p>
      <w:pPr>
        <w:pStyle w:val="BodyText"/>
        <w:spacing w:line="252" w:lineRule="exact" w:before="1"/>
        <w:ind w:left="120"/>
        <w:jc w:val="both"/>
      </w:pPr>
      <w:r>
        <w:rPr/>
        <w:t>Ongoing</w:t>
      </w:r>
      <w:r>
        <w:rPr>
          <w:spacing w:val="-7"/>
        </w:rPr>
        <w:t> </w:t>
      </w:r>
      <w:r>
        <w:rPr/>
        <w:t>Economic</w:t>
      </w:r>
      <w:r>
        <w:rPr>
          <w:spacing w:val="-5"/>
        </w:rPr>
        <w:t> </w:t>
      </w:r>
      <w:r>
        <w:rPr>
          <w:spacing w:val="-2"/>
        </w:rPr>
        <w:t>Viability</w:t>
      </w:r>
    </w:p>
    <w:p>
      <w:pPr>
        <w:pStyle w:val="BodyText"/>
        <w:ind w:left="120" w:right="151"/>
        <w:jc w:val="both"/>
      </w:pPr>
      <w:r>
        <w:rPr/>
        <w:t>The City will review the ongoing economic viability of all projects, taking into account long-term projections</w:t>
      </w:r>
      <w:r>
        <w:rPr>
          <w:spacing w:val="-11"/>
        </w:rPr>
        <w:t> </w:t>
      </w:r>
      <w:r>
        <w:rPr/>
        <w:t>of</w:t>
      </w:r>
      <w:r>
        <w:rPr>
          <w:spacing w:val="-12"/>
        </w:rPr>
        <w:t> </w:t>
      </w:r>
      <w:r>
        <w:rPr/>
        <w:t>revenue</w:t>
      </w:r>
      <w:r>
        <w:rPr>
          <w:spacing w:val="-11"/>
        </w:rPr>
        <w:t> </w:t>
      </w:r>
      <w:r>
        <w:rPr/>
        <w:t>and</w:t>
      </w:r>
      <w:r>
        <w:rPr>
          <w:spacing w:val="-8"/>
        </w:rPr>
        <w:t> </w:t>
      </w:r>
      <w:r>
        <w:rPr/>
        <w:t>expenses.</w:t>
      </w:r>
      <w:r>
        <w:rPr>
          <w:spacing w:val="-9"/>
        </w:rPr>
        <w:t> </w:t>
      </w:r>
      <w:r>
        <w:rPr/>
        <w:t>Projects</w:t>
      </w:r>
      <w:r>
        <w:rPr>
          <w:spacing w:val="-11"/>
        </w:rPr>
        <w:t> </w:t>
      </w:r>
      <w:r>
        <w:rPr/>
        <w:t>must</w:t>
      </w:r>
      <w:r>
        <w:rPr>
          <w:spacing w:val="-10"/>
        </w:rPr>
        <w:t> </w:t>
      </w:r>
      <w:r>
        <w:rPr/>
        <w:t>demonstrate</w:t>
      </w:r>
      <w:r>
        <w:rPr>
          <w:spacing w:val="-11"/>
        </w:rPr>
        <w:t> </w:t>
      </w:r>
      <w:r>
        <w:rPr/>
        <w:t>they</w:t>
      </w:r>
      <w:r>
        <w:rPr>
          <w:spacing w:val="-11"/>
        </w:rPr>
        <w:t> </w:t>
      </w:r>
      <w:r>
        <w:rPr/>
        <w:t>can</w:t>
      </w:r>
      <w:r>
        <w:rPr>
          <w:spacing w:val="-14"/>
        </w:rPr>
        <w:t> </w:t>
      </w:r>
      <w:r>
        <w:rPr/>
        <w:t>be</w:t>
      </w:r>
      <w:r>
        <w:rPr>
          <w:spacing w:val="-9"/>
        </w:rPr>
        <w:t> </w:t>
      </w:r>
      <w:r>
        <w:rPr/>
        <w:t>expected</w:t>
      </w:r>
      <w:r>
        <w:rPr>
          <w:spacing w:val="-11"/>
        </w:rPr>
        <w:t> </w:t>
      </w:r>
      <w:r>
        <w:rPr/>
        <w:t>to</w:t>
      </w:r>
      <w:r>
        <w:rPr>
          <w:spacing w:val="-14"/>
        </w:rPr>
        <w:t> </w:t>
      </w:r>
      <w:r>
        <w:rPr/>
        <w:t>remain viable for at least the</w:t>
      </w:r>
      <w:r>
        <w:rPr>
          <w:spacing w:val="-2"/>
        </w:rPr>
        <w:t> </w:t>
      </w:r>
      <w:r>
        <w:rPr/>
        <w:t>affordability period,</w:t>
      </w:r>
      <w:r>
        <w:rPr>
          <w:spacing w:val="-3"/>
        </w:rPr>
        <w:t> </w:t>
      </w:r>
      <w:r>
        <w:rPr/>
        <w:t>taking into account trending assumptions</w:t>
      </w:r>
      <w:r>
        <w:rPr>
          <w:spacing w:val="-1"/>
        </w:rPr>
        <w:t> </w:t>
      </w:r>
      <w:r>
        <w:rPr/>
        <w:t>noted</w:t>
      </w:r>
      <w:r>
        <w:rPr>
          <w:spacing w:val="-2"/>
        </w:rPr>
        <w:t> </w:t>
      </w:r>
      <w:r>
        <w:rPr/>
        <w:t>above, as well as other any other changes in operating revenues or expenses that can reasonably be anticipated</w:t>
      </w:r>
      <w:r>
        <w:rPr>
          <w:spacing w:val="-5"/>
        </w:rPr>
        <w:t> </w:t>
      </w:r>
      <w:r>
        <w:rPr/>
        <w:t>based</w:t>
      </w:r>
      <w:r>
        <w:rPr>
          <w:spacing w:val="-7"/>
        </w:rPr>
        <w:t> </w:t>
      </w:r>
      <w:r>
        <w:rPr/>
        <w:t>on</w:t>
      </w:r>
      <w:r>
        <w:rPr>
          <w:spacing w:val="-5"/>
        </w:rPr>
        <w:t> </w:t>
      </w:r>
      <w:r>
        <w:rPr/>
        <w:t>other</w:t>
      </w:r>
      <w:r>
        <w:rPr>
          <w:spacing w:val="-4"/>
        </w:rPr>
        <w:t> </w:t>
      </w:r>
      <w:r>
        <w:rPr/>
        <w:t>information</w:t>
      </w:r>
      <w:r>
        <w:rPr>
          <w:spacing w:val="-5"/>
        </w:rPr>
        <w:t> </w:t>
      </w:r>
      <w:r>
        <w:rPr/>
        <w:t>available</w:t>
      </w:r>
      <w:r>
        <w:rPr>
          <w:spacing w:val="-5"/>
        </w:rPr>
        <w:t> </w:t>
      </w:r>
      <w:r>
        <w:rPr/>
        <w:t>to</w:t>
      </w:r>
      <w:r>
        <w:rPr>
          <w:spacing w:val="-5"/>
        </w:rPr>
        <w:t> </w:t>
      </w:r>
      <w:r>
        <w:rPr/>
        <w:t>the</w:t>
      </w:r>
      <w:r>
        <w:rPr>
          <w:spacing w:val="-7"/>
        </w:rPr>
        <w:t> </w:t>
      </w:r>
      <w:r>
        <w:rPr/>
        <w:t>City</w:t>
      </w:r>
      <w:r>
        <w:rPr>
          <w:spacing w:val="-5"/>
        </w:rPr>
        <w:t> </w:t>
      </w:r>
      <w:r>
        <w:rPr/>
        <w:t>or</w:t>
      </w:r>
      <w:r>
        <w:rPr>
          <w:spacing w:val="-4"/>
        </w:rPr>
        <w:t> </w:t>
      </w:r>
      <w:r>
        <w:rPr/>
        <w:t>other</w:t>
      </w:r>
      <w:r>
        <w:rPr>
          <w:spacing w:val="-6"/>
        </w:rPr>
        <w:t> </w:t>
      </w:r>
      <w:r>
        <w:rPr/>
        <w:t>project</w:t>
      </w:r>
      <w:r>
        <w:rPr>
          <w:spacing w:val="-6"/>
        </w:rPr>
        <w:t> </w:t>
      </w:r>
      <w:r>
        <w:rPr/>
        <w:t>funders.</w:t>
      </w:r>
      <w:r>
        <w:rPr>
          <w:spacing w:val="-4"/>
        </w:rPr>
        <w:t> </w:t>
      </w:r>
      <w:r>
        <w:rPr/>
        <w:t>In</w:t>
      </w:r>
      <w:r>
        <w:rPr>
          <w:spacing w:val="-5"/>
        </w:rPr>
        <w:t> </w:t>
      </w:r>
      <w:r>
        <w:rPr/>
        <w:t>particular, the City will review the debt coverage ratio and operating margin as outlined below.</w:t>
      </w:r>
    </w:p>
    <w:p>
      <w:pPr>
        <w:pStyle w:val="BodyText"/>
        <w:spacing w:before="10"/>
        <w:rPr>
          <w:sz w:val="21"/>
        </w:rPr>
      </w:pPr>
    </w:p>
    <w:p>
      <w:pPr>
        <w:pStyle w:val="BodyText"/>
        <w:ind w:left="121"/>
        <w:jc w:val="both"/>
      </w:pPr>
      <w:r>
        <w:rPr/>
        <w:t>Debt</w:t>
      </w:r>
      <w:r>
        <w:rPr>
          <w:spacing w:val="-4"/>
        </w:rPr>
        <w:t> </w:t>
      </w:r>
      <w:r>
        <w:rPr/>
        <w:t>Coverage</w:t>
      </w:r>
      <w:r>
        <w:rPr>
          <w:spacing w:val="-7"/>
        </w:rPr>
        <w:t> </w:t>
      </w:r>
      <w:r>
        <w:rPr>
          <w:spacing w:val="-4"/>
        </w:rPr>
        <w:t>Ratio</w:t>
      </w:r>
    </w:p>
    <w:p>
      <w:pPr>
        <w:pStyle w:val="BodyText"/>
        <w:spacing w:before="2"/>
        <w:ind w:left="121" w:right="154"/>
        <w:jc w:val="both"/>
      </w:pPr>
      <w:r>
        <w:rPr/>
        <w:t>Projects</w:t>
      </w:r>
      <w:r>
        <w:rPr>
          <w:spacing w:val="-7"/>
        </w:rPr>
        <w:t> </w:t>
      </w:r>
      <w:r>
        <w:rPr/>
        <w:t>must</w:t>
      </w:r>
      <w:r>
        <w:rPr>
          <w:spacing w:val="-6"/>
        </w:rPr>
        <w:t> </w:t>
      </w:r>
      <w:r>
        <w:rPr/>
        <w:t>demonstrate</w:t>
      </w:r>
      <w:r>
        <w:rPr>
          <w:spacing w:val="-5"/>
        </w:rPr>
        <w:t> </w:t>
      </w:r>
      <w:r>
        <w:rPr/>
        <w:t>a</w:t>
      </w:r>
      <w:r>
        <w:rPr>
          <w:spacing w:val="-10"/>
        </w:rPr>
        <w:t> </w:t>
      </w:r>
      <w:r>
        <w:rPr/>
        <w:t>minimum</w:t>
      </w:r>
      <w:r>
        <w:rPr>
          <w:spacing w:val="-4"/>
        </w:rPr>
        <w:t> </w:t>
      </w:r>
      <w:r>
        <w:rPr/>
        <w:t>debt</w:t>
      </w:r>
      <w:r>
        <w:rPr>
          <w:spacing w:val="-6"/>
        </w:rPr>
        <w:t> </w:t>
      </w:r>
      <w:r>
        <w:rPr/>
        <w:t>coverage</w:t>
      </w:r>
      <w:r>
        <w:rPr>
          <w:spacing w:val="-5"/>
        </w:rPr>
        <w:t> </w:t>
      </w:r>
      <w:r>
        <w:rPr/>
        <w:t>ratio</w:t>
      </w:r>
      <w:r>
        <w:rPr>
          <w:spacing w:val="-7"/>
        </w:rPr>
        <w:t> </w:t>
      </w:r>
      <w:r>
        <w:rPr/>
        <w:t>(DCR)</w:t>
      </w:r>
      <w:r>
        <w:rPr>
          <w:spacing w:val="-6"/>
        </w:rPr>
        <w:t> </w:t>
      </w:r>
      <w:r>
        <w:rPr/>
        <w:t>of</w:t>
      </w:r>
      <w:r>
        <w:rPr>
          <w:spacing w:val="-6"/>
        </w:rPr>
        <w:t> </w:t>
      </w:r>
      <w:r>
        <w:rPr/>
        <w:t>1.25</w:t>
      </w:r>
      <w:r>
        <w:rPr>
          <w:spacing w:val="-7"/>
        </w:rPr>
        <w:t> </w:t>
      </w:r>
      <w:r>
        <w:rPr/>
        <w:t>(Net</w:t>
      </w:r>
      <w:r>
        <w:rPr>
          <w:spacing w:val="-6"/>
        </w:rPr>
        <w:t> </w:t>
      </w:r>
      <w:r>
        <w:rPr/>
        <w:t>Operating</w:t>
      </w:r>
      <w:r>
        <w:rPr>
          <w:spacing w:val="-7"/>
        </w:rPr>
        <w:t> </w:t>
      </w:r>
      <w:r>
        <w:rPr/>
        <w:t>Income divided</w:t>
      </w:r>
      <w:r>
        <w:rPr>
          <w:spacing w:val="-12"/>
        </w:rPr>
        <w:t> </w:t>
      </w:r>
      <w:r>
        <w:rPr/>
        <w:t>by</w:t>
      </w:r>
      <w:r>
        <w:rPr>
          <w:spacing w:val="-12"/>
        </w:rPr>
        <w:t> </w:t>
      </w:r>
      <w:r>
        <w:rPr/>
        <w:t>amortizing</w:t>
      </w:r>
      <w:r>
        <w:rPr>
          <w:spacing w:val="-12"/>
        </w:rPr>
        <w:t> </w:t>
      </w:r>
      <w:r>
        <w:rPr/>
        <w:t>debt</w:t>
      </w:r>
      <w:r>
        <w:rPr>
          <w:spacing w:val="-11"/>
        </w:rPr>
        <w:t> </w:t>
      </w:r>
      <w:r>
        <w:rPr/>
        <w:t>service)</w:t>
      </w:r>
      <w:r>
        <w:rPr>
          <w:spacing w:val="-13"/>
        </w:rPr>
        <w:t> </w:t>
      </w:r>
      <w:r>
        <w:rPr/>
        <w:t>throughout</w:t>
      </w:r>
      <w:r>
        <w:rPr>
          <w:spacing w:val="-13"/>
        </w:rPr>
        <w:t> </w:t>
      </w:r>
      <w:r>
        <w:rPr/>
        <w:t>the</w:t>
      </w:r>
      <w:r>
        <w:rPr>
          <w:spacing w:val="-12"/>
        </w:rPr>
        <w:t> </w:t>
      </w:r>
      <w:r>
        <w:rPr/>
        <w:t>affordability</w:t>
      </w:r>
      <w:r>
        <w:rPr>
          <w:spacing w:val="-12"/>
        </w:rPr>
        <w:t> </w:t>
      </w:r>
      <w:r>
        <w:rPr/>
        <w:t>period.</w:t>
      </w:r>
      <w:r>
        <w:rPr>
          <w:spacing w:val="-13"/>
        </w:rPr>
        <w:t> </w:t>
      </w:r>
      <w:r>
        <w:rPr/>
        <w:t>In</w:t>
      </w:r>
      <w:r>
        <w:rPr>
          <w:spacing w:val="-15"/>
        </w:rPr>
        <w:t> </w:t>
      </w:r>
      <w:r>
        <w:rPr/>
        <w:t>some</w:t>
      </w:r>
      <w:r>
        <w:rPr>
          <w:spacing w:val="-12"/>
        </w:rPr>
        <w:t> </w:t>
      </w:r>
      <w:r>
        <w:rPr/>
        <w:t>cases,</w:t>
      </w:r>
      <w:r>
        <w:rPr>
          <w:spacing w:val="-13"/>
        </w:rPr>
        <w:t> </w:t>
      </w:r>
      <w:r>
        <w:rPr/>
        <w:t>for</w:t>
      </w:r>
      <w:r>
        <w:rPr>
          <w:spacing w:val="-13"/>
        </w:rPr>
        <w:t> </w:t>
      </w:r>
      <w:r>
        <w:rPr/>
        <w:t>projects with relatively small levels of mortgage debt, this</w:t>
      </w:r>
      <w:r>
        <w:rPr>
          <w:spacing w:val="-1"/>
        </w:rPr>
        <w:t> </w:t>
      </w:r>
      <w:r>
        <w:rPr/>
        <w:t>may require a higher initial DCR to ensure that the DCR in later years remains at or above the appropriate level.</w:t>
      </w:r>
    </w:p>
    <w:p>
      <w:pPr>
        <w:pStyle w:val="BodyText"/>
        <w:rPr>
          <w:sz w:val="24"/>
        </w:rPr>
      </w:pPr>
    </w:p>
    <w:p>
      <w:pPr>
        <w:pStyle w:val="BodyText"/>
        <w:spacing w:before="10"/>
        <w:rPr>
          <w:sz w:val="19"/>
        </w:rPr>
      </w:pPr>
    </w:p>
    <w:p>
      <w:pPr>
        <w:pStyle w:val="BodyText"/>
        <w:ind w:left="121"/>
        <w:jc w:val="both"/>
      </w:pPr>
      <w:r>
        <w:rPr/>
        <w:t>Operating</w:t>
      </w:r>
      <w:r>
        <w:rPr>
          <w:spacing w:val="-8"/>
        </w:rPr>
        <w:t> </w:t>
      </w:r>
      <w:r>
        <w:rPr>
          <w:spacing w:val="-2"/>
        </w:rPr>
        <w:t>Margin</w:t>
      </w:r>
    </w:p>
    <w:p>
      <w:pPr>
        <w:pStyle w:val="BodyText"/>
        <w:spacing w:before="1"/>
        <w:ind w:left="121" w:right="153"/>
        <w:jc w:val="both"/>
      </w:pPr>
      <w:r>
        <w:rPr/>
        <w:t>In</w:t>
      </w:r>
      <w:r>
        <w:rPr>
          <w:spacing w:val="-11"/>
        </w:rPr>
        <w:t> </w:t>
      </w:r>
      <w:r>
        <w:rPr/>
        <w:t>addition</w:t>
      </w:r>
      <w:r>
        <w:rPr>
          <w:spacing w:val="-11"/>
        </w:rPr>
        <w:t> </w:t>
      </w:r>
      <w:r>
        <w:rPr/>
        <w:t>to</w:t>
      </w:r>
      <w:r>
        <w:rPr>
          <w:spacing w:val="-11"/>
        </w:rPr>
        <w:t> </w:t>
      </w:r>
      <w:r>
        <w:rPr/>
        <w:t>considering</w:t>
      </w:r>
      <w:r>
        <w:rPr>
          <w:spacing w:val="-11"/>
        </w:rPr>
        <w:t> </w:t>
      </w:r>
      <w:r>
        <w:rPr/>
        <w:t>the</w:t>
      </w:r>
      <w:r>
        <w:rPr>
          <w:spacing w:val="-11"/>
        </w:rPr>
        <w:t> </w:t>
      </w:r>
      <w:r>
        <w:rPr/>
        <w:t>DCR,</w:t>
      </w:r>
      <w:r>
        <w:rPr>
          <w:spacing w:val="-10"/>
        </w:rPr>
        <w:t> </w:t>
      </w:r>
      <w:r>
        <w:rPr/>
        <w:t>the</w:t>
      </w:r>
      <w:r>
        <w:rPr>
          <w:spacing w:val="-13"/>
        </w:rPr>
        <w:t> </w:t>
      </w:r>
      <w:r>
        <w:rPr/>
        <w:t>City</w:t>
      </w:r>
      <w:r>
        <w:rPr>
          <w:spacing w:val="-11"/>
        </w:rPr>
        <w:t> </w:t>
      </w:r>
      <w:r>
        <w:rPr/>
        <w:t>will</w:t>
      </w:r>
      <w:r>
        <w:rPr>
          <w:spacing w:val="-12"/>
        </w:rPr>
        <w:t> </w:t>
      </w:r>
      <w:r>
        <w:rPr/>
        <w:t>review</w:t>
      </w:r>
      <w:r>
        <w:rPr>
          <w:spacing w:val="-12"/>
        </w:rPr>
        <w:t> </w:t>
      </w:r>
      <w:r>
        <w:rPr/>
        <w:t>the</w:t>
      </w:r>
      <w:r>
        <w:rPr>
          <w:spacing w:val="-11"/>
        </w:rPr>
        <w:t> </w:t>
      </w:r>
      <w:r>
        <w:rPr/>
        <w:t>operating</w:t>
      </w:r>
      <w:r>
        <w:rPr>
          <w:spacing w:val="-13"/>
        </w:rPr>
        <w:t> </w:t>
      </w:r>
      <w:r>
        <w:rPr/>
        <w:t>margin</w:t>
      </w:r>
      <w:r>
        <w:rPr>
          <w:spacing w:val="-13"/>
        </w:rPr>
        <w:t> </w:t>
      </w:r>
      <w:r>
        <w:rPr/>
        <w:t>(surplus</w:t>
      </w:r>
      <w:r>
        <w:rPr>
          <w:spacing w:val="-11"/>
        </w:rPr>
        <w:t> </w:t>
      </w:r>
      <w:r>
        <w:rPr/>
        <w:t>cash</w:t>
      </w:r>
      <w:r>
        <w:rPr>
          <w:spacing w:val="-13"/>
        </w:rPr>
        <w:t> </w:t>
      </w:r>
      <w:r>
        <w:rPr/>
        <w:t>divided by total operating expenses and amortizing debt service). The operating margin must remain at or above 5% for the period of affordability.</w:t>
      </w:r>
    </w:p>
    <w:p>
      <w:pPr>
        <w:pStyle w:val="BodyText"/>
        <w:spacing w:before="10"/>
        <w:rPr>
          <w:sz w:val="21"/>
        </w:rPr>
      </w:pPr>
    </w:p>
    <w:p>
      <w:pPr>
        <w:pStyle w:val="BodyText"/>
        <w:ind w:left="121"/>
        <w:jc w:val="both"/>
      </w:pPr>
      <w:r>
        <w:rPr/>
        <w:t>Other</w:t>
      </w:r>
      <w:r>
        <w:rPr>
          <w:spacing w:val="-3"/>
        </w:rPr>
        <w:t> </w:t>
      </w:r>
      <w:r>
        <w:rPr/>
        <w:t>Funding</w:t>
      </w:r>
      <w:r>
        <w:rPr>
          <w:spacing w:val="-3"/>
        </w:rPr>
        <w:t> </w:t>
      </w:r>
      <w:r>
        <w:rPr>
          <w:spacing w:val="-2"/>
        </w:rPr>
        <w:t>Sources</w:t>
      </w:r>
    </w:p>
    <w:p>
      <w:pPr>
        <w:pStyle w:val="BodyText"/>
        <w:spacing w:before="1"/>
        <w:ind w:left="121" w:right="155"/>
        <w:jc w:val="both"/>
      </w:pPr>
      <w:r>
        <w:rPr/>
        <w:t>Prior to committing funds, all other funding sources necessary for a project must be identified, committed in writing, and consistent with the both the City’s underwriting requirements and the affordability restrictions of</w:t>
      </w:r>
      <w:r>
        <w:rPr>
          <w:spacing w:val="-1"/>
        </w:rPr>
        <w:t> </w:t>
      </w:r>
      <w:r>
        <w:rPr/>
        <w:t>the HOME</w:t>
      </w:r>
      <w:r>
        <w:rPr>
          <w:spacing w:val="-3"/>
        </w:rPr>
        <w:t> </w:t>
      </w:r>
      <w:r>
        <w:rPr/>
        <w:t>program. In</w:t>
      </w:r>
      <w:r>
        <w:rPr>
          <w:spacing w:val="-3"/>
        </w:rPr>
        <w:t> </w:t>
      </w:r>
      <w:r>
        <w:rPr/>
        <w:t>general, developers</w:t>
      </w:r>
      <w:r>
        <w:rPr>
          <w:spacing w:val="-2"/>
        </w:rPr>
        <w:t> </w:t>
      </w:r>
      <w:r>
        <w:rPr/>
        <w:t>must</w:t>
      </w:r>
      <w:r>
        <w:rPr>
          <w:spacing w:val="-1"/>
        </w:rPr>
        <w:t> </w:t>
      </w:r>
      <w:r>
        <w:rPr/>
        <w:t>make all</w:t>
      </w:r>
      <w:r>
        <w:rPr>
          <w:spacing w:val="-3"/>
        </w:rPr>
        <w:t> </w:t>
      </w:r>
      <w:r>
        <w:rPr/>
        <w:t>reasonable efforts</w:t>
      </w:r>
      <w:r>
        <w:rPr>
          <w:spacing w:val="-14"/>
        </w:rPr>
        <w:t> </w:t>
      </w:r>
      <w:r>
        <w:rPr/>
        <w:t>to</w:t>
      </w:r>
      <w:r>
        <w:rPr>
          <w:spacing w:val="-16"/>
        </w:rPr>
        <w:t> </w:t>
      </w:r>
      <w:r>
        <w:rPr/>
        <w:t>maximize</w:t>
      </w:r>
      <w:r>
        <w:rPr>
          <w:spacing w:val="-14"/>
        </w:rPr>
        <w:t> </w:t>
      </w:r>
      <w:r>
        <w:rPr/>
        <w:t>the</w:t>
      </w:r>
      <w:r>
        <w:rPr>
          <w:spacing w:val="-14"/>
        </w:rPr>
        <w:t> </w:t>
      </w:r>
      <w:r>
        <w:rPr/>
        <w:t>availability</w:t>
      </w:r>
      <w:r>
        <w:rPr>
          <w:spacing w:val="-11"/>
        </w:rPr>
        <w:t> </w:t>
      </w:r>
      <w:r>
        <w:rPr/>
        <w:t>of</w:t>
      </w:r>
      <w:r>
        <w:rPr>
          <w:spacing w:val="-12"/>
        </w:rPr>
        <w:t> </w:t>
      </w:r>
      <w:r>
        <w:rPr/>
        <w:t>other</w:t>
      </w:r>
      <w:r>
        <w:rPr>
          <w:spacing w:val="-12"/>
        </w:rPr>
        <w:t> </w:t>
      </w:r>
      <w:r>
        <w:rPr/>
        <w:t>funding</w:t>
      </w:r>
      <w:r>
        <w:rPr>
          <w:spacing w:val="-14"/>
        </w:rPr>
        <w:t> </w:t>
      </w:r>
      <w:r>
        <w:rPr/>
        <w:t>sources,</w:t>
      </w:r>
      <w:r>
        <w:rPr>
          <w:spacing w:val="-12"/>
        </w:rPr>
        <w:t> </w:t>
      </w:r>
      <w:r>
        <w:rPr/>
        <w:t>including</w:t>
      </w:r>
      <w:r>
        <w:rPr>
          <w:spacing w:val="-11"/>
        </w:rPr>
        <w:t> </w:t>
      </w:r>
      <w:r>
        <w:rPr/>
        <w:t>conventional</w:t>
      </w:r>
      <w:r>
        <w:rPr>
          <w:spacing w:val="-12"/>
        </w:rPr>
        <w:t> </w:t>
      </w:r>
      <w:r>
        <w:rPr/>
        <w:t>mortgage</w:t>
      </w:r>
      <w:r>
        <w:rPr>
          <w:spacing w:val="-14"/>
        </w:rPr>
        <w:t> </w:t>
      </w:r>
      <w:r>
        <w:rPr/>
        <w:t>debt and tax credit equity (as applicable), within commercially available and reasonable terms.</w:t>
      </w:r>
    </w:p>
    <w:p>
      <w:pPr>
        <w:pStyle w:val="BodyText"/>
        <w:spacing w:before="10"/>
        <w:rPr>
          <w:sz w:val="21"/>
        </w:rPr>
      </w:pPr>
    </w:p>
    <w:p>
      <w:pPr>
        <w:pStyle w:val="BodyText"/>
        <w:spacing w:before="1"/>
        <w:ind w:left="121" w:right="157"/>
        <w:jc w:val="both"/>
      </w:pPr>
      <w:r>
        <w:rPr/>
        <w:t>Additionally, restrictions</w:t>
      </w:r>
      <w:r>
        <w:rPr>
          <w:spacing w:val="-3"/>
        </w:rPr>
        <w:t> </w:t>
      </w:r>
      <w:r>
        <w:rPr/>
        <w:t>or limitations imposed by</w:t>
      </w:r>
      <w:r>
        <w:rPr>
          <w:spacing w:val="-1"/>
        </w:rPr>
        <w:t> </w:t>
      </w:r>
      <w:r>
        <w:rPr/>
        <w:t>other funding sources</w:t>
      </w:r>
      <w:r>
        <w:rPr>
          <w:spacing w:val="-1"/>
        </w:rPr>
        <w:t> </w:t>
      </w:r>
      <w:r>
        <w:rPr/>
        <w:t>cannot conflict with any applicable</w:t>
      </w:r>
      <w:r>
        <w:rPr>
          <w:spacing w:val="-2"/>
        </w:rPr>
        <w:t> </w:t>
      </w:r>
      <w:r>
        <w:rPr/>
        <w:t>HOME</w:t>
      </w:r>
      <w:r>
        <w:rPr>
          <w:spacing w:val="-2"/>
        </w:rPr>
        <w:t> </w:t>
      </w:r>
      <w:r>
        <w:rPr/>
        <w:t>requirements</w:t>
      </w:r>
      <w:r>
        <w:rPr>
          <w:spacing w:val="-1"/>
        </w:rPr>
        <w:t> </w:t>
      </w:r>
      <w:r>
        <w:rPr/>
        <w:t>and</w:t>
      </w:r>
      <w:r>
        <w:rPr>
          <w:spacing w:val="-4"/>
        </w:rPr>
        <w:t> </w:t>
      </w:r>
      <w:r>
        <w:rPr/>
        <w:t>cannot, in</w:t>
      </w:r>
      <w:r>
        <w:rPr>
          <w:spacing w:val="-2"/>
        </w:rPr>
        <w:t> </w:t>
      </w:r>
      <w:r>
        <w:rPr/>
        <w:t>the</w:t>
      </w:r>
      <w:r>
        <w:rPr>
          <w:spacing w:val="-2"/>
        </w:rPr>
        <w:t> </w:t>
      </w:r>
      <w:r>
        <w:rPr/>
        <w:t>discretion</w:t>
      </w:r>
      <w:r>
        <w:rPr>
          <w:spacing w:val="-2"/>
        </w:rPr>
        <w:t> </w:t>
      </w:r>
      <w:r>
        <w:rPr/>
        <w:t>of</w:t>
      </w:r>
      <w:r>
        <w:rPr>
          <w:spacing w:val="-3"/>
        </w:rPr>
        <w:t> </w:t>
      </w:r>
      <w:r>
        <w:rPr/>
        <w:t>the</w:t>
      </w:r>
      <w:r>
        <w:rPr>
          <w:spacing w:val="-2"/>
        </w:rPr>
        <w:t> </w:t>
      </w:r>
      <w:r>
        <w:rPr/>
        <w:t>City, create</w:t>
      </w:r>
      <w:r>
        <w:rPr>
          <w:spacing w:val="-2"/>
        </w:rPr>
        <w:t> </w:t>
      </w:r>
      <w:r>
        <w:rPr/>
        <w:t>undue</w:t>
      </w:r>
      <w:r>
        <w:rPr>
          <w:spacing w:val="-4"/>
        </w:rPr>
        <w:t> </w:t>
      </w:r>
      <w:r>
        <w:rPr/>
        <w:t>risk</w:t>
      </w:r>
      <w:r>
        <w:rPr>
          <w:spacing w:val="-1"/>
        </w:rPr>
        <w:t> </w:t>
      </w:r>
      <w:r>
        <w:rPr/>
        <w:t>to</w:t>
      </w:r>
      <w:r>
        <w:rPr>
          <w:spacing w:val="-4"/>
        </w:rPr>
        <w:t> </w:t>
      </w:r>
      <w:r>
        <w:rPr/>
        <w:t>the </w:t>
      </w:r>
      <w:r>
        <w:rPr>
          <w:spacing w:val="-2"/>
        </w:rPr>
        <w:t>City.</w:t>
      </w:r>
    </w:p>
    <w:p>
      <w:pPr>
        <w:spacing w:after="0"/>
        <w:jc w:val="both"/>
        <w:sectPr>
          <w:pgSz w:w="12240" w:h="15840"/>
          <w:pgMar w:header="0" w:footer="1176" w:top="1360" w:bottom="1420" w:left="1320" w:right="1280"/>
        </w:sectPr>
      </w:pPr>
    </w:p>
    <w:p>
      <w:pPr>
        <w:pStyle w:val="BodyText"/>
        <w:spacing w:before="72"/>
        <w:ind w:left="119"/>
        <w:jc w:val="both"/>
      </w:pPr>
      <w:r>
        <w:rPr/>
        <w:t>Senior</w:t>
      </w:r>
      <w:r>
        <w:rPr>
          <w:spacing w:val="-6"/>
        </w:rPr>
        <w:t> </w:t>
      </w:r>
      <w:r>
        <w:rPr/>
        <w:t>Mortgage</w:t>
      </w:r>
      <w:r>
        <w:rPr>
          <w:spacing w:val="-7"/>
        </w:rPr>
        <w:t> </w:t>
      </w:r>
      <w:r>
        <w:rPr>
          <w:spacing w:val="-4"/>
        </w:rPr>
        <w:t>Debt</w:t>
      </w:r>
    </w:p>
    <w:p>
      <w:pPr>
        <w:pStyle w:val="BodyText"/>
        <w:spacing w:before="1"/>
        <w:ind w:left="119"/>
        <w:jc w:val="both"/>
      </w:pPr>
      <w:r>
        <w:rPr/>
        <w:t>Any</w:t>
      </w:r>
      <w:r>
        <w:rPr>
          <w:spacing w:val="-5"/>
        </w:rPr>
        <w:t> </w:t>
      </w:r>
      <w:r>
        <w:rPr/>
        <w:t>amortizing</w:t>
      </w:r>
      <w:r>
        <w:rPr>
          <w:spacing w:val="-6"/>
        </w:rPr>
        <w:t> </w:t>
      </w:r>
      <w:r>
        <w:rPr/>
        <w:t>mortgage</w:t>
      </w:r>
      <w:r>
        <w:rPr>
          <w:spacing w:val="-5"/>
        </w:rPr>
        <w:t> </w:t>
      </w:r>
      <w:r>
        <w:rPr/>
        <w:t>debt</w:t>
      </w:r>
      <w:r>
        <w:rPr>
          <w:spacing w:val="-5"/>
        </w:rPr>
        <w:t> </w:t>
      </w:r>
      <w:r>
        <w:rPr/>
        <w:t>that</w:t>
      </w:r>
      <w:r>
        <w:rPr>
          <w:spacing w:val="-2"/>
        </w:rPr>
        <w:t> </w:t>
      </w:r>
      <w:r>
        <w:rPr/>
        <w:t>will</w:t>
      </w:r>
      <w:r>
        <w:rPr>
          <w:spacing w:val="-3"/>
        </w:rPr>
        <w:t> </w:t>
      </w:r>
      <w:r>
        <w:rPr/>
        <w:t>be</w:t>
      </w:r>
      <w:r>
        <w:rPr>
          <w:spacing w:val="-4"/>
        </w:rPr>
        <w:t> </w:t>
      </w:r>
      <w:r>
        <w:rPr/>
        <w:t>senior</w:t>
      </w:r>
      <w:r>
        <w:rPr>
          <w:spacing w:val="-5"/>
        </w:rPr>
        <w:t> </w:t>
      </w:r>
      <w:r>
        <w:rPr/>
        <w:t>to</w:t>
      </w:r>
      <w:r>
        <w:rPr>
          <w:spacing w:val="-3"/>
        </w:rPr>
        <w:t> </w:t>
      </w:r>
      <w:r>
        <w:rPr/>
        <w:t>the</w:t>
      </w:r>
      <w:r>
        <w:rPr>
          <w:spacing w:val="-6"/>
        </w:rPr>
        <w:t> </w:t>
      </w:r>
      <w:r>
        <w:rPr/>
        <w:t>City’s</w:t>
      </w:r>
      <w:r>
        <w:rPr>
          <w:spacing w:val="-2"/>
        </w:rPr>
        <w:t> </w:t>
      </w:r>
      <w:r>
        <w:rPr/>
        <w:t>HOME</w:t>
      </w:r>
      <w:r>
        <w:rPr>
          <w:spacing w:val="-6"/>
        </w:rPr>
        <w:t> </w:t>
      </w:r>
      <w:r>
        <w:rPr/>
        <w:t>loan</w:t>
      </w:r>
      <w:r>
        <w:rPr>
          <w:spacing w:val="-5"/>
        </w:rPr>
        <w:t> </w:t>
      </w:r>
      <w:r>
        <w:rPr>
          <w:spacing w:val="-2"/>
        </w:rPr>
        <w:t>must:</w:t>
      </w:r>
    </w:p>
    <w:p>
      <w:pPr>
        <w:pStyle w:val="BodyText"/>
      </w:pPr>
    </w:p>
    <w:p>
      <w:pPr>
        <w:pStyle w:val="ListParagraph"/>
        <w:numPr>
          <w:ilvl w:val="0"/>
          <w:numId w:val="29"/>
        </w:numPr>
        <w:tabs>
          <w:tab w:pos="840" w:val="left" w:leader="none"/>
        </w:tabs>
        <w:spacing w:line="269" w:lineRule="exact" w:before="0" w:after="0"/>
        <w:ind w:left="839" w:right="0" w:hanging="361"/>
        <w:jc w:val="both"/>
        <w:rPr>
          <w:sz w:val="22"/>
        </w:rPr>
      </w:pPr>
      <w:r>
        <w:rPr>
          <w:sz w:val="22"/>
        </w:rPr>
        <w:t>Provide</w:t>
      </w:r>
      <w:r>
        <w:rPr>
          <w:spacing w:val="-7"/>
          <w:sz w:val="22"/>
        </w:rPr>
        <w:t> </w:t>
      </w:r>
      <w:r>
        <w:rPr>
          <w:sz w:val="22"/>
        </w:rPr>
        <w:t>fixed-rate</w:t>
      </w:r>
      <w:r>
        <w:rPr>
          <w:spacing w:val="-8"/>
          <w:sz w:val="22"/>
        </w:rPr>
        <w:t> </w:t>
      </w:r>
      <w:r>
        <w:rPr>
          <w:spacing w:val="-2"/>
          <w:sz w:val="22"/>
        </w:rPr>
        <w:t>financing;</w:t>
      </w:r>
    </w:p>
    <w:p>
      <w:pPr>
        <w:pStyle w:val="ListParagraph"/>
        <w:numPr>
          <w:ilvl w:val="0"/>
          <w:numId w:val="29"/>
        </w:numPr>
        <w:tabs>
          <w:tab w:pos="841" w:val="left" w:leader="none"/>
        </w:tabs>
        <w:spacing w:line="237" w:lineRule="auto" w:before="2" w:after="0"/>
        <w:ind w:left="839" w:right="157" w:hanging="360"/>
        <w:jc w:val="both"/>
        <w:rPr>
          <w:sz w:val="22"/>
        </w:rPr>
      </w:pPr>
      <w:r>
        <w:rPr>
          <w:sz w:val="22"/>
        </w:rPr>
        <w:t>Have</w:t>
      </w:r>
      <w:r>
        <w:rPr>
          <w:spacing w:val="-16"/>
          <w:sz w:val="22"/>
        </w:rPr>
        <w:t> </w:t>
      </w:r>
      <w:r>
        <w:rPr>
          <w:sz w:val="22"/>
        </w:rPr>
        <w:t>a</w:t>
      </w:r>
      <w:r>
        <w:rPr>
          <w:spacing w:val="-15"/>
          <w:sz w:val="22"/>
        </w:rPr>
        <w:t> </w:t>
      </w:r>
      <w:r>
        <w:rPr>
          <w:sz w:val="22"/>
        </w:rPr>
        <w:t>term</w:t>
      </w:r>
      <w:r>
        <w:rPr>
          <w:spacing w:val="-15"/>
          <w:sz w:val="22"/>
        </w:rPr>
        <w:t> </w:t>
      </w:r>
      <w:r>
        <w:rPr>
          <w:sz w:val="22"/>
        </w:rPr>
        <w:t>equal</w:t>
      </w:r>
      <w:r>
        <w:rPr>
          <w:spacing w:val="-16"/>
          <w:sz w:val="22"/>
        </w:rPr>
        <w:t> </w:t>
      </w:r>
      <w:r>
        <w:rPr>
          <w:sz w:val="22"/>
        </w:rPr>
        <w:t>to</w:t>
      </w:r>
      <w:r>
        <w:rPr>
          <w:spacing w:val="-15"/>
          <w:sz w:val="22"/>
        </w:rPr>
        <w:t> </w:t>
      </w:r>
      <w:r>
        <w:rPr>
          <w:sz w:val="22"/>
        </w:rPr>
        <w:t>or</w:t>
      </w:r>
      <w:r>
        <w:rPr>
          <w:spacing w:val="-15"/>
          <w:sz w:val="22"/>
        </w:rPr>
        <w:t> </w:t>
      </w:r>
      <w:r>
        <w:rPr>
          <w:sz w:val="22"/>
        </w:rPr>
        <w:t>in</w:t>
      </w:r>
      <w:r>
        <w:rPr>
          <w:spacing w:val="-15"/>
          <w:sz w:val="22"/>
        </w:rPr>
        <w:t> </w:t>
      </w:r>
      <w:r>
        <w:rPr>
          <w:sz w:val="22"/>
        </w:rPr>
        <w:t>excess</w:t>
      </w:r>
      <w:r>
        <w:rPr>
          <w:spacing w:val="-16"/>
          <w:sz w:val="22"/>
        </w:rPr>
        <w:t> </w:t>
      </w:r>
      <w:r>
        <w:rPr>
          <w:sz w:val="22"/>
        </w:rPr>
        <w:t>of</w:t>
      </w:r>
      <w:r>
        <w:rPr>
          <w:spacing w:val="-15"/>
          <w:sz w:val="22"/>
        </w:rPr>
        <w:t> </w:t>
      </w:r>
      <w:r>
        <w:rPr>
          <w:sz w:val="22"/>
        </w:rPr>
        <w:t>the</w:t>
      </w:r>
      <w:r>
        <w:rPr>
          <w:spacing w:val="-15"/>
          <w:sz w:val="22"/>
        </w:rPr>
        <w:t> </w:t>
      </w:r>
      <w:r>
        <w:rPr>
          <w:sz w:val="22"/>
        </w:rPr>
        <w:t>HOME</w:t>
      </w:r>
      <w:r>
        <w:rPr>
          <w:spacing w:val="-16"/>
          <w:sz w:val="22"/>
        </w:rPr>
        <w:t> </w:t>
      </w:r>
      <w:r>
        <w:rPr>
          <w:sz w:val="22"/>
        </w:rPr>
        <w:t>affordability</w:t>
      </w:r>
      <w:r>
        <w:rPr>
          <w:spacing w:val="-15"/>
          <w:sz w:val="22"/>
        </w:rPr>
        <w:t> </w:t>
      </w:r>
      <w:r>
        <w:rPr>
          <w:sz w:val="22"/>
        </w:rPr>
        <w:t>period.</w:t>
      </w:r>
      <w:r>
        <w:rPr>
          <w:spacing w:val="-13"/>
          <w:sz w:val="22"/>
        </w:rPr>
        <w:t> </w:t>
      </w:r>
      <w:r>
        <w:rPr>
          <w:sz w:val="22"/>
        </w:rPr>
        <w:t>The</w:t>
      </w:r>
      <w:r>
        <w:rPr>
          <w:spacing w:val="-15"/>
          <w:sz w:val="22"/>
        </w:rPr>
        <w:t> </w:t>
      </w:r>
      <w:r>
        <w:rPr>
          <w:sz w:val="22"/>
        </w:rPr>
        <w:t>affordability</w:t>
      </w:r>
      <w:r>
        <w:rPr>
          <w:spacing w:val="-13"/>
          <w:sz w:val="22"/>
        </w:rPr>
        <w:t> </w:t>
      </w:r>
      <w:r>
        <w:rPr>
          <w:sz w:val="22"/>
        </w:rPr>
        <w:t>period will</w:t>
      </w:r>
      <w:r>
        <w:rPr>
          <w:spacing w:val="18"/>
          <w:sz w:val="22"/>
        </w:rPr>
        <w:t> </w:t>
      </w:r>
      <w:r>
        <w:rPr>
          <w:sz w:val="22"/>
        </w:rPr>
        <w:t>generally</w:t>
      </w:r>
      <w:r>
        <w:rPr>
          <w:spacing w:val="19"/>
          <w:sz w:val="22"/>
        </w:rPr>
        <w:t> </w:t>
      </w:r>
      <w:r>
        <w:rPr>
          <w:sz w:val="22"/>
        </w:rPr>
        <w:t>be</w:t>
      </w:r>
      <w:r>
        <w:rPr>
          <w:spacing w:val="19"/>
          <w:sz w:val="22"/>
        </w:rPr>
        <w:t> </w:t>
      </w:r>
      <w:r>
        <w:rPr>
          <w:sz w:val="22"/>
        </w:rPr>
        <w:t>15</w:t>
      </w:r>
      <w:r>
        <w:rPr>
          <w:spacing w:val="17"/>
          <w:sz w:val="22"/>
        </w:rPr>
        <w:t> </w:t>
      </w:r>
      <w:r>
        <w:rPr>
          <w:sz w:val="22"/>
        </w:rPr>
        <w:t>years</w:t>
      </w:r>
      <w:r>
        <w:rPr>
          <w:spacing w:val="19"/>
          <w:sz w:val="22"/>
        </w:rPr>
        <w:t> </w:t>
      </w:r>
      <w:r>
        <w:rPr>
          <w:sz w:val="22"/>
        </w:rPr>
        <w:t>beyond</w:t>
      </w:r>
      <w:r>
        <w:rPr>
          <w:spacing w:val="14"/>
          <w:sz w:val="22"/>
        </w:rPr>
        <w:t> </w:t>
      </w:r>
      <w:r>
        <w:rPr>
          <w:sz w:val="22"/>
        </w:rPr>
        <w:t>the</w:t>
      </w:r>
      <w:r>
        <w:rPr>
          <w:spacing w:val="17"/>
          <w:sz w:val="22"/>
        </w:rPr>
        <w:t> </w:t>
      </w:r>
      <w:r>
        <w:rPr>
          <w:sz w:val="22"/>
        </w:rPr>
        <w:t>date</w:t>
      </w:r>
      <w:r>
        <w:rPr>
          <w:spacing w:val="17"/>
          <w:sz w:val="22"/>
        </w:rPr>
        <w:t> </w:t>
      </w:r>
      <w:r>
        <w:rPr>
          <w:sz w:val="22"/>
        </w:rPr>
        <w:t>of</w:t>
      </w:r>
      <w:r>
        <w:rPr>
          <w:spacing w:val="20"/>
          <w:sz w:val="22"/>
        </w:rPr>
        <w:t> </w:t>
      </w:r>
      <w:r>
        <w:rPr>
          <w:sz w:val="22"/>
        </w:rPr>
        <w:t>project</w:t>
      </w:r>
      <w:r>
        <w:rPr>
          <w:spacing w:val="18"/>
          <w:sz w:val="22"/>
        </w:rPr>
        <w:t> </w:t>
      </w:r>
      <w:r>
        <w:rPr>
          <w:sz w:val="22"/>
        </w:rPr>
        <w:t>completion</w:t>
      </w:r>
      <w:r>
        <w:rPr>
          <w:spacing w:val="17"/>
          <w:sz w:val="22"/>
        </w:rPr>
        <w:t> </w:t>
      </w:r>
      <w:r>
        <w:rPr>
          <w:sz w:val="22"/>
        </w:rPr>
        <w:t>as</w:t>
      </w:r>
      <w:r>
        <w:rPr>
          <w:spacing w:val="17"/>
          <w:sz w:val="22"/>
        </w:rPr>
        <w:t> </w:t>
      </w:r>
      <w:r>
        <w:rPr>
          <w:sz w:val="22"/>
        </w:rPr>
        <w:t>defined</w:t>
      </w:r>
      <w:r>
        <w:rPr>
          <w:spacing w:val="19"/>
          <w:sz w:val="22"/>
        </w:rPr>
        <w:t> </w:t>
      </w:r>
      <w:r>
        <w:rPr>
          <w:sz w:val="22"/>
        </w:rPr>
        <w:t>in</w:t>
      </w:r>
      <w:r>
        <w:rPr>
          <w:spacing w:val="19"/>
          <w:sz w:val="22"/>
        </w:rPr>
        <w:t> </w:t>
      </w:r>
      <w:r>
        <w:rPr>
          <w:sz w:val="22"/>
        </w:rPr>
        <w:t>24</w:t>
      </w:r>
      <w:r>
        <w:rPr>
          <w:spacing w:val="17"/>
          <w:sz w:val="22"/>
        </w:rPr>
        <w:t> </w:t>
      </w:r>
      <w:r>
        <w:rPr>
          <w:sz w:val="22"/>
        </w:rPr>
        <w:t>CFR</w:t>
      </w:r>
    </w:p>
    <w:p>
      <w:pPr>
        <w:pStyle w:val="BodyText"/>
        <w:ind w:left="839" w:right="155"/>
        <w:jc w:val="both"/>
      </w:pPr>
      <w:r>
        <w:rPr/>
        <w:pict>
          <v:shape style="position:absolute;margin-left:90.065002pt;margin-top:24.486668pt;width:395.3pt;height:419pt;mso-position-horizontal-relative:page;mso-position-vertical-relative:paragraph;z-index:-17676800" id="docshape133" coordorigin="1801,490" coordsize="7906,8380" path="m4498,7753l4492,7680,4477,7602,4455,7519,4432,7450,4403,7378,4367,7303,4325,7225,4276,7144,4237,7085,4200,7035,4200,7720,4197,7776,4186,7833,4167,7891,4138,7950,4097,8013,4044,8079,3979,8149,3674,8454,2216,6996,2517,6696,2598,6619,2672,6560,2740,6516,2801,6490,2868,6475,2941,6471,3020,6478,3105,6496,3195,6525,3255,6550,3317,6583,3380,6621,3446,6666,3514,6718,3584,6776,3656,6841,3729,6912,3789,6974,3845,7034,3896,7093,3943,7151,3986,7207,4025,7262,4059,7316,4101,7391,4136,7463,4163,7533,4183,7600,4196,7664,4200,7720,4200,7035,4194,7026,4148,6966,4098,6905,4045,6844,3989,6783,3929,6721,3865,6659,3801,6600,3737,6545,3673,6494,3643,6471,3609,6446,3546,6401,3482,6360,3419,6322,3346,6284,3274,6252,3203,6225,3132,6203,3062,6186,2992,6174,2923,6167,2850,6165,2779,6172,2709,6187,2642,6210,2577,6240,2528,6268,2476,6305,2420,6351,2359,6405,2294,6467,1801,6961,3710,8869,4124,8454,4226,8352,4287,8287,4341,8222,4386,8156,4424,8089,4454,8023,4476,7956,4491,7890,4498,7822,4498,7753xm6418,6160l6056,6033,5650,5890,5561,5861,5475,5837,5393,5818,5365,5812,5314,5803,5239,5793,5193,5792,5143,5795,5089,5802,5030,5812,5073,5743,5109,5673,5136,5604,5154,5535,5164,5467,5165,5398,5157,5331,5139,5253,5111,5176,5075,5102,5030,5029,4976,4959,4956,4936,4913,4890,4872,4852,4872,5409,4868,5465,4854,5520,4830,5576,4794,5634,4747,5695,4687,5759,4280,6166,3649,5535,4102,5082,4166,5025,4229,4982,4293,4952,4358,4937,4422,4936,4501,4951,4577,4981,4649,5025,4718,5085,4761,5133,4797,5183,4827,5237,4851,5294,4867,5352,4872,5409,4872,4852,4849,4830,4782,4778,4713,4732,4641,4694,4566,4662,4474,4633,4386,4621,4303,4623,4225,4639,4163,4663,4098,4700,4030,4748,3958,4808,3883,4879,3248,5514,5157,7422,5346,7232,4499,6385,4718,6166,4753,6132,4783,6104,4810,6083,4833,6069,4863,6055,4896,6044,4932,6037,4971,6033,5014,6033,5066,6038,5125,6048,5194,6065,5256,6082,5328,6103,5407,6128,5496,6157,6180,6398,6418,6160xm7780,4798l7415,4603,6555,4149,6555,4456,6070,4941,6030,4870,5989,4798,5748,4367,5708,4296,5668,4224,5629,4159,5590,4094,5550,4030,5509,3967,5467,3905,5424,3843,5380,3783,5436,3818,5498,3856,5564,3896,5635,3938,5792,4028,6555,4456,6555,4149,5862,3783,5286,3476,5082,3680,5277,4030,5316,4100,5701,4798,6207,5717,6441,6138,6642,5937,6565,5803,6298,5335,6221,5201,6481,4941,6820,4603,7173,4798,7565,5014,7780,4798xm8131,4448l7264,3581,7936,2909,7711,2684,7039,3355,6448,2765,7224,1988,6999,1763,6033,2729,7941,4637,8131,4448xm9707,2872l8024,1189,8497,715,8272,490,7138,1624,7363,1849,7834,1378,9517,3061,9707,2872xe" filled="true" fillcolor="#c0c0c0" stroked="false">
            <v:path arrowok="t"/>
            <v:fill opacity="32896f" type="solid"/>
            <w10:wrap type="none"/>
          </v:shape>
        </w:pict>
      </w:r>
      <w:r>
        <w:rPr/>
        <w:t>92.2 for acquisition/rehabilitation projects and 20 years for new construction projects. In practice, the date of project completion will not be the same as placed in</w:t>
      </w:r>
      <w:r>
        <w:rPr>
          <w:spacing w:val="-2"/>
        </w:rPr>
        <w:t> </w:t>
      </w:r>
      <w:r>
        <w:rPr/>
        <w:t>service date</w:t>
      </w:r>
      <w:r>
        <w:rPr>
          <w:spacing w:val="-2"/>
        </w:rPr>
        <w:t> </w:t>
      </w:r>
      <w:r>
        <w:rPr/>
        <w:t>for tax</w:t>
      </w:r>
      <w:r>
        <w:rPr>
          <w:spacing w:val="-4"/>
        </w:rPr>
        <w:t> </w:t>
      </w:r>
      <w:r>
        <w:rPr/>
        <w:t>purposes</w:t>
      </w:r>
      <w:r>
        <w:rPr>
          <w:spacing w:val="-4"/>
        </w:rPr>
        <w:t> </w:t>
      </w:r>
      <w:r>
        <w:rPr/>
        <w:t>but</w:t>
      </w:r>
      <w:r>
        <w:rPr>
          <w:spacing w:val="-5"/>
        </w:rPr>
        <w:t> </w:t>
      </w:r>
      <w:r>
        <w:rPr/>
        <w:t>for</w:t>
      </w:r>
      <w:r>
        <w:rPr>
          <w:spacing w:val="-5"/>
        </w:rPr>
        <w:t> </w:t>
      </w:r>
      <w:r>
        <w:rPr/>
        <w:t>most</w:t>
      </w:r>
      <w:r>
        <w:rPr>
          <w:spacing w:val="-3"/>
        </w:rPr>
        <w:t> </w:t>
      </w:r>
      <w:r>
        <w:rPr/>
        <w:t>projects</w:t>
      </w:r>
      <w:r>
        <w:rPr>
          <w:spacing w:val="-4"/>
        </w:rPr>
        <w:t> </w:t>
      </w:r>
      <w:r>
        <w:rPr/>
        <w:t>will</w:t>
      </w:r>
      <w:r>
        <w:rPr>
          <w:spacing w:val="-5"/>
        </w:rPr>
        <w:t> </w:t>
      </w:r>
      <w:r>
        <w:rPr/>
        <w:t>occur</w:t>
      </w:r>
      <w:r>
        <w:rPr>
          <w:spacing w:val="-3"/>
        </w:rPr>
        <w:t> </w:t>
      </w:r>
      <w:r>
        <w:rPr/>
        <w:t>prior</w:t>
      </w:r>
      <w:r>
        <w:rPr>
          <w:spacing w:val="-5"/>
        </w:rPr>
        <w:t> </w:t>
      </w:r>
      <w:r>
        <w:rPr/>
        <w:t>to</w:t>
      </w:r>
      <w:r>
        <w:rPr>
          <w:spacing w:val="-4"/>
        </w:rPr>
        <w:t> </w:t>
      </w:r>
      <w:r>
        <w:rPr/>
        <w:t>permanent</w:t>
      </w:r>
      <w:r>
        <w:rPr>
          <w:spacing w:val="-3"/>
        </w:rPr>
        <w:t> </w:t>
      </w:r>
      <w:r>
        <w:rPr/>
        <w:t>loan</w:t>
      </w:r>
      <w:r>
        <w:rPr>
          <w:spacing w:val="-4"/>
        </w:rPr>
        <w:t> </w:t>
      </w:r>
      <w:r>
        <w:rPr/>
        <w:t>conversion</w:t>
      </w:r>
      <w:r>
        <w:rPr>
          <w:spacing w:val="-4"/>
        </w:rPr>
        <w:t> </w:t>
      </w:r>
      <w:r>
        <w:rPr/>
        <w:t>following property stabilization. Insomuch as possible, the first mortgage should have the longest amortization period available but cannot balloon prior to the expiration of</w:t>
      </w:r>
      <w:r>
        <w:rPr>
          <w:spacing w:val="-1"/>
        </w:rPr>
        <w:t> </w:t>
      </w:r>
      <w:r>
        <w:rPr/>
        <w:t>the affordability period; and</w:t>
      </w:r>
    </w:p>
    <w:p>
      <w:pPr>
        <w:pStyle w:val="ListParagraph"/>
        <w:numPr>
          <w:ilvl w:val="0"/>
          <w:numId w:val="29"/>
        </w:numPr>
        <w:tabs>
          <w:tab w:pos="840" w:val="left" w:leader="none"/>
        </w:tabs>
        <w:spacing w:line="240" w:lineRule="auto" w:before="0" w:after="0"/>
        <w:ind w:left="839" w:right="157" w:hanging="361"/>
        <w:jc w:val="both"/>
        <w:rPr>
          <w:sz w:val="22"/>
        </w:rPr>
      </w:pPr>
      <w:r>
        <w:rPr>
          <w:sz w:val="22"/>
        </w:rPr>
        <w:t>Allow</w:t>
      </w:r>
      <w:r>
        <w:rPr>
          <w:spacing w:val="-5"/>
          <w:sz w:val="22"/>
        </w:rPr>
        <w:t> </w:t>
      </w:r>
      <w:r>
        <w:rPr>
          <w:sz w:val="22"/>
        </w:rPr>
        <w:t>the</w:t>
      </w:r>
      <w:r>
        <w:rPr>
          <w:spacing w:val="-5"/>
          <w:sz w:val="22"/>
        </w:rPr>
        <w:t> </w:t>
      </w:r>
      <w:r>
        <w:rPr>
          <w:sz w:val="22"/>
        </w:rPr>
        <w:t>City’s</w:t>
      </w:r>
      <w:r>
        <w:rPr>
          <w:spacing w:val="-5"/>
          <w:sz w:val="22"/>
        </w:rPr>
        <w:t> </w:t>
      </w:r>
      <w:r>
        <w:rPr>
          <w:sz w:val="22"/>
        </w:rPr>
        <w:t>HOME</w:t>
      </w:r>
      <w:r>
        <w:rPr>
          <w:spacing w:val="-5"/>
          <w:sz w:val="22"/>
        </w:rPr>
        <w:t> </w:t>
      </w:r>
      <w:r>
        <w:rPr>
          <w:sz w:val="22"/>
        </w:rPr>
        <w:t>covenant</w:t>
      </w:r>
      <w:r>
        <w:rPr>
          <w:spacing w:val="-5"/>
          <w:sz w:val="22"/>
        </w:rPr>
        <w:t> </w:t>
      </w:r>
      <w:r>
        <w:rPr>
          <w:sz w:val="22"/>
        </w:rPr>
        <w:t>running</w:t>
      </w:r>
      <w:r>
        <w:rPr>
          <w:spacing w:val="-5"/>
          <w:sz w:val="22"/>
        </w:rPr>
        <w:t> </w:t>
      </w:r>
      <w:r>
        <w:rPr>
          <w:sz w:val="22"/>
        </w:rPr>
        <w:t>with</w:t>
      </w:r>
      <w:r>
        <w:rPr>
          <w:spacing w:val="-7"/>
          <w:sz w:val="22"/>
        </w:rPr>
        <w:t> </w:t>
      </w:r>
      <w:r>
        <w:rPr>
          <w:sz w:val="22"/>
        </w:rPr>
        <w:t>the</w:t>
      </w:r>
      <w:r>
        <w:rPr>
          <w:spacing w:val="-7"/>
          <w:sz w:val="22"/>
        </w:rPr>
        <w:t> </w:t>
      </w:r>
      <w:r>
        <w:rPr>
          <w:sz w:val="22"/>
        </w:rPr>
        <w:t>land</w:t>
      </w:r>
      <w:r>
        <w:rPr>
          <w:spacing w:val="-5"/>
          <w:sz w:val="22"/>
        </w:rPr>
        <w:t> </w:t>
      </w:r>
      <w:r>
        <w:rPr>
          <w:sz w:val="22"/>
        </w:rPr>
        <w:t>(i.e.</w:t>
      </w:r>
      <w:r>
        <w:rPr>
          <w:spacing w:val="-5"/>
          <w:sz w:val="22"/>
        </w:rPr>
        <w:t> </w:t>
      </w:r>
      <w:r>
        <w:rPr>
          <w:sz w:val="22"/>
        </w:rPr>
        <w:t>the</w:t>
      </w:r>
      <w:r>
        <w:rPr>
          <w:spacing w:val="-6"/>
          <w:sz w:val="22"/>
        </w:rPr>
        <w:t> </w:t>
      </w:r>
      <w:r>
        <w:rPr>
          <w:sz w:val="22"/>
        </w:rPr>
        <w:t>deed</w:t>
      </w:r>
      <w:r>
        <w:rPr>
          <w:spacing w:val="-7"/>
          <w:sz w:val="22"/>
        </w:rPr>
        <w:t> </w:t>
      </w:r>
      <w:r>
        <w:rPr>
          <w:sz w:val="22"/>
        </w:rPr>
        <w:t>restrictions</w:t>
      </w:r>
      <w:r>
        <w:rPr>
          <w:spacing w:val="-5"/>
          <w:sz w:val="22"/>
        </w:rPr>
        <w:t> </w:t>
      </w:r>
      <w:r>
        <w:rPr>
          <w:sz w:val="22"/>
        </w:rPr>
        <w:t>imposing the HOME affordability requirements) to be recorded senior to all other financing documents such that the HOME covenant is not extinguished in the case of foreclosure by</w:t>
      </w:r>
      <w:r>
        <w:rPr>
          <w:spacing w:val="-9"/>
          <w:sz w:val="22"/>
        </w:rPr>
        <w:t> </w:t>
      </w:r>
      <w:r>
        <w:rPr>
          <w:sz w:val="22"/>
        </w:rPr>
        <w:t>a</w:t>
      </w:r>
      <w:r>
        <w:rPr>
          <w:spacing w:val="-10"/>
          <w:sz w:val="22"/>
        </w:rPr>
        <w:t> </w:t>
      </w:r>
      <w:r>
        <w:rPr>
          <w:sz w:val="22"/>
        </w:rPr>
        <w:t>senior</w:t>
      </w:r>
      <w:r>
        <w:rPr>
          <w:spacing w:val="-11"/>
          <w:sz w:val="22"/>
        </w:rPr>
        <w:t> </w:t>
      </w:r>
      <w:r>
        <w:rPr>
          <w:sz w:val="22"/>
        </w:rPr>
        <w:t>lender.</w:t>
      </w:r>
      <w:r>
        <w:rPr>
          <w:spacing w:val="-10"/>
          <w:sz w:val="22"/>
        </w:rPr>
        <w:t> </w:t>
      </w:r>
      <w:r>
        <w:rPr>
          <w:sz w:val="22"/>
        </w:rPr>
        <w:t>Note</w:t>
      </w:r>
      <w:r>
        <w:rPr>
          <w:spacing w:val="-12"/>
          <w:sz w:val="22"/>
        </w:rPr>
        <w:t> </w:t>
      </w:r>
      <w:r>
        <w:rPr>
          <w:sz w:val="22"/>
        </w:rPr>
        <w:t>the</w:t>
      </w:r>
      <w:r>
        <w:rPr>
          <w:spacing w:val="-10"/>
          <w:sz w:val="22"/>
        </w:rPr>
        <w:t> </w:t>
      </w:r>
      <w:r>
        <w:rPr>
          <w:sz w:val="22"/>
        </w:rPr>
        <w:t>City</w:t>
      </w:r>
      <w:r>
        <w:rPr>
          <w:spacing w:val="-9"/>
          <w:sz w:val="22"/>
        </w:rPr>
        <w:t> </w:t>
      </w:r>
      <w:r>
        <w:rPr>
          <w:sz w:val="22"/>
        </w:rPr>
        <w:t>HOME</w:t>
      </w:r>
      <w:r>
        <w:rPr>
          <w:spacing w:val="-10"/>
          <w:sz w:val="22"/>
        </w:rPr>
        <w:t> </w:t>
      </w:r>
      <w:r>
        <w:rPr>
          <w:sz w:val="22"/>
        </w:rPr>
        <w:t>loan</w:t>
      </w:r>
      <w:r>
        <w:rPr>
          <w:spacing w:val="-10"/>
          <w:sz w:val="22"/>
        </w:rPr>
        <w:t> </w:t>
      </w:r>
      <w:r>
        <w:rPr>
          <w:sz w:val="22"/>
        </w:rPr>
        <w:t>itself</w:t>
      </w:r>
      <w:r>
        <w:rPr>
          <w:spacing w:val="-11"/>
          <w:sz w:val="22"/>
        </w:rPr>
        <w:t> </w:t>
      </w:r>
      <w:r>
        <w:rPr>
          <w:sz w:val="22"/>
        </w:rPr>
        <w:t>will</w:t>
      </w:r>
      <w:r>
        <w:rPr>
          <w:spacing w:val="-10"/>
          <w:sz w:val="22"/>
        </w:rPr>
        <w:t> </w:t>
      </w:r>
      <w:r>
        <w:rPr>
          <w:sz w:val="22"/>
        </w:rPr>
        <w:t>be</w:t>
      </w:r>
      <w:r>
        <w:rPr>
          <w:spacing w:val="-10"/>
          <w:sz w:val="22"/>
        </w:rPr>
        <w:t> </w:t>
      </w:r>
      <w:r>
        <w:rPr>
          <w:sz w:val="22"/>
        </w:rPr>
        <w:t>junior</w:t>
      </w:r>
      <w:r>
        <w:rPr>
          <w:spacing w:val="-9"/>
          <w:sz w:val="22"/>
        </w:rPr>
        <w:t> </w:t>
      </w:r>
      <w:r>
        <w:rPr>
          <w:sz w:val="22"/>
        </w:rPr>
        <w:t>to</w:t>
      </w:r>
      <w:r>
        <w:rPr>
          <w:spacing w:val="-12"/>
          <w:sz w:val="22"/>
        </w:rPr>
        <w:t> </w:t>
      </w:r>
      <w:r>
        <w:rPr>
          <w:sz w:val="22"/>
        </w:rPr>
        <w:t>conventional</w:t>
      </w:r>
      <w:r>
        <w:rPr>
          <w:spacing w:val="-10"/>
          <w:sz w:val="22"/>
        </w:rPr>
        <w:t> </w:t>
      </w:r>
      <w:r>
        <w:rPr>
          <w:sz w:val="22"/>
        </w:rPr>
        <w:t>amortizing loans; only the deed restrictions must be senior.</w:t>
      </w:r>
    </w:p>
    <w:p>
      <w:pPr>
        <w:pStyle w:val="BodyText"/>
        <w:spacing w:before="8"/>
        <w:rPr>
          <w:sz w:val="21"/>
        </w:rPr>
      </w:pPr>
    </w:p>
    <w:p>
      <w:pPr>
        <w:pStyle w:val="BodyText"/>
        <w:ind w:left="119"/>
        <w:jc w:val="both"/>
      </w:pPr>
      <w:r>
        <w:rPr/>
        <w:t>Tax</w:t>
      </w:r>
      <w:r>
        <w:rPr>
          <w:spacing w:val="-4"/>
        </w:rPr>
        <w:t> </w:t>
      </w:r>
      <w:r>
        <w:rPr/>
        <w:t>Credit</w:t>
      </w:r>
      <w:r>
        <w:rPr>
          <w:spacing w:val="-3"/>
        </w:rPr>
        <w:t> </w:t>
      </w:r>
      <w:r>
        <w:rPr>
          <w:spacing w:val="-2"/>
        </w:rPr>
        <w:t>Equity</w:t>
      </w:r>
    </w:p>
    <w:p>
      <w:pPr>
        <w:pStyle w:val="BodyText"/>
        <w:spacing w:before="1"/>
        <w:ind w:left="119" w:right="155"/>
        <w:jc w:val="both"/>
      </w:pPr>
      <w:r>
        <w:rPr/>
        <w:t>Projections of tax credit equity must be documented by letters of intent or other similar offers to participate in the transaction by the proposed tax credit investor. Prior to committing funds, the applicant</w:t>
      </w:r>
      <w:r>
        <w:rPr>
          <w:spacing w:val="-8"/>
        </w:rPr>
        <w:t> </w:t>
      </w:r>
      <w:r>
        <w:rPr/>
        <w:t>must</w:t>
      </w:r>
      <w:r>
        <w:rPr>
          <w:spacing w:val="-8"/>
        </w:rPr>
        <w:t> </w:t>
      </w:r>
      <w:r>
        <w:rPr/>
        <w:t>provide</w:t>
      </w:r>
      <w:r>
        <w:rPr>
          <w:spacing w:val="-7"/>
        </w:rPr>
        <w:t> </w:t>
      </w:r>
      <w:r>
        <w:rPr/>
        <w:t>evidence</w:t>
      </w:r>
      <w:r>
        <w:rPr>
          <w:spacing w:val="-7"/>
        </w:rPr>
        <w:t> </w:t>
      </w:r>
      <w:r>
        <w:rPr/>
        <w:t>it</w:t>
      </w:r>
      <w:r>
        <w:rPr>
          <w:spacing w:val="-8"/>
        </w:rPr>
        <w:t> </w:t>
      </w:r>
      <w:r>
        <w:rPr/>
        <w:t>has</w:t>
      </w:r>
      <w:r>
        <w:rPr>
          <w:spacing w:val="-11"/>
        </w:rPr>
        <w:t> </w:t>
      </w:r>
      <w:r>
        <w:rPr/>
        <w:t>received</w:t>
      </w:r>
      <w:r>
        <w:rPr>
          <w:spacing w:val="-10"/>
        </w:rPr>
        <w:t> </w:t>
      </w:r>
      <w:r>
        <w:rPr/>
        <w:t>a</w:t>
      </w:r>
      <w:r>
        <w:rPr>
          <w:spacing w:val="-10"/>
        </w:rPr>
        <w:t> </w:t>
      </w:r>
      <w:r>
        <w:rPr/>
        <w:t>tax</w:t>
      </w:r>
      <w:r>
        <w:rPr>
          <w:spacing w:val="-9"/>
        </w:rPr>
        <w:t> </w:t>
      </w:r>
      <w:r>
        <w:rPr/>
        <w:t>credit</w:t>
      </w:r>
      <w:r>
        <w:rPr>
          <w:spacing w:val="-11"/>
        </w:rPr>
        <w:t> </w:t>
      </w:r>
      <w:r>
        <w:rPr/>
        <w:t>reservation</w:t>
      </w:r>
      <w:r>
        <w:rPr>
          <w:spacing w:val="-10"/>
        </w:rPr>
        <w:t> </w:t>
      </w:r>
      <w:r>
        <w:rPr/>
        <w:t>from</w:t>
      </w:r>
      <w:r>
        <w:rPr>
          <w:spacing w:val="-9"/>
        </w:rPr>
        <w:t> </w:t>
      </w:r>
      <w:r>
        <w:rPr/>
        <w:t>TDHCA</w:t>
      </w:r>
      <w:r>
        <w:rPr>
          <w:spacing w:val="-8"/>
        </w:rPr>
        <w:t> </w:t>
      </w:r>
      <w:r>
        <w:rPr/>
        <w:t>and</w:t>
      </w:r>
      <w:r>
        <w:rPr>
          <w:spacing w:val="-10"/>
        </w:rPr>
        <w:t> </w:t>
      </w:r>
      <w:r>
        <w:rPr/>
        <w:t>provide the</w:t>
      </w:r>
      <w:r>
        <w:rPr>
          <w:spacing w:val="-6"/>
        </w:rPr>
        <w:t> </w:t>
      </w:r>
      <w:r>
        <w:rPr/>
        <w:t>proposed</w:t>
      </w:r>
      <w:r>
        <w:rPr>
          <w:spacing w:val="-8"/>
        </w:rPr>
        <w:t> </w:t>
      </w:r>
      <w:r>
        <w:rPr/>
        <w:t>limited</w:t>
      </w:r>
      <w:r>
        <w:rPr>
          <w:spacing w:val="-8"/>
        </w:rPr>
        <w:t> </w:t>
      </w:r>
      <w:r>
        <w:rPr/>
        <w:t>partnership</w:t>
      </w:r>
      <w:r>
        <w:rPr>
          <w:spacing w:val="-6"/>
        </w:rPr>
        <w:t> </w:t>
      </w:r>
      <w:r>
        <w:rPr/>
        <w:t>agreement</w:t>
      </w:r>
      <w:r>
        <w:rPr>
          <w:spacing w:val="-7"/>
        </w:rPr>
        <w:t> </w:t>
      </w:r>
      <w:r>
        <w:rPr/>
        <w:t>or</w:t>
      </w:r>
      <w:r>
        <w:rPr>
          <w:spacing w:val="-7"/>
        </w:rPr>
        <w:t> </w:t>
      </w:r>
      <w:r>
        <w:rPr/>
        <w:t>operating</w:t>
      </w:r>
      <w:r>
        <w:rPr>
          <w:spacing w:val="-8"/>
        </w:rPr>
        <w:t> </w:t>
      </w:r>
      <w:r>
        <w:rPr/>
        <w:t>agreement,</w:t>
      </w:r>
      <w:r>
        <w:rPr>
          <w:spacing w:val="-7"/>
        </w:rPr>
        <w:t> </w:t>
      </w:r>
      <w:r>
        <w:rPr/>
        <w:t>as</w:t>
      </w:r>
      <w:r>
        <w:rPr>
          <w:spacing w:val="-8"/>
        </w:rPr>
        <w:t> </w:t>
      </w:r>
      <w:r>
        <w:rPr/>
        <w:t>applicable,</w:t>
      </w:r>
      <w:r>
        <w:rPr>
          <w:spacing w:val="-5"/>
        </w:rPr>
        <w:t> </w:t>
      </w:r>
      <w:r>
        <w:rPr/>
        <w:t>documenting the terms of the equity investment.</w:t>
      </w:r>
    </w:p>
    <w:p>
      <w:pPr>
        <w:pStyle w:val="BodyText"/>
        <w:spacing w:before="10"/>
        <w:rPr>
          <w:sz w:val="21"/>
        </w:rPr>
      </w:pPr>
    </w:p>
    <w:p>
      <w:pPr>
        <w:pStyle w:val="BodyText"/>
        <w:ind w:left="119" w:right="158"/>
        <w:jc w:val="both"/>
      </w:pPr>
      <w:r>
        <w:rPr/>
        <w:t>The City will review</w:t>
      </w:r>
      <w:r>
        <w:rPr>
          <w:spacing w:val="-1"/>
        </w:rPr>
        <w:t> </w:t>
      </w:r>
      <w:r>
        <w:rPr/>
        <w:t>proposed equity pricing against information</w:t>
      </w:r>
      <w:r>
        <w:rPr>
          <w:spacing w:val="-3"/>
        </w:rPr>
        <w:t> </w:t>
      </w:r>
      <w:r>
        <w:rPr/>
        <w:t>from other projects in the region to assess whether the pricing and terms are reasonable.</w:t>
      </w:r>
    </w:p>
    <w:p>
      <w:pPr>
        <w:pStyle w:val="BodyText"/>
        <w:spacing w:before="11"/>
        <w:rPr>
          <w:sz w:val="21"/>
        </w:rPr>
      </w:pPr>
    </w:p>
    <w:p>
      <w:pPr>
        <w:pStyle w:val="BodyText"/>
        <w:ind w:left="119"/>
        <w:jc w:val="both"/>
      </w:pPr>
      <w:r>
        <w:rPr/>
        <w:t>Deferred</w:t>
      </w:r>
      <w:r>
        <w:rPr>
          <w:spacing w:val="-10"/>
        </w:rPr>
        <w:t> </w:t>
      </w:r>
      <w:r>
        <w:rPr/>
        <w:t>Developer</w:t>
      </w:r>
      <w:r>
        <w:rPr>
          <w:spacing w:val="-8"/>
        </w:rPr>
        <w:t> </w:t>
      </w:r>
      <w:r>
        <w:rPr>
          <w:spacing w:val="-5"/>
        </w:rPr>
        <w:t>Fee</w:t>
      </w:r>
    </w:p>
    <w:p>
      <w:pPr>
        <w:pStyle w:val="BodyText"/>
        <w:spacing w:before="1"/>
        <w:ind w:left="119" w:right="159"/>
        <w:jc w:val="both"/>
      </w:pPr>
      <w:r>
        <w:rPr/>
        <w:t>It is common for projects to include deferred developer fees as a financing source. The City will generally require:</w:t>
      </w:r>
    </w:p>
    <w:p>
      <w:pPr>
        <w:pStyle w:val="BodyText"/>
        <w:spacing w:before="4"/>
      </w:pPr>
    </w:p>
    <w:p>
      <w:pPr>
        <w:pStyle w:val="ListParagraph"/>
        <w:numPr>
          <w:ilvl w:val="0"/>
          <w:numId w:val="29"/>
        </w:numPr>
        <w:tabs>
          <w:tab w:pos="840" w:val="left" w:leader="none"/>
        </w:tabs>
        <w:spacing w:line="237" w:lineRule="auto" w:before="0" w:after="0"/>
        <w:ind w:left="839" w:right="156" w:hanging="361"/>
        <w:jc w:val="both"/>
        <w:rPr>
          <w:sz w:val="22"/>
        </w:rPr>
      </w:pPr>
      <w:r>
        <w:rPr>
          <w:sz w:val="22"/>
        </w:rPr>
        <w:t>That projections of surplus cash available (after any cash-flow contingent payment due the City) be sufficient to repay the deferred fee within 15 years (notwithstanding other waterfall provisions in the partnership or operating agreement, the City will assume that all surplus cash distributions will be credited against the developer fee);</w:t>
      </w:r>
    </w:p>
    <w:p>
      <w:pPr>
        <w:pStyle w:val="ListParagraph"/>
        <w:numPr>
          <w:ilvl w:val="0"/>
          <w:numId w:val="29"/>
        </w:numPr>
        <w:tabs>
          <w:tab w:pos="840" w:val="left" w:leader="none"/>
        </w:tabs>
        <w:spacing w:line="240" w:lineRule="auto" w:before="4" w:after="0"/>
        <w:ind w:left="839" w:right="157" w:hanging="361"/>
        <w:jc w:val="both"/>
        <w:rPr>
          <w:sz w:val="22"/>
        </w:rPr>
      </w:pPr>
      <w:r>
        <w:rPr>
          <w:sz w:val="22"/>
        </w:rPr>
        <w:t>That following the initial application to the City, the level of deferred developer fee will remain fixed (in nominal dollar terms) in the event City underwriting identifies cost reductions, increases in other funding sources, or other changes that result in a net reduction of the “gap” to be filled with HOME funds; and</w:t>
      </w:r>
    </w:p>
    <w:p>
      <w:pPr>
        <w:pStyle w:val="ListParagraph"/>
        <w:numPr>
          <w:ilvl w:val="0"/>
          <w:numId w:val="29"/>
        </w:numPr>
        <w:tabs>
          <w:tab w:pos="840" w:val="left" w:leader="none"/>
        </w:tabs>
        <w:spacing w:line="240" w:lineRule="auto" w:before="0" w:after="0"/>
        <w:ind w:left="839" w:right="155" w:hanging="361"/>
        <w:jc w:val="both"/>
        <w:rPr>
          <w:sz w:val="22"/>
        </w:rPr>
      </w:pPr>
      <w:r>
        <w:rPr>
          <w:sz w:val="22"/>
        </w:rPr>
        <w:t>That any net savings (or increased funding sources including but not limited to upward adjusters for tax credit equity) at project completion and cost certification will be used in equal</w:t>
      </w:r>
      <w:r>
        <w:rPr>
          <w:spacing w:val="-7"/>
          <w:sz w:val="22"/>
        </w:rPr>
        <w:t> </w:t>
      </w:r>
      <w:r>
        <w:rPr>
          <w:sz w:val="22"/>
        </w:rPr>
        <w:t>parts</w:t>
      </w:r>
      <w:r>
        <w:rPr>
          <w:spacing w:val="-8"/>
          <w:sz w:val="22"/>
        </w:rPr>
        <w:t> </w:t>
      </w:r>
      <w:r>
        <w:rPr>
          <w:sz w:val="22"/>
        </w:rPr>
        <w:t>to</w:t>
      </w:r>
      <w:r>
        <w:rPr>
          <w:spacing w:val="-11"/>
          <w:sz w:val="22"/>
        </w:rPr>
        <w:t> </w:t>
      </w:r>
      <w:r>
        <w:rPr>
          <w:sz w:val="22"/>
        </w:rPr>
        <w:t>reduce</w:t>
      </w:r>
      <w:r>
        <w:rPr>
          <w:spacing w:val="-9"/>
          <w:sz w:val="22"/>
        </w:rPr>
        <w:t> </w:t>
      </w:r>
      <w:r>
        <w:rPr>
          <w:sz w:val="22"/>
        </w:rPr>
        <w:t>the</w:t>
      </w:r>
      <w:r>
        <w:rPr>
          <w:spacing w:val="-9"/>
          <w:sz w:val="22"/>
        </w:rPr>
        <w:t> </w:t>
      </w:r>
      <w:r>
        <w:rPr>
          <w:sz w:val="22"/>
        </w:rPr>
        <w:t>deferred</w:t>
      </w:r>
      <w:r>
        <w:rPr>
          <w:spacing w:val="-9"/>
          <w:sz w:val="22"/>
        </w:rPr>
        <w:t> </w:t>
      </w:r>
      <w:r>
        <w:rPr>
          <w:sz w:val="22"/>
        </w:rPr>
        <w:t>developer</w:t>
      </w:r>
      <w:r>
        <w:rPr>
          <w:spacing w:val="-8"/>
          <w:sz w:val="22"/>
        </w:rPr>
        <w:t> </w:t>
      </w:r>
      <w:r>
        <w:rPr>
          <w:sz w:val="22"/>
        </w:rPr>
        <w:t>fee</w:t>
      </w:r>
      <w:r>
        <w:rPr>
          <w:spacing w:val="-9"/>
          <w:sz w:val="22"/>
        </w:rPr>
        <w:t> </w:t>
      </w:r>
      <w:r>
        <w:rPr>
          <w:sz w:val="22"/>
        </w:rPr>
        <w:t>and</w:t>
      </w:r>
      <w:r>
        <w:rPr>
          <w:spacing w:val="-6"/>
          <w:sz w:val="22"/>
        </w:rPr>
        <w:t> </w:t>
      </w:r>
      <w:r>
        <w:rPr>
          <w:sz w:val="22"/>
        </w:rPr>
        <w:t>the</w:t>
      </w:r>
      <w:r>
        <w:rPr>
          <w:spacing w:val="-9"/>
          <w:sz w:val="22"/>
        </w:rPr>
        <w:t> </w:t>
      </w:r>
      <w:r>
        <w:rPr>
          <w:sz w:val="22"/>
        </w:rPr>
        <w:t>City’s</w:t>
      </w:r>
      <w:r>
        <w:rPr>
          <w:spacing w:val="-6"/>
          <w:sz w:val="22"/>
        </w:rPr>
        <w:t> </w:t>
      </w:r>
      <w:r>
        <w:rPr>
          <w:sz w:val="22"/>
        </w:rPr>
        <w:t>permanent</w:t>
      </w:r>
      <w:r>
        <w:rPr>
          <w:spacing w:val="-10"/>
          <w:sz w:val="22"/>
        </w:rPr>
        <w:t> </w:t>
      </w:r>
      <w:r>
        <w:rPr>
          <w:sz w:val="22"/>
        </w:rPr>
        <w:t>HOME</w:t>
      </w:r>
      <w:r>
        <w:rPr>
          <w:spacing w:val="-9"/>
          <w:sz w:val="22"/>
        </w:rPr>
        <w:t> </w:t>
      </w:r>
      <w:r>
        <w:rPr>
          <w:sz w:val="22"/>
        </w:rPr>
        <w:t>loan.</w:t>
      </w:r>
      <w:r>
        <w:rPr>
          <w:spacing w:val="-9"/>
          <w:sz w:val="22"/>
        </w:rPr>
        <w:t> </w:t>
      </w:r>
      <w:r>
        <w:rPr>
          <w:sz w:val="22"/>
        </w:rPr>
        <w:t>In the</w:t>
      </w:r>
      <w:r>
        <w:rPr>
          <w:spacing w:val="-11"/>
          <w:sz w:val="22"/>
        </w:rPr>
        <w:t> </w:t>
      </w:r>
      <w:r>
        <w:rPr>
          <w:sz w:val="22"/>
        </w:rPr>
        <w:t>event</w:t>
      </w:r>
      <w:r>
        <w:rPr>
          <w:spacing w:val="-10"/>
          <w:sz w:val="22"/>
        </w:rPr>
        <w:t> </w:t>
      </w:r>
      <w:r>
        <w:rPr>
          <w:sz w:val="22"/>
        </w:rPr>
        <w:t>savings</w:t>
      </w:r>
      <w:r>
        <w:rPr>
          <w:spacing w:val="-13"/>
          <w:sz w:val="22"/>
        </w:rPr>
        <w:t> </w:t>
      </w:r>
      <w:r>
        <w:rPr>
          <w:sz w:val="22"/>
        </w:rPr>
        <w:t>are</w:t>
      </w:r>
      <w:r>
        <w:rPr>
          <w:spacing w:val="-14"/>
          <w:sz w:val="22"/>
        </w:rPr>
        <w:t> </w:t>
      </w:r>
      <w:r>
        <w:rPr>
          <w:sz w:val="22"/>
        </w:rPr>
        <w:t>sufficient</w:t>
      </w:r>
      <w:r>
        <w:rPr>
          <w:spacing w:val="-10"/>
          <w:sz w:val="22"/>
        </w:rPr>
        <w:t> </w:t>
      </w:r>
      <w:r>
        <w:rPr>
          <w:sz w:val="22"/>
        </w:rPr>
        <w:t>to</w:t>
      </w:r>
      <w:r>
        <w:rPr>
          <w:spacing w:val="-14"/>
          <w:sz w:val="22"/>
        </w:rPr>
        <w:t> </w:t>
      </w:r>
      <w:r>
        <w:rPr>
          <w:sz w:val="22"/>
        </w:rPr>
        <w:t>eliminate</w:t>
      </w:r>
      <w:r>
        <w:rPr>
          <w:spacing w:val="-14"/>
          <w:sz w:val="22"/>
        </w:rPr>
        <w:t> </w:t>
      </w:r>
      <w:r>
        <w:rPr>
          <w:sz w:val="22"/>
        </w:rPr>
        <w:t>the</w:t>
      </w:r>
      <w:r>
        <w:rPr>
          <w:spacing w:val="-11"/>
          <w:sz w:val="22"/>
        </w:rPr>
        <w:t> </w:t>
      </w:r>
      <w:r>
        <w:rPr>
          <w:sz w:val="22"/>
        </w:rPr>
        <w:t>deferred</w:t>
      </w:r>
      <w:r>
        <w:rPr>
          <w:spacing w:val="-11"/>
          <w:sz w:val="22"/>
        </w:rPr>
        <w:t> </w:t>
      </w:r>
      <w:r>
        <w:rPr>
          <w:sz w:val="22"/>
        </w:rPr>
        <w:t>fee</w:t>
      </w:r>
      <w:r>
        <w:rPr>
          <w:spacing w:val="-14"/>
          <w:sz w:val="22"/>
        </w:rPr>
        <w:t> </w:t>
      </w:r>
      <w:r>
        <w:rPr>
          <w:sz w:val="22"/>
        </w:rPr>
        <w:t>in</w:t>
      </w:r>
      <w:r>
        <w:rPr>
          <w:spacing w:val="-11"/>
          <w:sz w:val="22"/>
        </w:rPr>
        <w:t> </w:t>
      </w:r>
      <w:r>
        <w:rPr>
          <w:sz w:val="22"/>
        </w:rPr>
        <w:t>this</w:t>
      </w:r>
      <w:r>
        <w:rPr>
          <w:spacing w:val="-13"/>
          <w:sz w:val="22"/>
        </w:rPr>
        <w:t> </w:t>
      </w:r>
      <w:r>
        <w:rPr>
          <w:sz w:val="22"/>
        </w:rPr>
        <w:t>manner,</w:t>
      </w:r>
      <w:r>
        <w:rPr>
          <w:spacing w:val="-12"/>
          <w:sz w:val="22"/>
        </w:rPr>
        <w:t> </w:t>
      </w:r>
      <w:r>
        <w:rPr>
          <w:sz w:val="22"/>
        </w:rPr>
        <w:t>any</w:t>
      </w:r>
      <w:r>
        <w:rPr>
          <w:spacing w:val="-11"/>
          <w:sz w:val="22"/>
        </w:rPr>
        <w:t> </w:t>
      </w:r>
      <w:r>
        <w:rPr>
          <w:sz w:val="22"/>
        </w:rPr>
        <w:t>remaining net savings will be used to further reduce the City’s HOME loan, or in the sole discretion of the City, to increase the operating reserve.</w:t>
      </w:r>
    </w:p>
    <w:p>
      <w:pPr>
        <w:spacing w:after="0" w:line="240" w:lineRule="auto"/>
        <w:jc w:val="both"/>
        <w:rPr>
          <w:sz w:val="22"/>
        </w:rPr>
        <w:sectPr>
          <w:pgSz w:w="12240" w:h="15840"/>
          <w:pgMar w:header="0" w:footer="1176" w:top="1620" w:bottom="1420" w:left="1320" w:right="1280"/>
        </w:sectPr>
      </w:pPr>
    </w:p>
    <w:p>
      <w:pPr>
        <w:pStyle w:val="BodyText"/>
        <w:spacing w:line="252" w:lineRule="exact" w:before="80"/>
        <w:ind w:left="119"/>
        <w:jc w:val="both"/>
      </w:pPr>
      <w:r>
        <w:rPr/>
        <w:t>Exceptions</w:t>
      </w:r>
      <w:r>
        <w:rPr>
          <w:spacing w:val="-4"/>
        </w:rPr>
        <w:t> </w:t>
      </w:r>
      <w:r>
        <w:rPr/>
        <w:t>and</w:t>
      </w:r>
      <w:r>
        <w:rPr>
          <w:spacing w:val="-6"/>
        </w:rPr>
        <w:t> </w:t>
      </w:r>
      <w:r>
        <w:rPr>
          <w:spacing w:val="-2"/>
        </w:rPr>
        <w:t>Interpretation</w:t>
      </w:r>
    </w:p>
    <w:p>
      <w:pPr>
        <w:pStyle w:val="BodyText"/>
        <w:ind w:left="120" w:right="155" w:hanging="1"/>
        <w:jc w:val="both"/>
      </w:pPr>
      <w:r>
        <w:rPr/>
        <w:t>The</w:t>
      </w:r>
      <w:r>
        <w:rPr>
          <w:spacing w:val="-4"/>
        </w:rPr>
        <w:t> </w:t>
      </w:r>
      <w:r>
        <w:rPr/>
        <w:t>City</w:t>
      </w:r>
      <w:r>
        <w:rPr>
          <w:spacing w:val="-4"/>
        </w:rPr>
        <w:t> </w:t>
      </w:r>
      <w:r>
        <w:rPr/>
        <w:t>has</w:t>
      </w:r>
      <w:r>
        <w:rPr>
          <w:spacing w:val="-4"/>
        </w:rPr>
        <w:t> </w:t>
      </w:r>
      <w:r>
        <w:rPr/>
        <w:t>developed</w:t>
      </w:r>
      <w:r>
        <w:rPr>
          <w:spacing w:val="-4"/>
        </w:rPr>
        <w:t> </w:t>
      </w:r>
      <w:r>
        <w:rPr/>
        <w:t>these</w:t>
      </w:r>
      <w:r>
        <w:rPr>
          <w:spacing w:val="-4"/>
        </w:rPr>
        <w:t> </w:t>
      </w:r>
      <w:r>
        <w:rPr/>
        <w:t>guidelines</w:t>
      </w:r>
      <w:r>
        <w:rPr>
          <w:spacing w:val="-4"/>
        </w:rPr>
        <w:t> </w:t>
      </w:r>
      <w:r>
        <w:rPr/>
        <w:t>for</w:t>
      </w:r>
      <w:r>
        <w:rPr>
          <w:spacing w:val="-3"/>
        </w:rPr>
        <w:t> </w:t>
      </w:r>
      <w:r>
        <w:rPr/>
        <w:t>several</w:t>
      </w:r>
      <w:r>
        <w:rPr>
          <w:spacing w:val="-5"/>
        </w:rPr>
        <w:t> </w:t>
      </w:r>
      <w:r>
        <w:rPr/>
        <w:t>reasons.</w:t>
      </w:r>
      <w:r>
        <w:rPr>
          <w:spacing w:val="-1"/>
        </w:rPr>
        <w:t> </w:t>
      </w:r>
      <w:r>
        <w:rPr/>
        <w:t>Not</w:t>
      </w:r>
      <w:r>
        <w:rPr>
          <w:spacing w:val="-3"/>
        </w:rPr>
        <w:t> </w:t>
      </w:r>
      <w:r>
        <w:rPr/>
        <w:t>only</w:t>
      </w:r>
      <w:r>
        <w:rPr>
          <w:spacing w:val="-4"/>
        </w:rPr>
        <w:t> </w:t>
      </w:r>
      <w:r>
        <w:rPr/>
        <w:t>are</w:t>
      </w:r>
      <w:r>
        <w:rPr>
          <w:spacing w:val="-7"/>
        </w:rPr>
        <w:t> </w:t>
      </w:r>
      <w:r>
        <w:rPr/>
        <w:t>they</w:t>
      </w:r>
      <w:r>
        <w:rPr>
          <w:spacing w:val="-4"/>
        </w:rPr>
        <w:t> </w:t>
      </w:r>
      <w:r>
        <w:rPr/>
        <w:t>required</w:t>
      </w:r>
      <w:r>
        <w:rPr>
          <w:spacing w:val="-4"/>
        </w:rPr>
        <w:t> </w:t>
      </w:r>
      <w:r>
        <w:rPr/>
        <w:t>by</w:t>
      </w:r>
      <w:r>
        <w:rPr>
          <w:spacing w:val="-4"/>
        </w:rPr>
        <w:t> </w:t>
      </w:r>
      <w:r>
        <w:rPr/>
        <w:t>HUD as</w:t>
      </w:r>
      <w:r>
        <w:rPr>
          <w:spacing w:val="-16"/>
        </w:rPr>
        <w:t> </w:t>
      </w:r>
      <w:r>
        <w:rPr/>
        <w:t>part</w:t>
      </w:r>
      <w:r>
        <w:rPr>
          <w:spacing w:val="-15"/>
        </w:rPr>
        <w:t> </w:t>
      </w:r>
      <w:r>
        <w:rPr/>
        <w:t>of</w:t>
      </w:r>
      <w:r>
        <w:rPr>
          <w:spacing w:val="-15"/>
        </w:rPr>
        <w:t> </w:t>
      </w:r>
      <w:r>
        <w:rPr/>
        <w:t>the</w:t>
      </w:r>
      <w:r>
        <w:rPr>
          <w:spacing w:val="-16"/>
        </w:rPr>
        <w:t> </w:t>
      </w:r>
      <w:r>
        <w:rPr/>
        <w:t>City’s</w:t>
      </w:r>
      <w:r>
        <w:rPr>
          <w:spacing w:val="-15"/>
        </w:rPr>
        <w:t> </w:t>
      </w:r>
      <w:r>
        <w:rPr/>
        <w:t>role</w:t>
      </w:r>
      <w:r>
        <w:rPr>
          <w:spacing w:val="-15"/>
        </w:rPr>
        <w:t> </w:t>
      </w:r>
      <w:r>
        <w:rPr/>
        <w:t>as</w:t>
      </w:r>
      <w:r>
        <w:rPr>
          <w:spacing w:val="-12"/>
        </w:rPr>
        <w:t> </w:t>
      </w:r>
      <w:r>
        <w:rPr/>
        <w:t>a</w:t>
      </w:r>
      <w:r>
        <w:rPr>
          <w:spacing w:val="-16"/>
        </w:rPr>
        <w:t> </w:t>
      </w:r>
      <w:r>
        <w:rPr/>
        <w:t>HOME</w:t>
      </w:r>
      <w:r>
        <w:rPr>
          <w:spacing w:val="-15"/>
        </w:rPr>
        <w:t> </w:t>
      </w:r>
      <w:r>
        <w:rPr/>
        <w:t>participating</w:t>
      </w:r>
      <w:r>
        <w:rPr>
          <w:spacing w:val="-15"/>
        </w:rPr>
        <w:t> </w:t>
      </w:r>
      <w:r>
        <w:rPr/>
        <w:t>jurisdiction,</w:t>
      </w:r>
      <w:r>
        <w:rPr>
          <w:spacing w:val="-15"/>
        </w:rPr>
        <w:t> </w:t>
      </w:r>
      <w:r>
        <w:rPr/>
        <w:t>but</w:t>
      </w:r>
      <w:r>
        <w:rPr>
          <w:spacing w:val="-16"/>
        </w:rPr>
        <w:t> </w:t>
      </w:r>
      <w:r>
        <w:rPr/>
        <w:t>more</w:t>
      </w:r>
      <w:r>
        <w:rPr>
          <w:spacing w:val="-15"/>
        </w:rPr>
        <w:t> </w:t>
      </w:r>
      <w:r>
        <w:rPr/>
        <w:t>generally</w:t>
      </w:r>
      <w:r>
        <w:rPr>
          <w:spacing w:val="-12"/>
        </w:rPr>
        <w:t> </w:t>
      </w:r>
      <w:r>
        <w:rPr/>
        <w:t>they</w:t>
      </w:r>
      <w:r>
        <w:rPr>
          <w:spacing w:val="-16"/>
        </w:rPr>
        <w:t> </w:t>
      </w:r>
      <w:r>
        <w:rPr/>
        <w:t>are</w:t>
      </w:r>
      <w:r>
        <w:rPr>
          <w:spacing w:val="-15"/>
        </w:rPr>
        <w:t> </w:t>
      </w:r>
      <w:r>
        <w:rPr/>
        <w:t>intended to provide clarity to applicants on what the City expects and transparency about the rules of the road. However, the City recognizes that it cannot pre-emptively identify every possible special circumstance</w:t>
      </w:r>
      <w:r>
        <w:rPr>
          <w:spacing w:val="-4"/>
        </w:rPr>
        <w:t> </w:t>
      </w:r>
      <w:r>
        <w:rPr/>
        <w:t>that</w:t>
      </w:r>
      <w:r>
        <w:rPr>
          <w:spacing w:val="-3"/>
        </w:rPr>
        <w:t> </w:t>
      </w:r>
      <w:r>
        <w:rPr/>
        <w:t>may</w:t>
      </w:r>
      <w:r>
        <w:rPr>
          <w:spacing w:val="-1"/>
        </w:rPr>
        <w:t> </w:t>
      </w:r>
      <w:r>
        <w:rPr/>
        <w:t>warrant an</w:t>
      </w:r>
      <w:r>
        <w:rPr>
          <w:spacing w:val="-2"/>
        </w:rPr>
        <w:t> </w:t>
      </w:r>
      <w:r>
        <w:rPr/>
        <w:t>exception</w:t>
      </w:r>
      <w:r>
        <w:rPr>
          <w:spacing w:val="-4"/>
        </w:rPr>
        <w:t> </w:t>
      </w:r>
      <w:r>
        <w:rPr/>
        <w:t>to</w:t>
      </w:r>
      <w:r>
        <w:rPr>
          <w:spacing w:val="-2"/>
        </w:rPr>
        <w:t> </w:t>
      </w:r>
      <w:r>
        <w:rPr/>
        <w:t>its</w:t>
      </w:r>
      <w:r>
        <w:rPr>
          <w:spacing w:val="-4"/>
        </w:rPr>
        <w:t> </w:t>
      </w:r>
      <w:r>
        <w:rPr/>
        <w:t>general</w:t>
      </w:r>
      <w:r>
        <w:rPr>
          <w:spacing w:val="-2"/>
        </w:rPr>
        <w:t> </w:t>
      </w:r>
      <w:r>
        <w:rPr/>
        <w:t>requirements,</w:t>
      </w:r>
      <w:r>
        <w:rPr>
          <w:spacing w:val="-3"/>
        </w:rPr>
        <w:t> </w:t>
      </w:r>
      <w:r>
        <w:rPr/>
        <w:t>nor can</w:t>
      </w:r>
      <w:r>
        <w:rPr>
          <w:spacing w:val="-2"/>
        </w:rPr>
        <w:t> </w:t>
      </w:r>
      <w:r>
        <w:rPr/>
        <w:t>it identify</w:t>
      </w:r>
      <w:r>
        <w:rPr>
          <w:spacing w:val="-4"/>
        </w:rPr>
        <w:t> </w:t>
      </w:r>
      <w:r>
        <w:rPr/>
        <w:t>every possible</w:t>
      </w:r>
      <w:r>
        <w:rPr>
          <w:spacing w:val="-5"/>
        </w:rPr>
        <w:t> </w:t>
      </w:r>
      <w:r>
        <w:rPr/>
        <w:t>loophole</w:t>
      </w:r>
      <w:r>
        <w:rPr>
          <w:spacing w:val="-5"/>
        </w:rPr>
        <w:t> </w:t>
      </w:r>
      <w:r>
        <w:rPr/>
        <w:t>whereby</w:t>
      </w:r>
      <w:r>
        <w:rPr>
          <w:spacing w:val="-5"/>
        </w:rPr>
        <w:t> </w:t>
      </w:r>
      <w:r>
        <w:rPr/>
        <w:t>a</w:t>
      </w:r>
      <w:r>
        <w:rPr>
          <w:spacing w:val="-5"/>
        </w:rPr>
        <w:t> </w:t>
      </w:r>
      <w:r>
        <w:rPr/>
        <w:t>creative</w:t>
      </w:r>
      <w:r>
        <w:rPr>
          <w:spacing w:val="-7"/>
        </w:rPr>
        <w:t> </w:t>
      </w:r>
      <w:r>
        <w:rPr/>
        <w:t>presentation</w:t>
      </w:r>
      <w:r>
        <w:rPr>
          <w:spacing w:val="-5"/>
        </w:rPr>
        <w:t> </w:t>
      </w:r>
      <w:r>
        <w:rPr/>
        <w:t>of</w:t>
      </w:r>
      <w:r>
        <w:rPr>
          <w:spacing w:val="-6"/>
        </w:rPr>
        <w:t> </w:t>
      </w:r>
      <w:r>
        <w:rPr/>
        <w:t>costs</w:t>
      </w:r>
      <w:r>
        <w:rPr>
          <w:spacing w:val="-5"/>
        </w:rPr>
        <w:t> </w:t>
      </w:r>
      <w:r>
        <w:rPr/>
        <w:t>or</w:t>
      </w:r>
      <w:r>
        <w:rPr>
          <w:spacing w:val="-4"/>
        </w:rPr>
        <w:t> </w:t>
      </w:r>
      <w:r>
        <w:rPr/>
        <w:t>other</w:t>
      </w:r>
      <w:r>
        <w:rPr>
          <w:spacing w:val="-6"/>
        </w:rPr>
        <w:t> </w:t>
      </w:r>
      <w:r>
        <w:rPr/>
        <w:t>projections</w:t>
      </w:r>
      <w:r>
        <w:rPr>
          <w:spacing w:val="-7"/>
        </w:rPr>
        <w:t> </w:t>
      </w:r>
      <w:r>
        <w:rPr/>
        <w:t>might</w:t>
      </w:r>
      <w:r>
        <w:rPr>
          <w:spacing w:val="-4"/>
        </w:rPr>
        <w:t> </w:t>
      </w:r>
      <w:r>
        <w:rPr/>
        <w:t>subvert</w:t>
      </w:r>
      <w:r>
        <w:rPr>
          <w:spacing w:val="-6"/>
        </w:rPr>
        <w:t> </w:t>
      </w:r>
      <w:r>
        <w:rPr/>
        <w:t>the general need to balancing of viability and reasonable returns, risk to the City and public benefit.</w:t>
      </w:r>
    </w:p>
    <w:p>
      <w:pPr>
        <w:pStyle w:val="BodyText"/>
      </w:pPr>
    </w:p>
    <w:p>
      <w:pPr>
        <w:pStyle w:val="BodyText"/>
        <w:ind w:left="120" w:right="155"/>
        <w:jc w:val="both"/>
      </w:pPr>
      <w:r>
        <w:rPr/>
        <w:pict>
          <v:shape style="position:absolute;margin-left:90.065002pt;margin-top:.60715pt;width:395.3pt;height:419pt;mso-position-horizontal-relative:page;mso-position-vertical-relative:paragraph;z-index:-17676288" id="docshape134" coordorigin="1801,12" coordsize="7906,8380" path="m4498,7276l4492,7202,4477,7124,4455,7041,4432,6972,4403,6900,4367,6825,4325,6747,4276,6667,4237,6608,4200,6557,4200,7243,4197,7299,4186,7356,4167,7413,4138,7473,4097,7536,4044,7602,3979,7671,3674,7977,2216,6519,2517,6218,2598,6142,2672,6082,2740,6039,2801,6012,2868,5997,2941,5993,3020,6000,3105,6018,3195,6047,3255,6073,3317,6105,3380,6144,3446,6189,3514,6240,3584,6298,3656,6363,3729,6435,3789,6496,3845,6556,3896,6615,3943,6673,3986,6730,4025,6785,4059,6839,4101,6913,4136,6986,4163,7055,4183,7122,4196,7186,4200,7243,4200,6557,4194,6548,4148,6488,4098,6427,4045,6366,3989,6305,3929,6243,3865,6181,3801,6123,3737,6068,3673,6016,3643,5993,3609,5968,3546,5924,3482,5882,3419,5845,3346,5807,3274,5774,3203,5747,3132,5725,3062,5708,2992,5696,2923,5689,2850,5687,2779,5694,2709,5709,2642,5732,2577,5762,2528,5791,2476,5828,2420,5873,2359,5927,2294,5990,1801,6483,3710,8391,4124,7977,4226,7875,4287,7810,4341,7744,4386,7678,4424,7612,4454,7545,4476,7479,4491,7412,4498,7344,4498,7276xm6418,5683l6056,5555,5650,5412,5561,5383,5475,5359,5393,5340,5365,5335,5314,5326,5239,5316,5193,5314,5143,5317,5089,5324,5030,5335,5073,5265,5109,5196,5136,5126,5154,5058,5164,4989,5165,4921,5157,4853,5139,4775,5111,4699,5075,4624,5030,4552,4976,4481,4956,4458,4913,4412,4872,4374,4872,4931,4868,4987,4854,5042,4830,5098,4794,5157,4747,5218,4687,5281,4280,5689,3649,5057,4102,4604,4166,4547,4229,4504,4293,4475,4358,4459,4422,4458,4501,4473,4577,4503,4649,4548,4718,4607,4761,4655,4797,4706,4827,4760,4851,4816,4867,4874,4872,4931,4872,4374,4849,4353,4782,4300,4713,4255,4641,4216,4566,4184,4474,4156,4386,4143,4303,4145,4225,4161,4163,4186,4098,4222,4030,4271,3958,4330,3883,4401,3248,5036,5157,6944,5346,6755,4499,5907,4718,5689,4753,5654,4783,5627,4810,5606,4833,5591,4863,5578,4896,5567,4932,5559,4971,5555,5014,5555,5066,5560,5125,5571,5194,5587,5256,5604,5328,5625,5407,5650,5496,5679,6180,5921,6418,5683xm7780,4320l7415,4125,6555,3671,6555,3978,6070,4464,6030,4392,5989,4320,5748,3890,5708,3818,5668,3747,5629,3681,5590,3616,5550,3552,5509,3489,5467,3427,5424,3366,5380,3305,5436,3341,5498,3379,5564,3418,5635,3460,5792,3551,6555,3978,6555,3671,5862,3305,5286,2998,5082,3202,5277,3553,5316,3623,5701,4320,6207,5239,6441,5660,6642,5459,6565,5326,6298,4857,6221,4724,6481,4464,6820,4125,7173,4320,7565,4536,7780,4320xm8131,3970l7264,3103,7936,2431,7711,2206,7039,2878,6448,2287,7224,1511,6999,1285,6033,2251,7941,4159,8131,3970xm9707,2394l8024,711,8497,237,8272,12,7138,1147,7363,1372,7834,900,9517,2583,9707,2394xe" filled="true" fillcolor="#c0c0c0" stroked="false">
            <v:path arrowok="t"/>
            <v:fill opacity="32896f" type="solid"/>
            <w10:wrap type="none"/>
          </v:shape>
        </w:pict>
      </w:r>
      <w:r>
        <w:rPr/>
        <w:t>Consequently, the City reserves the right to waive specific underwriting criteria for specific projects when, in its judgement, the purposes of the program can be better achieved without taking</w:t>
      </w:r>
      <w:r>
        <w:rPr>
          <w:spacing w:val="-16"/>
        </w:rPr>
        <w:t> </w:t>
      </w:r>
      <w:r>
        <w:rPr/>
        <w:t>on</w:t>
      </w:r>
      <w:r>
        <w:rPr>
          <w:spacing w:val="-15"/>
        </w:rPr>
        <w:t> </w:t>
      </w:r>
      <w:r>
        <w:rPr/>
        <w:t>undue</w:t>
      </w:r>
      <w:r>
        <w:rPr>
          <w:spacing w:val="-15"/>
        </w:rPr>
        <w:t> </w:t>
      </w:r>
      <w:r>
        <w:rPr/>
        <w:t>risk.</w:t>
      </w:r>
      <w:r>
        <w:rPr>
          <w:spacing w:val="-16"/>
        </w:rPr>
        <w:t> </w:t>
      </w:r>
      <w:r>
        <w:rPr/>
        <w:t>When</w:t>
      </w:r>
      <w:r>
        <w:rPr>
          <w:spacing w:val="-15"/>
        </w:rPr>
        <w:t> </w:t>
      </w:r>
      <w:r>
        <w:rPr/>
        <w:t>waiving</w:t>
      </w:r>
      <w:r>
        <w:rPr>
          <w:spacing w:val="-15"/>
        </w:rPr>
        <w:t> </w:t>
      </w:r>
      <w:r>
        <w:rPr/>
        <w:t>any</w:t>
      </w:r>
      <w:r>
        <w:rPr>
          <w:spacing w:val="-15"/>
        </w:rPr>
        <w:t> </w:t>
      </w:r>
      <w:r>
        <w:rPr/>
        <w:t>given</w:t>
      </w:r>
      <w:r>
        <w:rPr>
          <w:spacing w:val="-16"/>
        </w:rPr>
        <w:t> </w:t>
      </w:r>
      <w:r>
        <w:rPr/>
        <w:t>requirement,</w:t>
      </w:r>
      <w:r>
        <w:rPr>
          <w:spacing w:val="-15"/>
        </w:rPr>
        <w:t> </w:t>
      </w:r>
      <w:r>
        <w:rPr/>
        <w:t>the</w:t>
      </w:r>
      <w:r>
        <w:rPr>
          <w:spacing w:val="-15"/>
        </w:rPr>
        <w:t> </w:t>
      </w:r>
      <w:r>
        <w:rPr/>
        <w:t>City</w:t>
      </w:r>
      <w:r>
        <w:rPr>
          <w:spacing w:val="-16"/>
        </w:rPr>
        <w:t> </w:t>
      </w:r>
      <w:r>
        <w:rPr/>
        <w:t>may</w:t>
      </w:r>
      <w:r>
        <w:rPr>
          <w:spacing w:val="-15"/>
        </w:rPr>
        <w:t> </w:t>
      </w:r>
      <w:r>
        <w:rPr/>
        <w:t>impose</w:t>
      </w:r>
      <w:r>
        <w:rPr>
          <w:spacing w:val="-15"/>
        </w:rPr>
        <w:t> </w:t>
      </w:r>
      <w:r>
        <w:rPr/>
        <w:t>additional</w:t>
      </w:r>
      <w:r>
        <w:rPr>
          <w:spacing w:val="-15"/>
        </w:rPr>
        <w:t> </w:t>
      </w:r>
      <w:r>
        <w:rPr/>
        <w:t>special conditions or business terms that are not otherwise typically applied to all projects.</w:t>
      </w:r>
    </w:p>
    <w:p>
      <w:pPr>
        <w:pStyle w:val="BodyText"/>
        <w:ind w:left="120" w:right="157"/>
        <w:jc w:val="both"/>
      </w:pPr>
      <w:r>
        <w:rPr/>
        <w:t>For</w:t>
      </w:r>
      <w:r>
        <w:rPr>
          <w:spacing w:val="-4"/>
        </w:rPr>
        <w:t> </w:t>
      </w:r>
      <w:r>
        <w:rPr/>
        <w:t>administrative</w:t>
      </w:r>
      <w:r>
        <w:rPr>
          <w:spacing w:val="-7"/>
        </w:rPr>
        <w:t> </w:t>
      </w:r>
      <w:r>
        <w:rPr/>
        <w:t>ease,</w:t>
      </w:r>
      <w:r>
        <w:rPr>
          <w:spacing w:val="-8"/>
        </w:rPr>
        <w:t> </w:t>
      </w:r>
      <w:r>
        <w:rPr/>
        <w:t>the</w:t>
      </w:r>
      <w:r>
        <w:rPr>
          <w:spacing w:val="-5"/>
        </w:rPr>
        <w:t> </w:t>
      </w:r>
      <w:r>
        <w:rPr/>
        <w:t>City</w:t>
      </w:r>
      <w:r>
        <w:rPr>
          <w:spacing w:val="-7"/>
        </w:rPr>
        <w:t> </w:t>
      </w:r>
      <w:r>
        <w:rPr/>
        <w:t>may</w:t>
      </w:r>
      <w:r>
        <w:rPr>
          <w:spacing w:val="-7"/>
        </w:rPr>
        <w:t> </w:t>
      </w:r>
      <w:r>
        <w:rPr/>
        <w:t>also</w:t>
      </w:r>
      <w:r>
        <w:rPr>
          <w:spacing w:val="-7"/>
        </w:rPr>
        <w:t> </w:t>
      </w:r>
      <w:r>
        <w:rPr/>
        <w:t>align</w:t>
      </w:r>
      <w:r>
        <w:rPr>
          <w:spacing w:val="-5"/>
        </w:rPr>
        <w:t> </w:t>
      </w:r>
      <w:r>
        <w:rPr/>
        <w:t>its</w:t>
      </w:r>
      <w:r>
        <w:rPr>
          <w:spacing w:val="-5"/>
        </w:rPr>
        <w:t> </w:t>
      </w:r>
      <w:r>
        <w:rPr/>
        <w:t>underwriting</w:t>
      </w:r>
      <w:r>
        <w:rPr>
          <w:spacing w:val="-8"/>
        </w:rPr>
        <w:t> </w:t>
      </w:r>
      <w:r>
        <w:rPr/>
        <w:t>standards</w:t>
      </w:r>
      <w:r>
        <w:rPr>
          <w:spacing w:val="-9"/>
        </w:rPr>
        <w:t> </w:t>
      </w:r>
      <w:r>
        <w:rPr/>
        <w:t>with</w:t>
      </w:r>
      <w:r>
        <w:rPr>
          <w:spacing w:val="-5"/>
        </w:rPr>
        <w:t> </w:t>
      </w:r>
      <w:r>
        <w:rPr/>
        <w:t>those</w:t>
      </w:r>
      <w:r>
        <w:rPr>
          <w:spacing w:val="-8"/>
        </w:rPr>
        <w:t> </w:t>
      </w:r>
      <w:r>
        <w:rPr/>
        <w:t>required</w:t>
      </w:r>
      <w:r>
        <w:rPr>
          <w:spacing w:val="-7"/>
        </w:rPr>
        <w:t> </w:t>
      </w:r>
      <w:r>
        <w:rPr/>
        <w:t>by other public funders involved in a given transaction, particularly if those standards are more restrictive</w:t>
      </w:r>
      <w:r>
        <w:rPr>
          <w:spacing w:val="-12"/>
        </w:rPr>
        <w:t> </w:t>
      </w:r>
      <w:r>
        <w:rPr/>
        <w:t>or</w:t>
      </w:r>
      <w:r>
        <w:rPr>
          <w:spacing w:val="-12"/>
        </w:rPr>
        <w:t> </w:t>
      </w:r>
      <w:r>
        <w:rPr/>
        <w:t>conservative</w:t>
      </w:r>
      <w:r>
        <w:rPr>
          <w:spacing w:val="-12"/>
        </w:rPr>
        <w:t> </w:t>
      </w:r>
      <w:r>
        <w:rPr/>
        <w:t>than</w:t>
      </w:r>
      <w:r>
        <w:rPr>
          <w:spacing w:val="-12"/>
        </w:rPr>
        <w:t> </w:t>
      </w:r>
      <w:r>
        <w:rPr/>
        <w:t>the</w:t>
      </w:r>
      <w:r>
        <w:rPr>
          <w:spacing w:val="-12"/>
        </w:rPr>
        <w:t> </w:t>
      </w:r>
      <w:r>
        <w:rPr/>
        <w:t>City’s.</w:t>
      </w:r>
      <w:r>
        <w:rPr>
          <w:spacing w:val="-9"/>
        </w:rPr>
        <w:t> </w:t>
      </w:r>
      <w:r>
        <w:rPr/>
        <w:t>However,</w:t>
      </w:r>
      <w:r>
        <w:rPr>
          <w:spacing w:val="-12"/>
        </w:rPr>
        <w:t> </w:t>
      </w:r>
      <w:r>
        <w:rPr/>
        <w:t>the</w:t>
      </w:r>
      <w:r>
        <w:rPr>
          <w:spacing w:val="-12"/>
        </w:rPr>
        <w:t> </w:t>
      </w:r>
      <w:r>
        <w:rPr/>
        <w:t>City</w:t>
      </w:r>
      <w:r>
        <w:rPr>
          <w:spacing w:val="-11"/>
        </w:rPr>
        <w:t> </w:t>
      </w:r>
      <w:r>
        <w:rPr/>
        <w:t>retains</w:t>
      </w:r>
      <w:r>
        <w:rPr>
          <w:spacing w:val="-12"/>
        </w:rPr>
        <w:t> </w:t>
      </w:r>
      <w:r>
        <w:rPr/>
        <w:t>the</w:t>
      </w:r>
      <w:r>
        <w:rPr>
          <w:spacing w:val="-14"/>
        </w:rPr>
        <w:t> </w:t>
      </w:r>
      <w:r>
        <w:rPr/>
        <w:t>right,</w:t>
      </w:r>
      <w:r>
        <w:rPr>
          <w:spacing w:val="-11"/>
        </w:rPr>
        <w:t> </w:t>
      </w:r>
      <w:r>
        <w:rPr/>
        <w:t>in</w:t>
      </w:r>
      <w:r>
        <w:rPr>
          <w:spacing w:val="-12"/>
        </w:rPr>
        <w:t> </w:t>
      </w:r>
      <w:r>
        <w:rPr/>
        <w:t>its</w:t>
      </w:r>
      <w:r>
        <w:rPr>
          <w:spacing w:val="-12"/>
        </w:rPr>
        <w:t> </w:t>
      </w:r>
      <w:r>
        <w:rPr/>
        <w:t>sole</w:t>
      </w:r>
      <w:r>
        <w:rPr>
          <w:spacing w:val="-12"/>
        </w:rPr>
        <w:t> </w:t>
      </w:r>
      <w:r>
        <w:rPr/>
        <w:t>discretion, to decide whether to accept alternative standards.</w:t>
      </w:r>
    </w:p>
    <w:p>
      <w:pPr>
        <w:pStyle w:val="BodyText"/>
        <w:spacing w:before="10"/>
        <w:rPr>
          <w:sz w:val="21"/>
        </w:rPr>
      </w:pPr>
    </w:p>
    <w:p>
      <w:pPr>
        <w:pStyle w:val="BodyText"/>
        <w:ind w:left="120" w:right="156"/>
        <w:jc w:val="both"/>
      </w:pPr>
      <w:r>
        <w:rPr/>
        <w:t>The City also reserves the right to reject any element of a transaction that, despite not being specifically prohibited, was not anticipated by these guidelines of such an element or business term otherwise creates unacceptable risks, excessive returns to the owner/developer, or otherwise undermines the public purposes of the City’s program.</w:t>
      </w:r>
    </w:p>
    <w:p>
      <w:pPr>
        <w:pStyle w:val="BodyText"/>
        <w:spacing w:before="11"/>
        <w:rPr>
          <w:sz w:val="21"/>
        </w:rPr>
      </w:pPr>
    </w:p>
    <w:p>
      <w:pPr>
        <w:pStyle w:val="BodyText"/>
        <w:ind w:left="120" w:right="157"/>
        <w:jc w:val="both"/>
      </w:pPr>
      <w:r>
        <w:rPr/>
        <w:t>Insomuch</w:t>
      </w:r>
      <w:r>
        <w:rPr>
          <w:spacing w:val="-2"/>
        </w:rPr>
        <w:t> </w:t>
      </w:r>
      <w:r>
        <w:rPr/>
        <w:t>as</w:t>
      </w:r>
      <w:r>
        <w:rPr>
          <w:spacing w:val="-1"/>
        </w:rPr>
        <w:t> </w:t>
      </w:r>
      <w:r>
        <w:rPr/>
        <w:t>is</w:t>
      </w:r>
      <w:r>
        <w:rPr>
          <w:spacing w:val="-1"/>
        </w:rPr>
        <w:t> </w:t>
      </w:r>
      <w:r>
        <w:rPr/>
        <w:t>reasonable, the</w:t>
      </w:r>
      <w:r>
        <w:rPr>
          <w:spacing w:val="-2"/>
        </w:rPr>
        <w:t> </w:t>
      </w:r>
      <w:r>
        <w:rPr/>
        <w:t>City</w:t>
      </w:r>
      <w:r>
        <w:rPr>
          <w:spacing w:val="-1"/>
        </w:rPr>
        <w:t> </w:t>
      </w:r>
      <w:r>
        <w:rPr/>
        <w:t>will</w:t>
      </w:r>
      <w:r>
        <w:rPr>
          <w:spacing w:val="-2"/>
        </w:rPr>
        <w:t> </w:t>
      </w:r>
      <w:r>
        <w:rPr/>
        <w:t>update</w:t>
      </w:r>
      <w:r>
        <w:rPr>
          <w:spacing w:val="-2"/>
        </w:rPr>
        <w:t> </w:t>
      </w:r>
      <w:r>
        <w:rPr/>
        <w:t>and</w:t>
      </w:r>
      <w:r>
        <w:rPr>
          <w:spacing w:val="-2"/>
        </w:rPr>
        <w:t> </w:t>
      </w:r>
      <w:r>
        <w:rPr/>
        <w:t>clarify</w:t>
      </w:r>
      <w:r>
        <w:rPr>
          <w:spacing w:val="-1"/>
        </w:rPr>
        <w:t> </w:t>
      </w:r>
      <w:r>
        <w:rPr/>
        <w:t>these</w:t>
      </w:r>
      <w:r>
        <w:rPr>
          <w:spacing w:val="-4"/>
        </w:rPr>
        <w:t> </w:t>
      </w:r>
      <w:r>
        <w:rPr/>
        <w:t>guidelines</w:t>
      </w:r>
      <w:r>
        <w:rPr>
          <w:spacing w:val="-1"/>
        </w:rPr>
        <w:t> </w:t>
      </w:r>
      <w:r>
        <w:rPr/>
        <w:t>over time</w:t>
      </w:r>
      <w:r>
        <w:rPr>
          <w:spacing w:val="-2"/>
        </w:rPr>
        <w:t> </w:t>
      </w:r>
      <w:r>
        <w:rPr/>
        <w:t>to</w:t>
      </w:r>
      <w:r>
        <w:rPr>
          <w:spacing w:val="-2"/>
        </w:rPr>
        <w:t> </w:t>
      </w:r>
      <w:r>
        <w:rPr/>
        <w:t>account for exceptions, waivers, or additional restrictions it imposes.</w:t>
      </w:r>
    </w:p>
    <w:p>
      <w:pPr>
        <w:spacing w:after="0"/>
        <w:jc w:val="both"/>
        <w:sectPr>
          <w:pgSz w:w="12240" w:h="15840"/>
          <w:pgMar w:header="0" w:footer="1176" w:top="1360" w:bottom="1420" w:left="1320" w:right="1280"/>
        </w:sectPr>
      </w:pPr>
    </w:p>
    <w:p>
      <w:pPr>
        <w:pStyle w:val="Heading3"/>
        <w:jc w:val="both"/>
      </w:pPr>
      <w:bookmarkStart w:name="Design Guidelines" w:id="90"/>
      <w:bookmarkEnd w:id="90"/>
      <w:r>
        <w:rPr/>
      </w:r>
      <w:bookmarkStart w:name="_bookmark39" w:id="91"/>
      <w:bookmarkEnd w:id="91"/>
      <w:r>
        <w:rPr/>
      </w:r>
      <w:r>
        <w:rPr>
          <w:color w:val="001F5F"/>
        </w:rPr>
        <w:t>Design</w:t>
      </w:r>
      <w:r>
        <w:rPr>
          <w:color w:val="001F5F"/>
          <w:spacing w:val="-12"/>
        </w:rPr>
        <w:t> </w:t>
      </w:r>
      <w:r>
        <w:rPr>
          <w:color w:val="001F5F"/>
          <w:spacing w:val="-2"/>
        </w:rPr>
        <w:t>Guidelines</w:t>
      </w:r>
    </w:p>
    <w:p>
      <w:pPr>
        <w:pStyle w:val="BodyText"/>
        <w:spacing w:before="28"/>
        <w:ind w:left="120" w:right="157"/>
        <w:jc w:val="both"/>
      </w:pPr>
      <w:r>
        <w:rPr/>
        <w:t>This</w:t>
      </w:r>
      <w:r>
        <w:rPr>
          <w:spacing w:val="-7"/>
        </w:rPr>
        <w:t> </w:t>
      </w:r>
      <w:r>
        <w:rPr/>
        <w:t>portion</w:t>
      </w:r>
      <w:r>
        <w:rPr>
          <w:spacing w:val="-7"/>
        </w:rPr>
        <w:t> </w:t>
      </w:r>
      <w:r>
        <w:rPr/>
        <w:t>of</w:t>
      </w:r>
      <w:r>
        <w:rPr>
          <w:spacing w:val="-8"/>
        </w:rPr>
        <w:t> </w:t>
      </w:r>
      <w:r>
        <w:rPr/>
        <w:t>the</w:t>
      </w:r>
      <w:r>
        <w:rPr>
          <w:spacing w:val="-7"/>
        </w:rPr>
        <w:t> </w:t>
      </w:r>
      <w:r>
        <w:rPr/>
        <w:t>catalog</w:t>
      </w:r>
      <w:r>
        <w:rPr>
          <w:spacing w:val="-7"/>
        </w:rPr>
        <w:t> </w:t>
      </w:r>
      <w:r>
        <w:rPr/>
        <w:t>outlines</w:t>
      </w:r>
      <w:r>
        <w:rPr>
          <w:spacing w:val="-7"/>
        </w:rPr>
        <w:t> </w:t>
      </w:r>
      <w:r>
        <w:rPr/>
        <w:t>the</w:t>
      </w:r>
      <w:r>
        <w:rPr>
          <w:spacing w:val="-10"/>
        </w:rPr>
        <w:t> </w:t>
      </w:r>
      <w:r>
        <w:rPr/>
        <w:t>City’s</w:t>
      </w:r>
      <w:r>
        <w:rPr>
          <w:spacing w:val="-7"/>
        </w:rPr>
        <w:t> </w:t>
      </w:r>
      <w:r>
        <w:rPr/>
        <w:t>policy</w:t>
      </w:r>
      <w:r>
        <w:rPr>
          <w:spacing w:val="-7"/>
        </w:rPr>
        <w:t> </w:t>
      </w:r>
      <w:r>
        <w:rPr/>
        <w:t>on</w:t>
      </w:r>
      <w:r>
        <w:rPr>
          <w:spacing w:val="-7"/>
        </w:rPr>
        <w:t> </w:t>
      </w:r>
      <w:r>
        <w:rPr/>
        <w:t>Universal</w:t>
      </w:r>
      <w:r>
        <w:rPr>
          <w:spacing w:val="-8"/>
        </w:rPr>
        <w:t> </w:t>
      </w:r>
      <w:r>
        <w:rPr/>
        <w:t>Design</w:t>
      </w:r>
      <w:r>
        <w:rPr>
          <w:spacing w:val="-7"/>
        </w:rPr>
        <w:t> </w:t>
      </w:r>
      <w:r>
        <w:rPr/>
        <w:t>and</w:t>
      </w:r>
      <w:r>
        <w:rPr>
          <w:spacing w:val="-7"/>
        </w:rPr>
        <w:t> </w:t>
      </w:r>
      <w:r>
        <w:rPr/>
        <w:t>the</w:t>
      </w:r>
      <w:r>
        <w:rPr>
          <w:spacing w:val="-10"/>
        </w:rPr>
        <w:t> </w:t>
      </w:r>
      <w:r>
        <w:rPr/>
        <w:t>minimum</w:t>
      </w:r>
      <w:r>
        <w:rPr>
          <w:spacing w:val="-6"/>
        </w:rPr>
        <w:t> </w:t>
      </w:r>
      <w:r>
        <w:rPr/>
        <w:t>design criteria for new affordable housing projects, to the extent allowed by law.</w:t>
      </w:r>
    </w:p>
    <w:p>
      <w:pPr>
        <w:pStyle w:val="BodyText"/>
        <w:spacing w:before="1"/>
      </w:pPr>
    </w:p>
    <w:p>
      <w:pPr>
        <w:pStyle w:val="BodyText"/>
        <w:ind w:left="120" w:right="157"/>
        <w:jc w:val="both"/>
      </w:pPr>
      <w:r>
        <w:rPr/>
        <w:t>In order to ensure the sustainability of the projects supported by CDBG and HOME funds, the City has established guidelines in relation to Universal Design. In addition, the City wants to ensure that newly constructed units are compatible with existing neighborhoods.</w:t>
      </w:r>
    </w:p>
    <w:p>
      <w:pPr>
        <w:pStyle w:val="BodyText"/>
        <w:spacing w:before="10"/>
        <w:rPr>
          <w:sz w:val="21"/>
        </w:rPr>
      </w:pPr>
    </w:p>
    <w:p>
      <w:pPr>
        <w:pStyle w:val="BodyText"/>
        <w:ind w:left="120"/>
        <w:jc w:val="both"/>
      </w:pPr>
      <w:r>
        <w:rPr/>
        <w:pict>
          <v:shape style="position:absolute;margin-left:90.065002pt;margin-top:6.118015pt;width:395.3pt;height:419pt;mso-position-horizontal-relative:page;mso-position-vertical-relative:paragraph;z-index:-17675776" id="docshape135" coordorigin="1801,122" coordsize="7906,8380" path="m4498,7386l4492,7313,4477,7235,4455,7152,4432,7083,4403,7011,4367,6936,4325,6858,4276,6777,4237,6718,4200,6667,4200,7353,4197,7409,4186,7466,4167,7523,4138,7583,4097,7646,4044,7712,3979,7781,3674,8087,2216,6629,2517,6328,2598,6252,2672,6192,2740,6149,2801,6122,2868,6108,2941,6104,3020,6110,3105,6128,3195,6157,3255,6183,3317,6215,3380,6254,3446,6299,3514,6351,3584,6409,3656,6473,3729,6545,3789,6606,3845,6666,3896,6725,3943,6783,3986,6840,4025,6895,4059,6949,4101,7024,4136,7096,4163,7165,4183,7232,4196,7297,4200,7353,4200,6667,4194,6658,4148,6598,4098,6538,4045,6477,3989,6415,3929,6353,3865,6291,3801,6233,3737,6178,3673,6126,3643,6104,3609,6078,3546,6034,3482,5993,3419,5955,3346,5917,3274,5885,3203,5858,3132,5835,3062,5818,2992,5806,2923,5799,2850,5798,2779,5804,2709,5819,2642,5842,2577,5873,2528,5901,2476,5938,2420,5983,2359,6038,2294,6100,1801,6593,3710,8502,4124,8087,4226,7985,4287,7920,4341,7855,4386,7789,4424,7722,4454,7655,4476,7589,4491,7522,4498,7455,4498,7386xm6418,5793l6056,5665,5650,5522,5561,5493,5475,5469,5393,5450,5365,5445,5314,5436,5239,5426,5193,5424,5143,5427,5089,5434,5030,5445,5073,5375,5109,5306,5136,5237,5154,5168,5164,5099,5165,5031,5157,4963,5139,4885,5111,4809,5075,4735,5030,4662,4976,4591,4956,4568,4913,4522,4872,4484,4872,5042,4868,5097,4854,5152,4830,5208,4794,5267,4747,5328,4687,5392,4280,5799,3649,5168,4102,4715,4166,4658,4229,4614,4293,4585,4358,4570,4422,4568,4501,4584,4577,4613,4649,4658,4718,4718,4761,4765,4797,4816,4827,4870,4851,4926,4867,4985,4872,5042,4872,4484,4849,4463,4782,4410,4713,4365,4641,4326,4566,4294,4474,4266,4386,4253,4303,4255,4225,4271,4163,4296,4098,4333,4030,4381,3958,4440,3883,4511,3248,5146,5157,7054,5346,6865,4499,6018,4718,5799,4753,5764,4783,5737,4810,5716,4833,5701,4863,5688,4896,5677,4932,5669,4971,5665,5014,5665,5066,5670,5125,5681,5194,5697,5256,5715,5328,5735,5407,5760,5496,5790,6180,6031,6418,5793xm7780,4431l7415,4236,6555,3781,6555,4088,6070,4574,6030,4502,5989,4431,5748,4000,5708,3928,5668,3857,5629,3791,5590,3727,5550,3663,5509,3600,5467,3537,5424,3476,5380,3415,5436,3451,5498,3489,5564,3529,5635,3571,5792,3661,6555,4088,6555,3781,5862,3415,5286,3108,5082,3312,5277,3663,5316,3733,5701,4431,6207,5350,6441,5770,6642,5569,6565,5436,6298,4968,6221,4834,6481,4574,6820,4236,7173,4431,7565,4646,7780,4431xm8131,4080l7264,3213,7936,2541,7711,2316,7039,2988,6448,2397,7224,1621,6999,1396,6033,2361,7941,4270,8131,4080xm9707,2504l8024,821,8497,348,8272,122,7138,1257,7363,1482,7834,1011,9517,2694,9707,2504xe" filled="true" fillcolor="#c0c0c0" stroked="false">
            <v:path arrowok="t"/>
            <v:fill opacity="32896f" type="solid"/>
            <w10:wrap type="none"/>
          </v:shape>
        </w:pict>
      </w:r>
      <w:r>
        <w:rPr/>
        <w:t>Universal</w:t>
      </w:r>
      <w:r>
        <w:rPr>
          <w:spacing w:val="-8"/>
        </w:rPr>
        <w:t> </w:t>
      </w:r>
      <w:r>
        <w:rPr>
          <w:spacing w:val="-2"/>
        </w:rPr>
        <w:t>Design</w:t>
      </w:r>
    </w:p>
    <w:p>
      <w:pPr>
        <w:pStyle w:val="BodyText"/>
        <w:spacing w:before="2"/>
        <w:ind w:left="120" w:right="157"/>
        <w:jc w:val="both"/>
      </w:pPr>
      <w:r>
        <w:rPr/>
        <w:t>This comprehensive housing policy creates a Universal Design construction requirement for all new single-family homes, duplexes, and triplexes using financial assistance from the City.</w:t>
      </w:r>
    </w:p>
    <w:p>
      <w:pPr>
        <w:pStyle w:val="BodyText"/>
        <w:spacing w:before="10"/>
        <w:rPr>
          <w:sz w:val="21"/>
        </w:rPr>
      </w:pPr>
    </w:p>
    <w:p>
      <w:pPr>
        <w:pStyle w:val="BodyText"/>
        <w:ind w:left="120" w:right="155"/>
        <w:jc w:val="both"/>
      </w:pPr>
      <w:r>
        <w:rPr/>
        <w:t>The goal of “Universal Design” is to ensure that housing can accommodate the needs of people with a wide range of abilities, including children, aging populations and persons with disabilities. Consequently, all new construction housing projects using City of Dallas CDBG and/or HOME funds will meet all the following criteria:</w:t>
      </w:r>
    </w:p>
    <w:p>
      <w:pPr>
        <w:pStyle w:val="BodyText"/>
        <w:spacing w:before="2"/>
      </w:pPr>
    </w:p>
    <w:p>
      <w:pPr>
        <w:pStyle w:val="ListParagraph"/>
        <w:numPr>
          <w:ilvl w:val="0"/>
          <w:numId w:val="29"/>
        </w:numPr>
        <w:tabs>
          <w:tab w:pos="841" w:val="left" w:leader="none"/>
        </w:tabs>
        <w:spacing w:line="268" w:lineRule="exact" w:before="0" w:after="0"/>
        <w:ind w:left="840" w:right="0" w:hanging="362"/>
        <w:jc w:val="both"/>
        <w:rPr>
          <w:sz w:val="22"/>
        </w:rPr>
      </w:pPr>
      <w:r>
        <w:rPr>
          <w:sz w:val="22"/>
        </w:rPr>
        <w:t>At</w:t>
      </w:r>
      <w:r>
        <w:rPr>
          <w:spacing w:val="-4"/>
          <w:sz w:val="22"/>
        </w:rPr>
        <w:t> </w:t>
      </w:r>
      <w:r>
        <w:rPr>
          <w:sz w:val="22"/>
        </w:rPr>
        <w:t>least</w:t>
      </w:r>
      <w:r>
        <w:rPr>
          <w:spacing w:val="-4"/>
          <w:sz w:val="22"/>
        </w:rPr>
        <w:t> </w:t>
      </w:r>
      <w:r>
        <w:rPr>
          <w:sz w:val="22"/>
        </w:rPr>
        <w:t>one</w:t>
      </w:r>
      <w:r>
        <w:rPr>
          <w:spacing w:val="-4"/>
          <w:sz w:val="22"/>
        </w:rPr>
        <w:t> </w:t>
      </w:r>
      <w:r>
        <w:rPr>
          <w:sz w:val="22"/>
        </w:rPr>
        <w:t>entrance</w:t>
      </w:r>
      <w:r>
        <w:rPr>
          <w:spacing w:val="-4"/>
          <w:sz w:val="22"/>
        </w:rPr>
        <w:t> </w:t>
      </w:r>
      <w:r>
        <w:rPr>
          <w:sz w:val="22"/>
        </w:rPr>
        <w:t>shall</w:t>
      </w:r>
      <w:r>
        <w:rPr>
          <w:spacing w:val="-4"/>
          <w:sz w:val="22"/>
        </w:rPr>
        <w:t> </w:t>
      </w:r>
      <w:r>
        <w:rPr>
          <w:sz w:val="22"/>
        </w:rPr>
        <w:t>have</w:t>
      </w:r>
      <w:r>
        <w:rPr>
          <w:spacing w:val="-3"/>
          <w:sz w:val="22"/>
        </w:rPr>
        <w:t> </w:t>
      </w:r>
      <w:r>
        <w:rPr>
          <w:sz w:val="22"/>
        </w:rPr>
        <w:t>a</w:t>
      </w:r>
      <w:r>
        <w:rPr>
          <w:spacing w:val="-3"/>
          <w:sz w:val="22"/>
        </w:rPr>
        <w:t> </w:t>
      </w:r>
      <w:r>
        <w:rPr>
          <w:sz w:val="22"/>
        </w:rPr>
        <w:t>36-inch</w:t>
      </w:r>
      <w:r>
        <w:rPr>
          <w:spacing w:val="-4"/>
          <w:sz w:val="22"/>
        </w:rPr>
        <w:t> </w:t>
      </w:r>
      <w:r>
        <w:rPr>
          <w:sz w:val="22"/>
        </w:rPr>
        <w:t>door</w:t>
      </w:r>
      <w:r>
        <w:rPr>
          <w:spacing w:val="-5"/>
          <w:sz w:val="22"/>
        </w:rPr>
        <w:t> </w:t>
      </w:r>
      <w:r>
        <w:rPr>
          <w:sz w:val="22"/>
        </w:rPr>
        <w:t>and</w:t>
      </w:r>
      <w:r>
        <w:rPr>
          <w:spacing w:val="-3"/>
          <w:sz w:val="22"/>
        </w:rPr>
        <w:t> </w:t>
      </w:r>
      <w:r>
        <w:rPr>
          <w:sz w:val="22"/>
        </w:rPr>
        <w:t>be</w:t>
      </w:r>
      <w:r>
        <w:rPr>
          <w:spacing w:val="-4"/>
          <w:sz w:val="22"/>
        </w:rPr>
        <w:t> </w:t>
      </w:r>
      <w:r>
        <w:rPr>
          <w:sz w:val="22"/>
        </w:rPr>
        <w:t>on</w:t>
      </w:r>
      <w:r>
        <w:rPr>
          <w:spacing w:val="-6"/>
          <w:sz w:val="22"/>
        </w:rPr>
        <w:t> </w:t>
      </w:r>
      <w:r>
        <w:rPr>
          <w:sz w:val="22"/>
        </w:rPr>
        <w:t>an</w:t>
      </w:r>
      <w:r>
        <w:rPr>
          <w:spacing w:val="-4"/>
          <w:sz w:val="22"/>
        </w:rPr>
        <w:t> </w:t>
      </w:r>
      <w:r>
        <w:rPr>
          <w:sz w:val="22"/>
        </w:rPr>
        <w:t>accessible</w:t>
      </w:r>
      <w:r>
        <w:rPr>
          <w:spacing w:val="-3"/>
          <w:sz w:val="22"/>
        </w:rPr>
        <w:t> </w:t>
      </w:r>
      <w:r>
        <w:rPr>
          <w:spacing w:val="-2"/>
          <w:sz w:val="22"/>
        </w:rPr>
        <w:t>route.</w:t>
      </w:r>
    </w:p>
    <w:p>
      <w:pPr>
        <w:pStyle w:val="ListParagraph"/>
        <w:numPr>
          <w:ilvl w:val="0"/>
          <w:numId w:val="29"/>
        </w:numPr>
        <w:tabs>
          <w:tab w:pos="841" w:val="left" w:leader="none"/>
        </w:tabs>
        <w:spacing w:line="240" w:lineRule="auto" w:before="0" w:after="0"/>
        <w:ind w:left="840" w:right="157" w:hanging="361"/>
        <w:jc w:val="both"/>
        <w:rPr>
          <w:sz w:val="22"/>
        </w:rPr>
      </w:pPr>
      <w:r>
        <w:rPr>
          <w:sz w:val="22"/>
        </w:rPr>
        <w:t>All interior doors shall be no less than 32 inches wide except for a door that provides access to a closet of fewer than 15 square feet in area. Each hallway shall have a width of at</w:t>
      </w:r>
      <w:r>
        <w:rPr>
          <w:spacing w:val="-3"/>
          <w:sz w:val="22"/>
        </w:rPr>
        <w:t> </w:t>
      </w:r>
      <w:r>
        <w:rPr>
          <w:sz w:val="22"/>
        </w:rPr>
        <w:t>least</w:t>
      </w:r>
      <w:r>
        <w:rPr>
          <w:spacing w:val="-2"/>
          <w:sz w:val="22"/>
        </w:rPr>
        <w:t> </w:t>
      </w:r>
      <w:r>
        <w:rPr>
          <w:sz w:val="22"/>
        </w:rPr>
        <w:t>36</w:t>
      </w:r>
      <w:r>
        <w:rPr>
          <w:spacing w:val="-2"/>
          <w:sz w:val="22"/>
        </w:rPr>
        <w:t> </w:t>
      </w:r>
      <w:r>
        <w:rPr>
          <w:sz w:val="22"/>
        </w:rPr>
        <w:t>inches</w:t>
      </w:r>
      <w:r>
        <w:rPr>
          <w:spacing w:val="-1"/>
          <w:sz w:val="22"/>
        </w:rPr>
        <w:t> </w:t>
      </w:r>
      <w:r>
        <w:rPr>
          <w:sz w:val="22"/>
        </w:rPr>
        <w:t>and</w:t>
      </w:r>
      <w:r>
        <w:rPr>
          <w:spacing w:val="-4"/>
          <w:sz w:val="22"/>
        </w:rPr>
        <w:t> </w:t>
      </w:r>
      <w:r>
        <w:rPr>
          <w:sz w:val="22"/>
        </w:rPr>
        <w:t>shall</w:t>
      </w:r>
      <w:r>
        <w:rPr>
          <w:spacing w:val="-2"/>
          <w:sz w:val="22"/>
        </w:rPr>
        <w:t> </w:t>
      </w:r>
      <w:r>
        <w:rPr>
          <w:sz w:val="22"/>
        </w:rPr>
        <w:t>be</w:t>
      </w:r>
      <w:r>
        <w:rPr>
          <w:spacing w:val="-2"/>
          <w:sz w:val="22"/>
        </w:rPr>
        <w:t> </w:t>
      </w:r>
      <w:r>
        <w:rPr>
          <w:sz w:val="22"/>
        </w:rPr>
        <w:t>level</w:t>
      </w:r>
      <w:r>
        <w:rPr>
          <w:spacing w:val="-2"/>
          <w:sz w:val="22"/>
        </w:rPr>
        <w:t> </w:t>
      </w:r>
      <w:r>
        <w:rPr>
          <w:sz w:val="22"/>
        </w:rPr>
        <w:t>and</w:t>
      </w:r>
      <w:r>
        <w:rPr>
          <w:spacing w:val="-2"/>
          <w:sz w:val="22"/>
        </w:rPr>
        <w:t> </w:t>
      </w:r>
      <w:r>
        <w:rPr>
          <w:sz w:val="22"/>
        </w:rPr>
        <w:t>ramped</w:t>
      </w:r>
      <w:r>
        <w:rPr>
          <w:spacing w:val="-2"/>
          <w:sz w:val="22"/>
        </w:rPr>
        <w:t> </w:t>
      </w:r>
      <w:r>
        <w:rPr>
          <w:sz w:val="22"/>
        </w:rPr>
        <w:t>or use</w:t>
      </w:r>
      <w:r>
        <w:rPr>
          <w:spacing w:val="-3"/>
          <w:sz w:val="22"/>
        </w:rPr>
        <w:t> </w:t>
      </w:r>
      <w:r>
        <w:rPr>
          <w:sz w:val="22"/>
        </w:rPr>
        <w:t>beveled</w:t>
      </w:r>
      <w:r>
        <w:rPr>
          <w:spacing w:val="-2"/>
          <w:sz w:val="22"/>
        </w:rPr>
        <w:t> </w:t>
      </w:r>
      <w:r>
        <w:rPr>
          <w:sz w:val="22"/>
        </w:rPr>
        <w:t>changes</w:t>
      </w:r>
      <w:r>
        <w:rPr>
          <w:spacing w:val="-1"/>
          <w:sz w:val="22"/>
        </w:rPr>
        <w:t> </w:t>
      </w:r>
      <w:r>
        <w:rPr>
          <w:sz w:val="22"/>
        </w:rPr>
        <w:t>at</w:t>
      </w:r>
      <w:r>
        <w:rPr>
          <w:spacing w:val="-3"/>
          <w:sz w:val="22"/>
        </w:rPr>
        <w:t> </w:t>
      </w:r>
      <w:r>
        <w:rPr>
          <w:sz w:val="22"/>
        </w:rPr>
        <w:t>each</w:t>
      </w:r>
      <w:r>
        <w:rPr>
          <w:spacing w:val="-2"/>
          <w:sz w:val="22"/>
        </w:rPr>
        <w:t> </w:t>
      </w:r>
      <w:r>
        <w:rPr>
          <w:sz w:val="22"/>
        </w:rPr>
        <w:t>door </w:t>
      </w:r>
      <w:r>
        <w:rPr>
          <w:spacing w:val="-2"/>
          <w:sz w:val="22"/>
        </w:rPr>
        <w:t>threshold.</w:t>
      </w:r>
    </w:p>
    <w:p>
      <w:pPr>
        <w:pStyle w:val="ListParagraph"/>
        <w:numPr>
          <w:ilvl w:val="0"/>
          <w:numId w:val="29"/>
        </w:numPr>
        <w:tabs>
          <w:tab w:pos="841" w:val="left" w:leader="none"/>
        </w:tabs>
        <w:spacing w:line="237" w:lineRule="auto" w:before="0" w:after="0"/>
        <w:ind w:left="840" w:right="158" w:hanging="361"/>
        <w:jc w:val="both"/>
        <w:rPr>
          <w:sz w:val="22"/>
        </w:rPr>
      </w:pPr>
      <w:r>
        <w:rPr>
          <w:sz w:val="22"/>
        </w:rPr>
        <w:t>All bathrooms shall have the walls reinforced around the toilet, bathtub, and shower for future installation of grab bars.</w:t>
      </w:r>
    </w:p>
    <w:p>
      <w:pPr>
        <w:pStyle w:val="ListParagraph"/>
        <w:numPr>
          <w:ilvl w:val="0"/>
          <w:numId w:val="29"/>
        </w:numPr>
        <w:tabs>
          <w:tab w:pos="841" w:val="left" w:leader="none"/>
        </w:tabs>
        <w:spacing w:line="237" w:lineRule="auto" w:before="3" w:after="0"/>
        <w:ind w:left="840" w:right="159" w:hanging="361"/>
        <w:jc w:val="both"/>
        <w:rPr>
          <w:sz w:val="22"/>
        </w:rPr>
      </w:pPr>
      <w:r>
        <w:rPr>
          <w:sz w:val="22"/>
        </w:rPr>
        <w:t>Each</w:t>
      </w:r>
      <w:r>
        <w:rPr>
          <w:spacing w:val="-14"/>
          <w:sz w:val="22"/>
        </w:rPr>
        <w:t> </w:t>
      </w:r>
      <w:r>
        <w:rPr>
          <w:sz w:val="22"/>
        </w:rPr>
        <w:t>electrical</w:t>
      </w:r>
      <w:r>
        <w:rPr>
          <w:spacing w:val="-14"/>
          <w:sz w:val="22"/>
        </w:rPr>
        <w:t> </w:t>
      </w:r>
      <w:r>
        <w:rPr>
          <w:sz w:val="22"/>
        </w:rPr>
        <w:t>panel,</w:t>
      </w:r>
      <w:r>
        <w:rPr>
          <w:spacing w:val="-13"/>
          <w:sz w:val="22"/>
        </w:rPr>
        <w:t> </w:t>
      </w:r>
      <w:r>
        <w:rPr>
          <w:sz w:val="22"/>
        </w:rPr>
        <w:t>light</w:t>
      </w:r>
      <w:r>
        <w:rPr>
          <w:spacing w:val="-13"/>
          <w:sz w:val="22"/>
        </w:rPr>
        <w:t> </w:t>
      </w:r>
      <w:r>
        <w:rPr>
          <w:sz w:val="22"/>
        </w:rPr>
        <w:t>switch</w:t>
      </w:r>
      <w:r>
        <w:rPr>
          <w:spacing w:val="-14"/>
          <w:sz w:val="22"/>
        </w:rPr>
        <w:t> </w:t>
      </w:r>
      <w:r>
        <w:rPr>
          <w:sz w:val="22"/>
        </w:rPr>
        <w:t>or</w:t>
      </w:r>
      <w:r>
        <w:rPr>
          <w:spacing w:val="-15"/>
          <w:sz w:val="22"/>
        </w:rPr>
        <w:t> </w:t>
      </w:r>
      <w:r>
        <w:rPr>
          <w:sz w:val="22"/>
        </w:rPr>
        <w:t>thermostat</w:t>
      </w:r>
      <w:r>
        <w:rPr>
          <w:spacing w:val="-15"/>
          <w:sz w:val="22"/>
        </w:rPr>
        <w:t> </w:t>
      </w:r>
      <w:r>
        <w:rPr>
          <w:sz w:val="22"/>
        </w:rPr>
        <w:t>shall</w:t>
      </w:r>
      <w:r>
        <w:rPr>
          <w:spacing w:val="-14"/>
          <w:sz w:val="22"/>
        </w:rPr>
        <w:t> </w:t>
      </w:r>
      <w:r>
        <w:rPr>
          <w:sz w:val="22"/>
        </w:rPr>
        <w:t>be</w:t>
      </w:r>
      <w:r>
        <w:rPr>
          <w:spacing w:val="-14"/>
          <w:sz w:val="22"/>
        </w:rPr>
        <w:t> </w:t>
      </w:r>
      <w:r>
        <w:rPr>
          <w:sz w:val="22"/>
        </w:rPr>
        <w:t>mounted</w:t>
      </w:r>
      <w:r>
        <w:rPr>
          <w:spacing w:val="-14"/>
          <w:sz w:val="22"/>
        </w:rPr>
        <w:t> </w:t>
      </w:r>
      <w:r>
        <w:rPr>
          <w:sz w:val="22"/>
        </w:rPr>
        <w:t>no</w:t>
      </w:r>
      <w:r>
        <w:rPr>
          <w:spacing w:val="-14"/>
          <w:sz w:val="22"/>
        </w:rPr>
        <w:t> </w:t>
      </w:r>
      <w:r>
        <w:rPr>
          <w:sz w:val="22"/>
        </w:rPr>
        <w:t>higher</w:t>
      </w:r>
      <w:r>
        <w:rPr>
          <w:spacing w:val="-13"/>
          <w:sz w:val="22"/>
        </w:rPr>
        <w:t> </w:t>
      </w:r>
      <w:r>
        <w:rPr>
          <w:sz w:val="22"/>
        </w:rPr>
        <w:t>than</w:t>
      </w:r>
      <w:r>
        <w:rPr>
          <w:spacing w:val="-14"/>
          <w:sz w:val="22"/>
        </w:rPr>
        <w:t> </w:t>
      </w:r>
      <w:r>
        <w:rPr>
          <w:sz w:val="22"/>
        </w:rPr>
        <w:t>48</w:t>
      </w:r>
      <w:r>
        <w:rPr>
          <w:spacing w:val="-14"/>
          <w:sz w:val="22"/>
        </w:rPr>
        <w:t> </w:t>
      </w:r>
      <w:r>
        <w:rPr>
          <w:sz w:val="22"/>
        </w:rPr>
        <w:t>inches above the floor. Each electrical plug or other receptacle shall be at least 15 inches from the finished floor.</w:t>
      </w:r>
    </w:p>
    <w:p>
      <w:pPr>
        <w:pStyle w:val="ListParagraph"/>
        <w:numPr>
          <w:ilvl w:val="0"/>
          <w:numId w:val="29"/>
        </w:numPr>
        <w:tabs>
          <w:tab w:pos="841" w:val="left" w:leader="none"/>
        </w:tabs>
        <w:spacing w:line="237" w:lineRule="auto" w:before="4" w:after="0"/>
        <w:ind w:left="840" w:right="159" w:hanging="361"/>
        <w:jc w:val="both"/>
        <w:rPr>
          <w:sz w:val="22"/>
        </w:rPr>
      </w:pPr>
      <w:r>
        <w:rPr>
          <w:sz w:val="22"/>
        </w:rPr>
        <w:t>An electrical panel located outside the dwelling unit must be between 18 inches and 42 inches above the ground and served by an accessible route.</w:t>
      </w:r>
    </w:p>
    <w:p>
      <w:pPr>
        <w:pStyle w:val="ListParagraph"/>
        <w:numPr>
          <w:ilvl w:val="0"/>
          <w:numId w:val="29"/>
        </w:numPr>
        <w:tabs>
          <w:tab w:pos="841" w:val="left" w:leader="none"/>
        </w:tabs>
        <w:spacing w:line="237" w:lineRule="auto" w:before="4" w:after="0"/>
        <w:ind w:left="840" w:right="159" w:hanging="361"/>
        <w:jc w:val="both"/>
        <w:rPr>
          <w:sz w:val="22"/>
        </w:rPr>
      </w:pPr>
      <w:r>
        <w:rPr>
          <w:sz w:val="22"/>
        </w:rPr>
        <w:t>All hardware installed to open/close doors and operate plumbing fixtures shall be lever </w:t>
      </w:r>
      <w:r>
        <w:rPr>
          <w:spacing w:val="-2"/>
          <w:sz w:val="22"/>
        </w:rPr>
        <w:t>handles.</w:t>
      </w:r>
    </w:p>
    <w:p>
      <w:pPr>
        <w:pStyle w:val="BodyText"/>
      </w:pPr>
    </w:p>
    <w:p>
      <w:pPr>
        <w:pStyle w:val="BodyText"/>
        <w:ind w:left="120"/>
        <w:jc w:val="both"/>
      </w:pPr>
      <w:r>
        <w:rPr/>
        <w:t>Universal</w:t>
      </w:r>
      <w:r>
        <w:rPr>
          <w:spacing w:val="-9"/>
        </w:rPr>
        <w:t> </w:t>
      </w:r>
      <w:r>
        <w:rPr/>
        <w:t>Design</w:t>
      </w:r>
      <w:r>
        <w:rPr>
          <w:spacing w:val="-6"/>
        </w:rPr>
        <w:t> </w:t>
      </w:r>
      <w:r>
        <w:rPr/>
        <w:t>Waiver</w:t>
      </w:r>
      <w:r>
        <w:rPr>
          <w:spacing w:val="-7"/>
        </w:rPr>
        <w:t> </w:t>
      </w:r>
      <w:r>
        <w:rPr/>
        <w:t>or</w:t>
      </w:r>
      <w:r>
        <w:rPr>
          <w:spacing w:val="-8"/>
        </w:rPr>
        <w:t> </w:t>
      </w:r>
      <w:r>
        <w:rPr/>
        <w:t>Exterior</w:t>
      </w:r>
      <w:r>
        <w:rPr>
          <w:spacing w:val="-4"/>
        </w:rPr>
        <w:t> </w:t>
      </w:r>
      <w:r>
        <w:rPr/>
        <w:t>Accessibility</w:t>
      </w:r>
      <w:r>
        <w:rPr>
          <w:spacing w:val="-8"/>
        </w:rPr>
        <w:t> </w:t>
      </w:r>
      <w:r>
        <w:rPr>
          <w:spacing w:val="-2"/>
        </w:rPr>
        <w:t>Requirements</w:t>
      </w:r>
    </w:p>
    <w:p>
      <w:pPr>
        <w:pStyle w:val="BodyText"/>
        <w:spacing w:before="2"/>
        <w:ind w:left="120" w:right="155"/>
        <w:jc w:val="both"/>
      </w:pPr>
      <w:r>
        <w:rPr/>
        <w:t>The Director or designee may only grant modifications or an exemption to the requirements regarding</w:t>
      </w:r>
      <w:r>
        <w:rPr>
          <w:spacing w:val="-10"/>
        </w:rPr>
        <w:t> </w:t>
      </w:r>
      <w:r>
        <w:rPr/>
        <w:t>full</w:t>
      </w:r>
      <w:r>
        <w:rPr>
          <w:spacing w:val="-8"/>
        </w:rPr>
        <w:t> </w:t>
      </w:r>
      <w:r>
        <w:rPr/>
        <w:t>compliance</w:t>
      </w:r>
      <w:r>
        <w:rPr>
          <w:spacing w:val="-10"/>
        </w:rPr>
        <w:t> </w:t>
      </w:r>
      <w:r>
        <w:rPr/>
        <w:t>with</w:t>
      </w:r>
      <w:r>
        <w:rPr>
          <w:spacing w:val="-10"/>
        </w:rPr>
        <w:t> </w:t>
      </w:r>
      <w:r>
        <w:rPr/>
        <w:t>the</w:t>
      </w:r>
      <w:r>
        <w:rPr>
          <w:spacing w:val="-7"/>
        </w:rPr>
        <w:t> </w:t>
      </w:r>
      <w:r>
        <w:rPr/>
        <w:t>exterior</w:t>
      </w:r>
      <w:r>
        <w:rPr>
          <w:spacing w:val="-6"/>
        </w:rPr>
        <w:t> </w:t>
      </w:r>
      <w:r>
        <w:rPr/>
        <w:t>path</w:t>
      </w:r>
      <w:r>
        <w:rPr>
          <w:spacing w:val="-7"/>
        </w:rPr>
        <w:t> </w:t>
      </w:r>
      <w:r>
        <w:rPr/>
        <w:t>of</w:t>
      </w:r>
      <w:r>
        <w:rPr>
          <w:spacing w:val="-8"/>
        </w:rPr>
        <w:t> </w:t>
      </w:r>
      <w:r>
        <w:rPr/>
        <w:t>travel</w:t>
      </w:r>
      <w:r>
        <w:rPr>
          <w:spacing w:val="-8"/>
        </w:rPr>
        <w:t> </w:t>
      </w:r>
      <w:r>
        <w:rPr/>
        <w:t>on</w:t>
      </w:r>
      <w:r>
        <w:rPr>
          <w:spacing w:val="-7"/>
        </w:rPr>
        <w:t> </w:t>
      </w:r>
      <w:r>
        <w:rPr/>
        <w:t>an</w:t>
      </w:r>
      <w:r>
        <w:rPr>
          <w:spacing w:val="-10"/>
        </w:rPr>
        <w:t> </w:t>
      </w:r>
      <w:r>
        <w:rPr/>
        <w:t>individual</w:t>
      </w:r>
      <w:r>
        <w:rPr>
          <w:spacing w:val="-8"/>
        </w:rPr>
        <w:t> </w:t>
      </w:r>
      <w:r>
        <w:rPr/>
        <w:t>case-by-case</w:t>
      </w:r>
      <w:r>
        <w:rPr>
          <w:spacing w:val="-10"/>
        </w:rPr>
        <w:t> </w:t>
      </w:r>
      <w:r>
        <w:rPr/>
        <w:t>basis.</w:t>
      </w:r>
      <w:r>
        <w:rPr>
          <w:spacing w:val="-6"/>
        </w:rPr>
        <w:t> </w:t>
      </w:r>
      <w:r>
        <w:rPr/>
        <w:t>The criteria for granting a modification or exemption are as follows:</w:t>
      </w:r>
    </w:p>
    <w:p>
      <w:pPr>
        <w:pStyle w:val="BodyText"/>
        <w:spacing w:before="2"/>
      </w:pPr>
    </w:p>
    <w:p>
      <w:pPr>
        <w:pStyle w:val="ListParagraph"/>
        <w:numPr>
          <w:ilvl w:val="0"/>
          <w:numId w:val="29"/>
        </w:numPr>
        <w:tabs>
          <w:tab w:pos="841" w:val="left" w:leader="none"/>
        </w:tabs>
        <w:spacing w:line="237" w:lineRule="auto" w:before="0" w:after="0"/>
        <w:ind w:left="840" w:right="157" w:hanging="361"/>
        <w:jc w:val="both"/>
        <w:rPr>
          <w:sz w:val="22"/>
        </w:rPr>
      </w:pPr>
      <w:r>
        <w:rPr>
          <w:sz w:val="22"/>
        </w:rPr>
        <w:t>The lots rise or falls so steeply from the street that a maximum 1:12 slope cannot be achieved without extensive grading or</w:t>
      </w:r>
    </w:p>
    <w:p>
      <w:pPr>
        <w:pStyle w:val="ListParagraph"/>
        <w:numPr>
          <w:ilvl w:val="0"/>
          <w:numId w:val="29"/>
        </w:numPr>
        <w:tabs>
          <w:tab w:pos="841" w:val="left" w:leader="none"/>
        </w:tabs>
        <w:spacing w:line="240" w:lineRule="auto" w:before="1" w:after="0"/>
        <w:ind w:left="840" w:right="0" w:hanging="361"/>
        <w:jc w:val="both"/>
        <w:rPr>
          <w:sz w:val="22"/>
        </w:rPr>
      </w:pPr>
      <w:r>
        <w:rPr>
          <w:sz w:val="22"/>
        </w:rPr>
        <w:t>The</w:t>
      </w:r>
      <w:r>
        <w:rPr>
          <w:spacing w:val="-3"/>
          <w:sz w:val="22"/>
        </w:rPr>
        <w:t> </w:t>
      </w:r>
      <w:r>
        <w:rPr>
          <w:sz w:val="22"/>
        </w:rPr>
        <w:t>site</w:t>
      </w:r>
      <w:r>
        <w:rPr>
          <w:spacing w:val="-4"/>
          <w:sz w:val="22"/>
        </w:rPr>
        <w:t> </w:t>
      </w:r>
      <w:r>
        <w:rPr>
          <w:sz w:val="22"/>
        </w:rPr>
        <w:t>lacks</w:t>
      </w:r>
      <w:r>
        <w:rPr>
          <w:spacing w:val="-2"/>
          <w:sz w:val="22"/>
        </w:rPr>
        <w:t> </w:t>
      </w:r>
      <w:r>
        <w:rPr>
          <w:sz w:val="22"/>
        </w:rPr>
        <w:t>vehicular</w:t>
      </w:r>
      <w:r>
        <w:rPr>
          <w:spacing w:val="-7"/>
          <w:sz w:val="22"/>
        </w:rPr>
        <w:t> </w:t>
      </w:r>
      <w:r>
        <w:rPr>
          <w:sz w:val="22"/>
        </w:rPr>
        <w:t>access</w:t>
      </w:r>
      <w:r>
        <w:rPr>
          <w:spacing w:val="-2"/>
          <w:sz w:val="22"/>
        </w:rPr>
        <w:t> </w:t>
      </w:r>
      <w:r>
        <w:rPr>
          <w:sz w:val="22"/>
        </w:rPr>
        <w:t>via</w:t>
      </w:r>
      <w:r>
        <w:rPr>
          <w:spacing w:val="-6"/>
          <w:sz w:val="22"/>
        </w:rPr>
        <w:t> </w:t>
      </w:r>
      <w:r>
        <w:rPr>
          <w:sz w:val="22"/>
        </w:rPr>
        <w:t>an</w:t>
      </w:r>
      <w:r>
        <w:rPr>
          <w:spacing w:val="-3"/>
          <w:sz w:val="22"/>
        </w:rPr>
        <w:t> </w:t>
      </w:r>
      <w:r>
        <w:rPr>
          <w:spacing w:val="-4"/>
          <w:sz w:val="22"/>
        </w:rPr>
        <w:t>alley</w:t>
      </w:r>
    </w:p>
    <w:p>
      <w:pPr>
        <w:pStyle w:val="BodyText"/>
        <w:spacing w:before="8"/>
        <w:rPr>
          <w:sz w:val="21"/>
        </w:rPr>
      </w:pPr>
    </w:p>
    <w:p>
      <w:pPr>
        <w:pStyle w:val="BodyText"/>
        <w:ind w:left="120"/>
      </w:pPr>
      <w:r>
        <w:rPr/>
        <w:t>Universal</w:t>
      </w:r>
      <w:r>
        <w:rPr>
          <w:spacing w:val="-7"/>
        </w:rPr>
        <w:t> </w:t>
      </w:r>
      <w:r>
        <w:rPr/>
        <w:t>Design</w:t>
      </w:r>
      <w:r>
        <w:rPr>
          <w:spacing w:val="-7"/>
        </w:rPr>
        <w:t> </w:t>
      </w:r>
      <w:r>
        <w:rPr>
          <w:spacing w:val="-2"/>
        </w:rPr>
        <w:t>Implementation</w:t>
      </w:r>
    </w:p>
    <w:p>
      <w:pPr>
        <w:pStyle w:val="ListParagraph"/>
        <w:numPr>
          <w:ilvl w:val="0"/>
          <w:numId w:val="29"/>
        </w:numPr>
        <w:tabs>
          <w:tab w:pos="841" w:val="left" w:leader="none"/>
          <w:tab w:pos="842" w:val="left" w:leader="none"/>
        </w:tabs>
        <w:spacing w:line="269" w:lineRule="exact" w:before="1" w:after="0"/>
        <w:ind w:left="841" w:right="0" w:hanging="361"/>
        <w:jc w:val="left"/>
        <w:rPr>
          <w:sz w:val="22"/>
        </w:rPr>
      </w:pPr>
      <w:r>
        <w:rPr>
          <w:sz w:val="22"/>
        </w:rPr>
        <w:t>Clearly</w:t>
      </w:r>
      <w:r>
        <w:rPr>
          <w:spacing w:val="-7"/>
          <w:sz w:val="22"/>
        </w:rPr>
        <w:t> </w:t>
      </w:r>
      <w:r>
        <w:rPr>
          <w:sz w:val="22"/>
        </w:rPr>
        <w:t>stamp</w:t>
      </w:r>
      <w:r>
        <w:rPr>
          <w:spacing w:val="-6"/>
          <w:sz w:val="22"/>
        </w:rPr>
        <w:t> </w:t>
      </w:r>
      <w:r>
        <w:rPr>
          <w:sz w:val="22"/>
        </w:rPr>
        <w:t>or</w:t>
      </w:r>
      <w:r>
        <w:rPr>
          <w:spacing w:val="-3"/>
          <w:sz w:val="22"/>
        </w:rPr>
        <w:t> </w:t>
      </w:r>
      <w:r>
        <w:rPr>
          <w:sz w:val="22"/>
        </w:rPr>
        <w:t>print</w:t>
      </w:r>
      <w:r>
        <w:rPr>
          <w:spacing w:val="-7"/>
          <w:sz w:val="22"/>
        </w:rPr>
        <w:t> </w:t>
      </w:r>
      <w:r>
        <w:rPr>
          <w:sz w:val="22"/>
        </w:rPr>
        <w:t>“Universal</w:t>
      </w:r>
      <w:r>
        <w:rPr>
          <w:spacing w:val="-5"/>
          <w:sz w:val="22"/>
        </w:rPr>
        <w:t> </w:t>
      </w:r>
      <w:r>
        <w:rPr>
          <w:sz w:val="22"/>
        </w:rPr>
        <w:t>Design”</w:t>
      </w:r>
      <w:r>
        <w:rPr>
          <w:spacing w:val="-4"/>
          <w:sz w:val="22"/>
        </w:rPr>
        <w:t> </w:t>
      </w:r>
      <w:r>
        <w:rPr>
          <w:sz w:val="22"/>
        </w:rPr>
        <w:t>on</w:t>
      </w:r>
      <w:r>
        <w:rPr>
          <w:spacing w:val="-7"/>
          <w:sz w:val="22"/>
        </w:rPr>
        <w:t> </w:t>
      </w:r>
      <w:r>
        <w:rPr>
          <w:sz w:val="22"/>
        </w:rPr>
        <w:t>plans</w:t>
      </w:r>
      <w:r>
        <w:rPr>
          <w:spacing w:val="-4"/>
          <w:sz w:val="22"/>
        </w:rPr>
        <w:t> </w:t>
      </w:r>
      <w:r>
        <w:rPr>
          <w:spacing w:val="-2"/>
          <w:sz w:val="22"/>
        </w:rPr>
        <w:t>submitted</w:t>
      </w:r>
    </w:p>
    <w:p>
      <w:pPr>
        <w:pStyle w:val="ListParagraph"/>
        <w:numPr>
          <w:ilvl w:val="0"/>
          <w:numId w:val="29"/>
        </w:numPr>
        <w:tabs>
          <w:tab w:pos="841" w:val="left" w:leader="none"/>
          <w:tab w:pos="842" w:val="left" w:leader="none"/>
        </w:tabs>
        <w:spacing w:line="268" w:lineRule="exact" w:before="0" w:after="0"/>
        <w:ind w:left="841" w:right="0" w:hanging="361"/>
        <w:jc w:val="left"/>
        <w:rPr>
          <w:sz w:val="22"/>
        </w:rPr>
      </w:pPr>
      <w:r>
        <w:rPr>
          <w:sz w:val="22"/>
        </w:rPr>
        <w:t>Clearly</w:t>
      </w:r>
      <w:r>
        <w:rPr>
          <w:spacing w:val="-6"/>
          <w:sz w:val="22"/>
        </w:rPr>
        <w:t> </w:t>
      </w:r>
      <w:r>
        <w:rPr>
          <w:sz w:val="22"/>
        </w:rPr>
        <w:t>identify</w:t>
      </w:r>
      <w:r>
        <w:rPr>
          <w:spacing w:val="-6"/>
          <w:sz w:val="22"/>
        </w:rPr>
        <w:t> </w:t>
      </w:r>
      <w:r>
        <w:rPr>
          <w:sz w:val="22"/>
        </w:rPr>
        <w:t>universal</w:t>
      </w:r>
      <w:r>
        <w:rPr>
          <w:spacing w:val="-9"/>
          <w:sz w:val="22"/>
        </w:rPr>
        <w:t> </w:t>
      </w:r>
      <w:r>
        <w:rPr>
          <w:sz w:val="22"/>
        </w:rPr>
        <w:t>design</w:t>
      </w:r>
      <w:r>
        <w:rPr>
          <w:spacing w:val="-6"/>
          <w:sz w:val="22"/>
        </w:rPr>
        <w:t> </w:t>
      </w:r>
      <w:r>
        <w:rPr>
          <w:spacing w:val="-2"/>
          <w:sz w:val="22"/>
        </w:rPr>
        <w:t>elements</w:t>
      </w:r>
    </w:p>
    <w:p>
      <w:pPr>
        <w:pStyle w:val="ListParagraph"/>
        <w:numPr>
          <w:ilvl w:val="0"/>
          <w:numId w:val="29"/>
        </w:numPr>
        <w:tabs>
          <w:tab w:pos="841" w:val="left" w:leader="none"/>
          <w:tab w:pos="842" w:val="left" w:leader="none"/>
        </w:tabs>
        <w:spacing w:line="268" w:lineRule="exact" w:before="0" w:after="0"/>
        <w:ind w:left="841" w:right="0" w:hanging="361"/>
        <w:jc w:val="left"/>
        <w:rPr>
          <w:sz w:val="22"/>
        </w:rPr>
      </w:pPr>
      <w:r>
        <w:rPr>
          <w:sz w:val="22"/>
        </w:rPr>
        <w:t>Certify</w:t>
      </w:r>
      <w:r>
        <w:rPr>
          <w:spacing w:val="-5"/>
          <w:sz w:val="22"/>
        </w:rPr>
        <w:t> </w:t>
      </w:r>
      <w:r>
        <w:rPr>
          <w:sz w:val="22"/>
        </w:rPr>
        <w:t>that</w:t>
      </w:r>
      <w:r>
        <w:rPr>
          <w:spacing w:val="-4"/>
          <w:sz w:val="22"/>
        </w:rPr>
        <w:t> </w:t>
      </w:r>
      <w:r>
        <w:rPr>
          <w:sz w:val="22"/>
        </w:rPr>
        <w:t>the</w:t>
      </w:r>
      <w:r>
        <w:rPr>
          <w:spacing w:val="-3"/>
          <w:sz w:val="22"/>
        </w:rPr>
        <w:t> </w:t>
      </w:r>
      <w:r>
        <w:rPr>
          <w:sz w:val="22"/>
        </w:rPr>
        <w:t>plans</w:t>
      </w:r>
      <w:r>
        <w:rPr>
          <w:spacing w:val="-5"/>
          <w:sz w:val="22"/>
        </w:rPr>
        <w:t> </w:t>
      </w:r>
      <w:r>
        <w:rPr>
          <w:sz w:val="22"/>
        </w:rPr>
        <w:t>comply</w:t>
      </w:r>
      <w:r>
        <w:rPr>
          <w:spacing w:val="-3"/>
          <w:sz w:val="22"/>
        </w:rPr>
        <w:t> </w:t>
      </w:r>
      <w:r>
        <w:rPr>
          <w:sz w:val="22"/>
        </w:rPr>
        <w:t>with</w:t>
      </w:r>
      <w:r>
        <w:rPr>
          <w:spacing w:val="-4"/>
          <w:sz w:val="22"/>
        </w:rPr>
        <w:t> </w:t>
      </w:r>
      <w:r>
        <w:rPr>
          <w:sz w:val="22"/>
        </w:rPr>
        <w:t>these</w:t>
      </w:r>
      <w:r>
        <w:rPr>
          <w:spacing w:val="-4"/>
          <w:sz w:val="22"/>
        </w:rPr>
        <w:t> </w:t>
      </w:r>
      <w:r>
        <w:rPr>
          <w:spacing w:val="-2"/>
          <w:sz w:val="22"/>
        </w:rPr>
        <w:t>requirements</w:t>
      </w:r>
    </w:p>
    <w:p>
      <w:pPr>
        <w:pStyle w:val="ListParagraph"/>
        <w:numPr>
          <w:ilvl w:val="0"/>
          <w:numId w:val="29"/>
        </w:numPr>
        <w:tabs>
          <w:tab w:pos="841" w:val="left" w:leader="none"/>
          <w:tab w:pos="842" w:val="left" w:leader="none"/>
        </w:tabs>
        <w:spacing w:line="237" w:lineRule="auto" w:before="2" w:after="0"/>
        <w:ind w:left="841" w:right="156" w:hanging="361"/>
        <w:jc w:val="left"/>
        <w:rPr>
          <w:sz w:val="22"/>
        </w:rPr>
      </w:pPr>
      <w:r>
        <w:rPr>
          <w:sz w:val="22"/>
        </w:rPr>
        <w:t>Plan</w:t>
      </w:r>
      <w:r>
        <w:rPr>
          <w:spacing w:val="40"/>
          <w:sz w:val="22"/>
        </w:rPr>
        <w:t> </w:t>
      </w:r>
      <w:r>
        <w:rPr>
          <w:sz w:val="22"/>
        </w:rPr>
        <w:t>checking,</w:t>
      </w:r>
      <w:r>
        <w:rPr>
          <w:spacing w:val="40"/>
          <w:sz w:val="22"/>
        </w:rPr>
        <w:t> </w:t>
      </w:r>
      <w:r>
        <w:rPr>
          <w:sz w:val="22"/>
        </w:rPr>
        <w:t>construction</w:t>
      </w:r>
      <w:r>
        <w:rPr>
          <w:spacing w:val="40"/>
          <w:sz w:val="22"/>
        </w:rPr>
        <w:t> </w:t>
      </w:r>
      <w:r>
        <w:rPr>
          <w:sz w:val="22"/>
        </w:rPr>
        <w:t>inspections</w:t>
      </w:r>
      <w:r>
        <w:rPr>
          <w:spacing w:val="40"/>
          <w:sz w:val="22"/>
        </w:rPr>
        <w:t> </w:t>
      </w:r>
      <w:r>
        <w:rPr>
          <w:sz w:val="22"/>
        </w:rPr>
        <w:t>and</w:t>
      </w:r>
      <w:r>
        <w:rPr>
          <w:spacing w:val="40"/>
          <w:sz w:val="22"/>
        </w:rPr>
        <w:t> </w:t>
      </w:r>
      <w:r>
        <w:rPr>
          <w:sz w:val="22"/>
        </w:rPr>
        <w:t>enforcement</w:t>
      </w:r>
      <w:r>
        <w:rPr>
          <w:spacing w:val="40"/>
          <w:sz w:val="22"/>
        </w:rPr>
        <w:t> </w:t>
      </w:r>
      <w:r>
        <w:rPr>
          <w:sz w:val="22"/>
        </w:rPr>
        <w:t>shall</w:t>
      </w:r>
      <w:r>
        <w:rPr>
          <w:spacing w:val="40"/>
          <w:sz w:val="22"/>
        </w:rPr>
        <w:t> </w:t>
      </w:r>
      <w:r>
        <w:rPr>
          <w:sz w:val="22"/>
        </w:rPr>
        <w:t>be</w:t>
      </w:r>
      <w:r>
        <w:rPr>
          <w:spacing w:val="40"/>
          <w:sz w:val="22"/>
        </w:rPr>
        <w:t> </w:t>
      </w:r>
      <w:r>
        <w:rPr>
          <w:sz w:val="22"/>
        </w:rPr>
        <w:t>accomplished</w:t>
      </w:r>
      <w:r>
        <w:rPr>
          <w:spacing w:val="40"/>
          <w:sz w:val="22"/>
        </w:rPr>
        <w:t> </w:t>
      </w:r>
      <w:r>
        <w:rPr>
          <w:sz w:val="22"/>
        </w:rPr>
        <w:t>in</w:t>
      </w:r>
      <w:r>
        <w:rPr>
          <w:spacing w:val="40"/>
          <w:sz w:val="22"/>
        </w:rPr>
        <w:t> </w:t>
      </w:r>
      <w:r>
        <w:rPr>
          <w:sz w:val="22"/>
        </w:rPr>
        <w:t>accordance with existing procedures.</w:t>
      </w:r>
    </w:p>
    <w:p>
      <w:pPr>
        <w:pStyle w:val="BodyText"/>
      </w:pPr>
    </w:p>
    <w:p>
      <w:pPr>
        <w:pStyle w:val="BodyText"/>
        <w:ind w:left="121"/>
      </w:pPr>
      <w:r>
        <w:rPr/>
        <w:t>All</w:t>
      </w:r>
      <w:r>
        <w:rPr>
          <w:spacing w:val="7"/>
        </w:rPr>
        <w:t> </w:t>
      </w:r>
      <w:r>
        <w:rPr/>
        <w:t>builders</w:t>
      </w:r>
      <w:r>
        <w:rPr>
          <w:spacing w:val="8"/>
        </w:rPr>
        <w:t> </w:t>
      </w:r>
      <w:r>
        <w:rPr/>
        <w:t>and</w:t>
      </w:r>
      <w:r>
        <w:rPr>
          <w:spacing w:val="7"/>
        </w:rPr>
        <w:t> </w:t>
      </w:r>
      <w:r>
        <w:rPr/>
        <w:t>developers</w:t>
      </w:r>
      <w:r>
        <w:rPr>
          <w:spacing w:val="8"/>
        </w:rPr>
        <w:t> </w:t>
      </w:r>
      <w:r>
        <w:rPr/>
        <w:t>of</w:t>
      </w:r>
      <w:r>
        <w:rPr>
          <w:spacing w:val="8"/>
        </w:rPr>
        <w:t> </w:t>
      </w:r>
      <w:r>
        <w:rPr/>
        <w:t>infill</w:t>
      </w:r>
      <w:r>
        <w:rPr>
          <w:spacing w:val="7"/>
        </w:rPr>
        <w:t> </w:t>
      </w:r>
      <w:r>
        <w:rPr/>
        <w:t>housing</w:t>
      </w:r>
      <w:r>
        <w:rPr>
          <w:spacing w:val="7"/>
        </w:rPr>
        <w:t> </w:t>
      </w:r>
      <w:r>
        <w:rPr/>
        <w:t>are</w:t>
      </w:r>
      <w:r>
        <w:rPr>
          <w:spacing w:val="7"/>
        </w:rPr>
        <w:t> </w:t>
      </w:r>
      <w:r>
        <w:rPr/>
        <w:t>strongly</w:t>
      </w:r>
      <w:r>
        <w:rPr>
          <w:spacing w:val="8"/>
        </w:rPr>
        <w:t> </w:t>
      </w:r>
      <w:r>
        <w:rPr/>
        <w:t>encouraged</w:t>
      </w:r>
      <w:r>
        <w:rPr>
          <w:spacing w:val="5"/>
        </w:rPr>
        <w:t> </w:t>
      </w:r>
      <w:r>
        <w:rPr/>
        <w:t>to</w:t>
      </w:r>
      <w:r>
        <w:rPr>
          <w:spacing w:val="7"/>
        </w:rPr>
        <w:t> </w:t>
      </w:r>
      <w:r>
        <w:rPr/>
        <w:t>incorporate</w:t>
      </w:r>
      <w:r>
        <w:rPr>
          <w:spacing w:val="5"/>
        </w:rPr>
        <w:t> </w:t>
      </w:r>
      <w:r>
        <w:rPr/>
        <w:t>the</w:t>
      </w:r>
      <w:r>
        <w:rPr>
          <w:spacing w:val="8"/>
        </w:rPr>
        <w:t> </w:t>
      </w:r>
      <w:r>
        <w:rPr>
          <w:spacing w:val="-2"/>
        </w:rPr>
        <w:t>defining</w:t>
      </w:r>
    </w:p>
    <w:p>
      <w:pPr>
        <w:spacing w:after="0"/>
        <w:sectPr>
          <w:pgSz w:w="12240" w:h="15840"/>
          <w:pgMar w:header="0" w:footer="1176" w:top="1380" w:bottom="1420" w:left="1320" w:right="1280"/>
        </w:sectPr>
      </w:pPr>
    </w:p>
    <w:p>
      <w:pPr>
        <w:pStyle w:val="BodyText"/>
        <w:spacing w:before="80"/>
        <w:ind w:left="119" w:right="156"/>
        <w:jc w:val="both"/>
      </w:pPr>
      <w:r>
        <w:rPr/>
        <w:t>features of a neighborhood into newly constructed infill houses. Those defining features of older neighborhoods</w:t>
      </w:r>
      <w:r>
        <w:rPr>
          <w:spacing w:val="-12"/>
        </w:rPr>
        <w:t> </w:t>
      </w:r>
      <w:r>
        <w:rPr/>
        <w:t>may</w:t>
      </w:r>
      <w:r>
        <w:rPr>
          <w:spacing w:val="-12"/>
        </w:rPr>
        <w:t> </w:t>
      </w:r>
      <w:r>
        <w:rPr/>
        <w:t>include</w:t>
      </w:r>
      <w:r>
        <w:rPr>
          <w:spacing w:val="-12"/>
        </w:rPr>
        <w:t> </w:t>
      </w:r>
      <w:r>
        <w:rPr/>
        <w:t>roof</w:t>
      </w:r>
      <w:r>
        <w:rPr>
          <w:spacing w:val="-11"/>
        </w:rPr>
        <w:t> </w:t>
      </w:r>
      <w:r>
        <w:rPr/>
        <w:t>pitches,</w:t>
      </w:r>
      <w:r>
        <w:rPr>
          <w:spacing w:val="-11"/>
        </w:rPr>
        <w:t> </w:t>
      </w:r>
      <w:r>
        <w:rPr/>
        <w:t>porches,</w:t>
      </w:r>
      <w:r>
        <w:rPr>
          <w:spacing w:val="-13"/>
        </w:rPr>
        <w:t> </w:t>
      </w:r>
      <w:r>
        <w:rPr/>
        <w:t>materials,</w:t>
      </w:r>
      <w:r>
        <w:rPr>
          <w:spacing w:val="-11"/>
        </w:rPr>
        <w:t> </w:t>
      </w:r>
      <w:r>
        <w:rPr/>
        <w:t>and</w:t>
      </w:r>
      <w:r>
        <w:rPr>
          <w:spacing w:val="-12"/>
        </w:rPr>
        <w:t> </w:t>
      </w:r>
      <w:r>
        <w:rPr/>
        <w:t>window</w:t>
      </w:r>
      <w:r>
        <w:rPr>
          <w:spacing w:val="-13"/>
        </w:rPr>
        <w:t> </w:t>
      </w:r>
      <w:r>
        <w:rPr/>
        <w:t>types.</w:t>
      </w:r>
      <w:r>
        <w:rPr>
          <w:spacing w:val="-11"/>
        </w:rPr>
        <w:t> </w:t>
      </w:r>
      <w:r>
        <w:rPr/>
        <w:t>Developers</w:t>
      </w:r>
      <w:r>
        <w:rPr>
          <w:spacing w:val="-14"/>
        </w:rPr>
        <w:t> </w:t>
      </w:r>
      <w:r>
        <w:rPr/>
        <w:t>must comply with any standards established by an existing neighborhood conservation district and/or approved neighborhood plan. Additionally, all projects must advance the principles and policies contained</w:t>
      </w:r>
      <w:r>
        <w:rPr>
          <w:spacing w:val="-2"/>
        </w:rPr>
        <w:t> </w:t>
      </w:r>
      <w:r>
        <w:rPr/>
        <w:t>in</w:t>
      </w:r>
      <w:r>
        <w:rPr>
          <w:spacing w:val="-2"/>
        </w:rPr>
        <w:t> </w:t>
      </w:r>
      <w:r>
        <w:rPr/>
        <w:t>the</w:t>
      </w:r>
      <w:r>
        <w:rPr>
          <w:spacing w:val="-4"/>
        </w:rPr>
        <w:t> </w:t>
      </w:r>
      <w:r>
        <w:rPr/>
        <w:t>City</w:t>
      </w:r>
      <w:r>
        <w:rPr>
          <w:spacing w:val="-1"/>
        </w:rPr>
        <w:t> </w:t>
      </w:r>
      <w:r>
        <w:rPr/>
        <w:t>of</w:t>
      </w:r>
      <w:r>
        <w:rPr>
          <w:spacing w:val="-3"/>
        </w:rPr>
        <w:t> </w:t>
      </w:r>
      <w:r>
        <w:rPr/>
        <w:t>Dallas</w:t>
      </w:r>
      <w:r>
        <w:rPr>
          <w:spacing w:val="-1"/>
        </w:rPr>
        <w:t> </w:t>
      </w:r>
      <w:r>
        <w:rPr/>
        <w:t>Complete</w:t>
      </w:r>
      <w:r>
        <w:rPr>
          <w:spacing w:val="-2"/>
        </w:rPr>
        <w:t> </w:t>
      </w:r>
      <w:r>
        <w:rPr/>
        <w:t>Streets</w:t>
      </w:r>
      <w:r>
        <w:rPr>
          <w:spacing w:val="-6"/>
        </w:rPr>
        <w:t> </w:t>
      </w:r>
      <w:r>
        <w:rPr/>
        <w:t>Design</w:t>
      </w:r>
      <w:r>
        <w:rPr>
          <w:spacing w:val="-2"/>
        </w:rPr>
        <w:t> </w:t>
      </w:r>
      <w:r>
        <w:rPr/>
        <w:t>Manual. Site</w:t>
      </w:r>
      <w:r>
        <w:rPr>
          <w:spacing w:val="-4"/>
        </w:rPr>
        <w:t> </w:t>
      </w:r>
      <w:r>
        <w:rPr/>
        <w:t>plans</w:t>
      </w:r>
      <w:r>
        <w:rPr>
          <w:spacing w:val="-1"/>
        </w:rPr>
        <w:t> </w:t>
      </w:r>
      <w:r>
        <w:rPr/>
        <w:t>and</w:t>
      </w:r>
      <w:r>
        <w:rPr>
          <w:spacing w:val="-2"/>
        </w:rPr>
        <w:t> </w:t>
      </w:r>
      <w:r>
        <w:rPr/>
        <w:t>building</w:t>
      </w:r>
      <w:r>
        <w:rPr>
          <w:spacing w:val="-2"/>
        </w:rPr>
        <w:t> </w:t>
      </w:r>
      <w:r>
        <w:rPr/>
        <w:t>designs should</w:t>
      </w:r>
      <w:r>
        <w:rPr>
          <w:spacing w:val="-12"/>
        </w:rPr>
        <w:t> </w:t>
      </w:r>
      <w:r>
        <w:rPr/>
        <w:t>contribute</w:t>
      </w:r>
      <w:r>
        <w:rPr>
          <w:spacing w:val="-15"/>
        </w:rPr>
        <w:t> </w:t>
      </w:r>
      <w:r>
        <w:rPr/>
        <w:t>towards</w:t>
      </w:r>
      <w:r>
        <w:rPr>
          <w:spacing w:val="-12"/>
        </w:rPr>
        <w:t> </w:t>
      </w:r>
      <w:r>
        <w:rPr/>
        <w:t>safe</w:t>
      </w:r>
      <w:r>
        <w:rPr>
          <w:spacing w:val="-12"/>
        </w:rPr>
        <w:t> </w:t>
      </w:r>
      <w:r>
        <w:rPr/>
        <w:t>and</w:t>
      </w:r>
      <w:r>
        <w:rPr>
          <w:spacing w:val="-12"/>
        </w:rPr>
        <w:t> </w:t>
      </w:r>
      <w:r>
        <w:rPr/>
        <w:t>convenient</w:t>
      </w:r>
      <w:r>
        <w:rPr>
          <w:spacing w:val="-11"/>
        </w:rPr>
        <w:t> </w:t>
      </w:r>
      <w:r>
        <w:rPr/>
        <w:t>pedestrian,</w:t>
      </w:r>
      <w:r>
        <w:rPr>
          <w:spacing w:val="-11"/>
        </w:rPr>
        <w:t> </w:t>
      </w:r>
      <w:r>
        <w:rPr/>
        <w:t>bicycle,</w:t>
      </w:r>
      <w:r>
        <w:rPr>
          <w:spacing w:val="-11"/>
        </w:rPr>
        <w:t> </w:t>
      </w:r>
      <w:r>
        <w:rPr/>
        <w:t>transit</w:t>
      </w:r>
      <w:r>
        <w:rPr>
          <w:spacing w:val="-13"/>
        </w:rPr>
        <w:t> </w:t>
      </w:r>
      <w:r>
        <w:rPr/>
        <w:t>and</w:t>
      </w:r>
      <w:r>
        <w:rPr>
          <w:spacing w:val="-12"/>
        </w:rPr>
        <w:t> </w:t>
      </w:r>
      <w:r>
        <w:rPr/>
        <w:t>automobile</w:t>
      </w:r>
      <w:r>
        <w:rPr>
          <w:spacing w:val="-12"/>
        </w:rPr>
        <w:t> </w:t>
      </w:r>
      <w:r>
        <w:rPr/>
        <w:t>access to the extent possible within the project site and the adjacent public right-of-way frontage.</w:t>
      </w:r>
    </w:p>
    <w:p>
      <w:pPr>
        <w:pStyle w:val="BodyText"/>
        <w:spacing w:before="10"/>
        <w:rPr>
          <w:sz w:val="21"/>
        </w:rPr>
      </w:pPr>
    </w:p>
    <w:p>
      <w:pPr>
        <w:pStyle w:val="BodyText"/>
        <w:ind w:left="119" w:right="157"/>
        <w:jc w:val="both"/>
      </w:pPr>
      <w:r>
        <w:rPr/>
        <w:pict>
          <v:shape style="position:absolute;margin-left:90.065002pt;margin-top:13.325229pt;width:395.3pt;height:419pt;mso-position-horizontal-relative:page;mso-position-vertical-relative:paragraph;z-index:-17675264" id="docshape136" coordorigin="1801,267" coordsize="7906,8380" path="m4498,7530l4492,7457,4477,7379,4455,7296,4432,7227,4403,7155,4367,7080,4325,7002,4276,6921,4237,6862,4200,6811,4200,7497,4197,7553,4186,7610,4167,7668,4138,7727,4097,7790,4044,7856,3979,7925,3674,8231,2216,6773,2517,6472,2598,6396,2672,6336,2740,6293,2801,6266,2868,6252,2941,6248,3020,6254,3105,6272,3195,6301,3255,6327,3317,6359,3380,6398,3446,6443,3514,6495,3584,6553,3656,6618,3729,6689,3789,6750,3845,6811,3896,6870,3943,6927,3986,6984,4025,7039,4059,7093,4101,7168,4136,7240,4163,7310,4183,7377,4196,7441,4200,7497,4200,6811,4194,6802,4148,6742,4098,6682,4045,6621,3989,6559,3929,6498,3865,6435,3801,6377,3737,6322,3673,6271,3643,6248,3609,6223,3546,6178,3482,6137,3419,6099,3346,6061,3274,6029,3203,6002,3132,5980,3062,5963,2992,5951,2923,5943,2850,5942,2779,5949,2709,5964,2642,5986,2577,6017,2528,6045,2476,6082,2420,6128,2359,6182,2294,6244,1801,6737,3710,8646,4124,8231,4226,8129,4287,8064,4341,7999,4386,7933,4424,7866,4454,7800,4476,7733,4491,7666,4498,7599,4498,7530xm6418,5937l6056,5809,5650,5667,5561,5637,5475,5613,5393,5594,5365,5589,5314,5580,5239,5570,5193,5568,5143,5571,5089,5578,5030,5589,5073,5520,5109,5450,5136,5381,5154,5312,5164,5243,5165,5175,5157,5107,5139,5029,5111,4953,5075,4879,5030,4806,4976,4735,4956,4713,4913,4667,4872,4628,4872,5186,4868,5241,4854,5296,4830,5353,4794,5411,4747,5472,4687,5536,4280,5943,3649,5312,4102,4859,4166,4802,4229,4758,4293,4729,4358,4714,4422,4713,4501,4728,4577,4758,4649,4802,4718,4862,4761,4909,4797,4960,4827,5014,4851,5070,4867,5129,4872,5186,4872,4628,4849,4607,4782,4555,4713,4509,4641,4471,4566,4438,4474,4410,4386,4397,4303,4399,4225,4415,4163,4440,4098,4477,4030,4525,3958,4585,3883,4656,3248,5290,5157,7199,5346,7009,4499,6162,4718,5943,4753,5908,4783,5881,4810,5860,4833,5846,4863,5832,4896,5821,4932,5814,4971,5809,5014,5810,5066,5815,5125,5825,5194,5841,5256,5859,5328,5880,5407,5905,5496,5934,6180,6175,6418,5937xm7780,4575l7415,4380,6555,3926,6555,4233,6070,4718,6030,4646,5989,4575,5748,4144,5708,4072,5668,4001,5629,3935,5590,3871,5550,3807,5509,3744,5467,3681,5424,3620,5380,3559,5436,3595,5498,3633,5564,3673,5635,3715,5792,3805,6555,4233,6555,3926,5862,3559,5286,3252,5082,3457,5277,3807,5316,3877,5701,4575,6207,5494,6441,5915,6642,5713,6565,5580,6298,5112,6221,4978,6481,4718,6820,4380,7173,4575,7565,4791,7780,4575xm8131,4224l7264,3357,7936,2686,7711,2460,7039,3132,6448,2541,7224,1765,6999,1540,6033,2505,7941,4414,8131,4224xm9707,2648l8024,965,8497,492,8272,267,7138,1401,7363,1626,7834,1155,9517,2838,9707,2648xe" filled="true" fillcolor="#c0c0c0" stroked="false">
            <v:path arrowok="t"/>
            <v:fill opacity="32896f" type="solid"/>
            <w10:wrap type="none"/>
          </v:shape>
        </w:pict>
      </w:r>
      <w:r>
        <w:rPr/>
        <w:t>For infill projects supported with CDBG and/or HOME funds, developers will be required to demonstrate</w:t>
      </w:r>
      <w:r>
        <w:rPr>
          <w:spacing w:val="-16"/>
        </w:rPr>
        <w:t> </w:t>
      </w:r>
      <w:r>
        <w:rPr/>
        <w:t>that</w:t>
      </w:r>
      <w:r>
        <w:rPr>
          <w:spacing w:val="-15"/>
        </w:rPr>
        <w:t> </w:t>
      </w:r>
      <w:r>
        <w:rPr/>
        <w:t>the</w:t>
      </w:r>
      <w:r>
        <w:rPr>
          <w:spacing w:val="-15"/>
        </w:rPr>
        <w:t> </w:t>
      </w:r>
      <w:r>
        <w:rPr/>
        <w:t>neighborhood</w:t>
      </w:r>
      <w:r>
        <w:rPr>
          <w:spacing w:val="-16"/>
        </w:rPr>
        <w:t> </w:t>
      </w:r>
      <w:r>
        <w:rPr/>
        <w:t>association</w:t>
      </w:r>
      <w:r>
        <w:rPr>
          <w:spacing w:val="-15"/>
        </w:rPr>
        <w:t> </w:t>
      </w:r>
      <w:r>
        <w:rPr/>
        <w:t>near</w:t>
      </w:r>
      <w:r>
        <w:rPr>
          <w:spacing w:val="-15"/>
        </w:rPr>
        <w:t> </w:t>
      </w:r>
      <w:r>
        <w:rPr/>
        <w:t>the</w:t>
      </w:r>
      <w:r>
        <w:rPr>
          <w:spacing w:val="-15"/>
        </w:rPr>
        <w:t> </w:t>
      </w:r>
      <w:r>
        <w:rPr/>
        <w:t>land</w:t>
      </w:r>
      <w:r>
        <w:rPr>
          <w:spacing w:val="-16"/>
        </w:rPr>
        <w:t> </w:t>
      </w:r>
      <w:r>
        <w:rPr/>
        <w:t>to</w:t>
      </w:r>
      <w:r>
        <w:rPr>
          <w:spacing w:val="-15"/>
        </w:rPr>
        <w:t> </w:t>
      </w:r>
      <w:r>
        <w:rPr/>
        <w:t>be</w:t>
      </w:r>
      <w:r>
        <w:rPr>
          <w:spacing w:val="-15"/>
        </w:rPr>
        <w:t> </w:t>
      </w:r>
      <w:r>
        <w:rPr/>
        <w:t>developed</w:t>
      </w:r>
      <w:r>
        <w:rPr>
          <w:spacing w:val="-16"/>
        </w:rPr>
        <w:t> </w:t>
      </w:r>
      <w:r>
        <w:rPr/>
        <w:t>has</w:t>
      </w:r>
      <w:r>
        <w:rPr>
          <w:spacing w:val="-15"/>
        </w:rPr>
        <w:t> </w:t>
      </w:r>
      <w:r>
        <w:rPr/>
        <w:t>been</w:t>
      </w:r>
      <w:r>
        <w:rPr>
          <w:spacing w:val="-15"/>
        </w:rPr>
        <w:t> </w:t>
      </w:r>
      <w:r>
        <w:rPr/>
        <w:t>consulted on</w:t>
      </w:r>
      <w:r>
        <w:rPr>
          <w:spacing w:val="-5"/>
        </w:rPr>
        <w:t> </w:t>
      </w:r>
      <w:r>
        <w:rPr/>
        <w:t>the</w:t>
      </w:r>
      <w:r>
        <w:rPr>
          <w:spacing w:val="-7"/>
        </w:rPr>
        <w:t> </w:t>
      </w:r>
      <w:r>
        <w:rPr/>
        <w:t>design</w:t>
      </w:r>
      <w:r>
        <w:rPr>
          <w:spacing w:val="-5"/>
        </w:rPr>
        <w:t> </w:t>
      </w:r>
      <w:r>
        <w:rPr/>
        <w:t>issues.</w:t>
      </w:r>
      <w:r>
        <w:rPr>
          <w:spacing w:val="-6"/>
        </w:rPr>
        <w:t> </w:t>
      </w:r>
      <w:r>
        <w:rPr/>
        <w:t>Developers</w:t>
      </w:r>
      <w:r>
        <w:rPr>
          <w:spacing w:val="-5"/>
        </w:rPr>
        <w:t> </w:t>
      </w:r>
      <w:r>
        <w:rPr/>
        <w:t>should</w:t>
      </w:r>
      <w:r>
        <w:rPr>
          <w:spacing w:val="-7"/>
        </w:rPr>
        <w:t> </w:t>
      </w:r>
      <w:r>
        <w:rPr/>
        <w:t>obtain</w:t>
      </w:r>
      <w:r>
        <w:rPr>
          <w:spacing w:val="-7"/>
        </w:rPr>
        <w:t> </w:t>
      </w:r>
      <w:r>
        <w:rPr/>
        <w:t>input</w:t>
      </w:r>
      <w:r>
        <w:rPr>
          <w:spacing w:val="-4"/>
        </w:rPr>
        <w:t> </w:t>
      </w:r>
      <w:r>
        <w:rPr/>
        <w:t>and</w:t>
      </w:r>
      <w:r>
        <w:rPr>
          <w:spacing w:val="-7"/>
        </w:rPr>
        <w:t> </w:t>
      </w:r>
      <w:r>
        <w:rPr/>
        <w:t>feedback</w:t>
      </w:r>
      <w:r>
        <w:rPr>
          <w:spacing w:val="-7"/>
        </w:rPr>
        <w:t> </w:t>
      </w:r>
      <w:r>
        <w:rPr/>
        <w:t>from</w:t>
      </w:r>
      <w:r>
        <w:rPr>
          <w:spacing w:val="-6"/>
        </w:rPr>
        <w:t> </w:t>
      </w:r>
      <w:r>
        <w:rPr/>
        <w:t>neighborhood</w:t>
      </w:r>
      <w:r>
        <w:rPr>
          <w:spacing w:val="-5"/>
        </w:rPr>
        <w:t> </w:t>
      </w:r>
      <w:r>
        <w:rPr/>
        <w:t>residents and</w:t>
      </w:r>
      <w:r>
        <w:rPr>
          <w:spacing w:val="-9"/>
        </w:rPr>
        <w:t> </w:t>
      </w:r>
      <w:r>
        <w:rPr/>
        <w:t>work</w:t>
      </w:r>
      <w:r>
        <w:rPr>
          <w:spacing w:val="-11"/>
        </w:rPr>
        <w:t> </w:t>
      </w:r>
      <w:r>
        <w:rPr/>
        <w:t>with</w:t>
      </w:r>
      <w:r>
        <w:rPr>
          <w:spacing w:val="-11"/>
        </w:rPr>
        <w:t> </w:t>
      </w:r>
      <w:r>
        <w:rPr/>
        <w:t>them</w:t>
      </w:r>
      <w:r>
        <w:rPr>
          <w:spacing w:val="-10"/>
        </w:rPr>
        <w:t> </w:t>
      </w:r>
      <w:r>
        <w:rPr/>
        <w:t>to</w:t>
      </w:r>
      <w:r>
        <w:rPr>
          <w:spacing w:val="-11"/>
        </w:rPr>
        <w:t> </w:t>
      </w:r>
      <w:r>
        <w:rPr/>
        <w:t>ensure</w:t>
      </w:r>
      <w:r>
        <w:rPr>
          <w:spacing w:val="-11"/>
        </w:rPr>
        <w:t> </w:t>
      </w:r>
      <w:r>
        <w:rPr/>
        <w:t>that</w:t>
      </w:r>
      <w:r>
        <w:rPr>
          <w:spacing w:val="-10"/>
        </w:rPr>
        <w:t> </w:t>
      </w:r>
      <w:r>
        <w:rPr/>
        <w:t>designs</w:t>
      </w:r>
      <w:r>
        <w:rPr>
          <w:spacing w:val="-11"/>
        </w:rPr>
        <w:t> </w:t>
      </w:r>
      <w:r>
        <w:rPr/>
        <w:t>are</w:t>
      </w:r>
      <w:r>
        <w:rPr>
          <w:spacing w:val="-11"/>
        </w:rPr>
        <w:t> </w:t>
      </w:r>
      <w:r>
        <w:rPr/>
        <w:t>compatible</w:t>
      </w:r>
      <w:r>
        <w:rPr>
          <w:spacing w:val="-9"/>
        </w:rPr>
        <w:t> </w:t>
      </w:r>
      <w:r>
        <w:rPr/>
        <w:t>with</w:t>
      </w:r>
      <w:r>
        <w:rPr>
          <w:spacing w:val="-11"/>
        </w:rPr>
        <w:t> </w:t>
      </w:r>
      <w:r>
        <w:rPr/>
        <w:t>existing</w:t>
      </w:r>
      <w:r>
        <w:rPr>
          <w:spacing w:val="-11"/>
        </w:rPr>
        <w:t> </w:t>
      </w:r>
      <w:r>
        <w:rPr/>
        <w:t>housing</w:t>
      </w:r>
      <w:r>
        <w:rPr>
          <w:spacing w:val="-9"/>
        </w:rPr>
        <w:t> </w:t>
      </w:r>
      <w:r>
        <w:rPr/>
        <w:t>and</w:t>
      </w:r>
      <w:r>
        <w:rPr>
          <w:spacing w:val="-9"/>
        </w:rPr>
        <w:t> </w:t>
      </w:r>
      <w:r>
        <w:rPr/>
        <w:t>development </w:t>
      </w:r>
      <w:r>
        <w:rPr>
          <w:spacing w:val="-2"/>
        </w:rPr>
        <w:t>patterns.</w:t>
      </w:r>
    </w:p>
    <w:p>
      <w:pPr>
        <w:pStyle w:val="BodyText"/>
        <w:spacing w:before="1"/>
      </w:pPr>
    </w:p>
    <w:p>
      <w:pPr>
        <w:pStyle w:val="BodyText"/>
        <w:ind w:left="119" w:right="158"/>
        <w:jc w:val="both"/>
      </w:pPr>
      <w:r>
        <w:rPr/>
        <w:t>In extreme cases where an agreement cannot be reached between the developer and local neighborhood groups, CDBG and/or HOME funding may be pulled from the project.</w:t>
      </w:r>
    </w:p>
    <w:p>
      <w:pPr>
        <w:pStyle w:val="BodyText"/>
        <w:spacing w:before="11"/>
        <w:rPr>
          <w:sz w:val="21"/>
        </w:rPr>
      </w:pPr>
    </w:p>
    <w:p>
      <w:pPr>
        <w:pStyle w:val="BodyText"/>
        <w:ind w:left="119" w:right="158"/>
        <w:jc w:val="both"/>
      </w:pPr>
      <w:r>
        <w:rPr/>
        <w:t>Specific design guidelines may be developed for certain City sponsored projects. Historic and neighborhood conservation district requirements must also be met for all projects.</w:t>
      </w:r>
    </w:p>
    <w:p>
      <w:pPr>
        <w:pStyle w:val="BodyText"/>
        <w:spacing w:before="1"/>
      </w:pPr>
    </w:p>
    <w:p>
      <w:pPr>
        <w:spacing w:before="0"/>
        <w:ind w:left="119" w:right="528" w:firstLine="0"/>
        <w:jc w:val="both"/>
        <w:rPr>
          <w:sz w:val="24"/>
        </w:rPr>
      </w:pPr>
      <w:r>
        <w:rPr>
          <w:sz w:val="24"/>
        </w:rPr>
        <w:t>For</w:t>
      </w:r>
      <w:r>
        <w:rPr>
          <w:spacing w:val="-3"/>
          <w:sz w:val="24"/>
        </w:rPr>
        <w:t> </w:t>
      </w:r>
      <w:r>
        <w:rPr>
          <w:sz w:val="24"/>
        </w:rPr>
        <w:t>rehabilitation</w:t>
      </w:r>
      <w:r>
        <w:rPr>
          <w:spacing w:val="-3"/>
          <w:sz w:val="24"/>
        </w:rPr>
        <w:t> </w:t>
      </w:r>
      <w:r>
        <w:rPr>
          <w:sz w:val="24"/>
        </w:rPr>
        <w:t>projects,</w:t>
      </w:r>
      <w:r>
        <w:rPr>
          <w:spacing w:val="-1"/>
          <w:sz w:val="24"/>
        </w:rPr>
        <w:t> </w:t>
      </w:r>
      <w:r>
        <w:rPr>
          <w:sz w:val="24"/>
        </w:rPr>
        <w:t>builders</w:t>
      </w:r>
      <w:r>
        <w:rPr>
          <w:spacing w:val="-2"/>
          <w:sz w:val="24"/>
        </w:rPr>
        <w:t> </w:t>
      </w:r>
      <w:r>
        <w:rPr>
          <w:sz w:val="24"/>
        </w:rPr>
        <w:t>and</w:t>
      </w:r>
      <w:r>
        <w:rPr>
          <w:spacing w:val="-1"/>
          <w:sz w:val="24"/>
        </w:rPr>
        <w:t> </w:t>
      </w:r>
      <w:r>
        <w:rPr>
          <w:sz w:val="24"/>
        </w:rPr>
        <w:t>developers</w:t>
      </w:r>
      <w:r>
        <w:rPr>
          <w:spacing w:val="-2"/>
          <w:sz w:val="24"/>
        </w:rPr>
        <w:t> </w:t>
      </w:r>
      <w:r>
        <w:rPr>
          <w:sz w:val="24"/>
        </w:rPr>
        <w:t>are</w:t>
      </w:r>
      <w:r>
        <w:rPr>
          <w:spacing w:val="-1"/>
          <w:sz w:val="24"/>
        </w:rPr>
        <w:t> </w:t>
      </w:r>
      <w:r>
        <w:rPr>
          <w:sz w:val="24"/>
        </w:rPr>
        <w:t>strongly</w:t>
      </w:r>
      <w:r>
        <w:rPr>
          <w:spacing w:val="-2"/>
          <w:sz w:val="24"/>
        </w:rPr>
        <w:t> </w:t>
      </w:r>
      <w:r>
        <w:rPr>
          <w:sz w:val="24"/>
        </w:rPr>
        <w:t>encouraged</w:t>
      </w:r>
      <w:r>
        <w:rPr>
          <w:spacing w:val="-1"/>
          <w:sz w:val="24"/>
        </w:rPr>
        <w:t> </w:t>
      </w:r>
      <w:r>
        <w:rPr>
          <w:sz w:val="24"/>
        </w:rPr>
        <w:t>to</w:t>
      </w:r>
      <w:r>
        <w:rPr>
          <w:spacing w:val="-1"/>
          <w:sz w:val="24"/>
        </w:rPr>
        <w:t> </w:t>
      </w:r>
      <w:r>
        <w:rPr>
          <w:sz w:val="24"/>
        </w:rPr>
        <w:t>retain the</w:t>
      </w:r>
      <w:r>
        <w:rPr>
          <w:spacing w:val="-4"/>
          <w:sz w:val="24"/>
        </w:rPr>
        <w:t> </w:t>
      </w:r>
      <w:r>
        <w:rPr>
          <w:sz w:val="24"/>
        </w:rPr>
        <w:t>defining</w:t>
      </w:r>
      <w:r>
        <w:rPr>
          <w:spacing w:val="-2"/>
          <w:sz w:val="24"/>
        </w:rPr>
        <w:t> </w:t>
      </w:r>
      <w:r>
        <w:rPr>
          <w:sz w:val="24"/>
        </w:rPr>
        <w:t>features</w:t>
      </w:r>
      <w:r>
        <w:rPr>
          <w:spacing w:val="-3"/>
          <w:sz w:val="24"/>
        </w:rPr>
        <w:t> </w:t>
      </w:r>
      <w:r>
        <w:rPr>
          <w:sz w:val="24"/>
        </w:rPr>
        <w:t>of</w:t>
      </w:r>
      <w:r>
        <w:rPr>
          <w:spacing w:val="-5"/>
          <w:sz w:val="24"/>
        </w:rPr>
        <w:t> </w:t>
      </w:r>
      <w:r>
        <w:rPr>
          <w:sz w:val="24"/>
        </w:rPr>
        <w:t>older</w:t>
      </w:r>
      <w:r>
        <w:rPr>
          <w:spacing w:val="-4"/>
          <w:sz w:val="24"/>
        </w:rPr>
        <w:t> </w:t>
      </w:r>
      <w:r>
        <w:rPr>
          <w:sz w:val="24"/>
        </w:rPr>
        <w:t>structures.</w:t>
      </w:r>
      <w:r>
        <w:rPr>
          <w:spacing w:val="-2"/>
          <w:sz w:val="24"/>
        </w:rPr>
        <w:t> </w:t>
      </w:r>
      <w:r>
        <w:rPr>
          <w:sz w:val="24"/>
        </w:rPr>
        <w:t>This</w:t>
      </w:r>
      <w:r>
        <w:rPr>
          <w:spacing w:val="-5"/>
          <w:sz w:val="24"/>
        </w:rPr>
        <w:t> </w:t>
      </w:r>
      <w:r>
        <w:rPr>
          <w:sz w:val="24"/>
        </w:rPr>
        <w:t>applies</w:t>
      </w:r>
      <w:r>
        <w:rPr>
          <w:spacing w:val="-5"/>
          <w:sz w:val="24"/>
        </w:rPr>
        <w:t> </w:t>
      </w:r>
      <w:r>
        <w:rPr>
          <w:sz w:val="24"/>
        </w:rPr>
        <w:t>to</w:t>
      </w:r>
      <w:r>
        <w:rPr>
          <w:spacing w:val="-4"/>
          <w:sz w:val="24"/>
        </w:rPr>
        <w:t> </w:t>
      </w:r>
      <w:r>
        <w:rPr>
          <w:sz w:val="24"/>
        </w:rPr>
        <w:t>multi-family</w:t>
      </w:r>
      <w:r>
        <w:rPr>
          <w:spacing w:val="-5"/>
          <w:sz w:val="24"/>
        </w:rPr>
        <w:t> </w:t>
      </w:r>
      <w:r>
        <w:rPr>
          <w:sz w:val="24"/>
        </w:rPr>
        <w:t>and</w:t>
      </w:r>
      <w:r>
        <w:rPr>
          <w:spacing w:val="-2"/>
          <w:sz w:val="24"/>
        </w:rPr>
        <w:t> </w:t>
      </w:r>
      <w:r>
        <w:rPr>
          <w:sz w:val="24"/>
        </w:rPr>
        <w:t>single-family </w:t>
      </w:r>
      <w:r>
        <w:rPr>
          <w:spacing w:val="-2"/>
          <w:sz w:val="24"/>
        </w:rPr>
        <w:t>projects.</w:t>
      </w:r>
    </w:p>
    <w:p>
      <w:pPr>
        <w:spacing w:after="0"/>
        <w:jc w:val="both"/>
        <w:rPr>
          <w:sz w:val="24"/>
        </w:rPr>
        <w:sectPr>
          <w:pgSz w:w="12240" w:h="15840"/>
          <w:pgMar w:header="0" w:footer="1176" w:top="1360" w:bottom="1420" w:left="1320" w:right="1280"/>
        </w:sectPr>
      </w:pPr>
    </w:p>
    <w:p>
      <w:pPr>
        <w:pStyle w:val="Heading3"/>
        <w:jc w:val="both"/>
      </w:pPr>
      <w:bookmarkStart w:name="Tenant Based Rental Assistance" w:id="92"/>
      <w:bookmarkEnd w:id="92"/>
      <w:r>
        <w:rPr/>
      </w:r>
      <w:bookmarkStart w:name="_bookmark40" w:id="93"/>
      <w:bookmarkEnd w:id="93"/>
      <w:r>
        <w:rPr/>
      </w:r>
      <w:r>
        <w:rPr>
          <w:color w:val="001F5F"/>
        </w:rPr>
        <w:t>Tenant</w:t>
      </w:r>
      <w:r>
        <w:rPr>
          <w:color w:val="001F5F"/>
          <w:spacing w:val="-13"/>
        </w:rPr>
        <w:t> </w:t>
      </w:r>
      <w:r>
        <w:rPr>
          <w:color w:val="001F5F"/>
        </w:rPr>
        <w:t>Based</w:t>
      </w:r>
      <w:r>
        <w:rPr>
          <w:color w:val="001F5F"/>
          <w:spacing w:val="-11"/>
        </w:rPr>
        <w:t> </w:t>
      </w:r>
      <w:r>
        <w:rPr>
          <w:color w:val="001F5F"/>
        </w:rPr>
        <w:t>Rental</w:t>
      </w:r>
      <w:r>
        <w:rPr>
          <w:color w:val="001F5F"/>
          <w:spacing w:val="-12"/>
        </w:rPr>
        <w:t> </w:t>
      </w:r>
      <w:r>
        <w:rPr>
          <w:color w:val="001F5F"/>
          <w:spacing w:val="-2"/>
        </w:rPr>
        <w:t>Assistance</w:t>
      </w:r>
    </w:p>
    <w:p>
      <w:pPr>
        <w:pStyle w:val="BodyText"/>
        <w:spacing w:before="28"/>
        <w:ind w:left="120" w:right="154"/>
        <w:jc w:val="both"/>
      </w:pPr>
      <w:r>
        <w:rPr/>
        <w:t>The purpose of this program is to provide supplemental financial assistance to individuals and families experiencing homelessness or who are at risk of homelessness to pay the difference between the cost of rent and the actual affordable</w:t>
      </w:r>
      <w:r>
        <w:rPr>
          <w:spacing w:val="-2"/>
        </w:rPr>
        <w:t> </w:t>
      </w:r>
      <w:r>
        <w:rPr/>
        <w:t>amount that the</w:t>
      </w:r>
      <w:r>
        <w:rPr>
          <w:spacing w:val="-2"/>
        </w:rPr>
        <w:t> </w:t>
      </w:r>
      <w:r>
        <w:rPr/>
        <w:t>tenant can pay. The program shall</w:t>
      </w:r>
      <w:r>
        <w:rPr>
          <w:spacing w:val="-13"/>
        </w:rPr>
        <w:t> </w:t>
      </w:r>
      <w:r>
        <w:rPr/>
        <w:t>be</w:t>
      </w:r>
      <w:r>
        <w:rPr>
          <w:spacing w:val="-11"/>
        </w:rPr>
        <w:t> </w:t>
      </w:r>
      <w:r>
        <w:rPr/>
        <w:t>operated</w:t>
      </w:r>
      <w:r>
        <w:rPr>
          <w:spacing w:val="-14"/>
        </w:rPr>
        <w:t> </w:t>
      </w:r>
      <w:r>
        <w:rPr/>
        <w:t>on</w:t>
      </w:r>
      <w:r>
        <w:rPr>
          <w:spacing w:val="-11"/>
        </w:rPr>
        <w:t> </w:t>
      </w:r>
      <w:r>
        <w:rPr/>
        <w:t>a</w:t>
      </w:r>
      <w:r>
        <w:rPr>
          <w:spacing w:val="-14"/>
        </w:rPr>
        <w:t> </w:t>
      </w:r>
      <w:r>
        <w:rPr/>
        <w:t>first</w:t>
      </w:r>
      <w:r>
        <w:rPr>
          <w:spacing w:val="-12"/>
        </w:rPr>
        <w:t> </w:t>
      </w:r>
      <w:r>
        <w:rPr/>
        <w:t>come</w:t>
      </w:r>
      <w:r>
        <w:rPr>
          <w:spacing w:val="-14"/>
        </w:rPr>
        <w:t> </w:t>
      </w:r>
      <w:r>
        <w:rPr/>
        <w:t>first</w:t>
      </w:r>
      <w:r>
        <w:rPr>
          <w:spacing w:val="-12"/>
        </w:rPr>
        <w:t> </w:t>
      </w:r>
      <w:r>
        <w:rPr/>
        <w:t>served</w:t>
      </w:r>
      <w:r>
        <w:rPr>
          <w:spacing w:val="-10"/>
        </w:rPr>
        <w:t> </w:t>
      </w:r>
      <w:r>
        <w:rPr/>
        <w:t>basis.</w:t>
      </w:r>
      <w:r>
        <w:rPr>
          <w:spacing w:val="-12"/>
        </w:rPr>
        <w:t> </w:t>
      </w:r>
      <w:r>
        <w:rPr/>
        <w:t>Only</w:t>
      </w:r>
      <w:r>
        <w:rPr>
          <w:spacing w:val="-11"/>
        </w:rPr>
        <w:t> </w:t>
      </w:r>
      <w:r>
        <w:rPr/>
        <w:t>HOME</w:t>
      </w:r>
      <w:r>
        <w:rPr>
          <w:spacing w:val="-16"/>
        </w:rPr>
        <w:t> </w:t>
      </w:r>
      <w:r>
        <w:rPr/>
        <w:t>funds</w:t>
      </w:r>
      <w:r>
        <w:rPr>
          <w:spacing w:val="-12"/>
        </w:rPr>
        <w:t> </w:t>
      </w:r>
      <w:r>
        <w:rPr/>
        <w:t>can</w:t>
      </w:r>
      <w:r>
        <w:rPr>
          <w:spacing w:val="-11"/>
        </w:rPr>
        <w:t> </w:t>
      </w:r>
      <w:r>
        <w:rPr/>
        <w:t>be</w:t>
      </w:r>
      <w:r>
        <w:rPr>
          <w:spacing w:val="-11"/>
        </w:rPr>
        <w:t> </w:t>
      </w:r>
      <w:r>
        <w:rPr/>
        <w:t>used</w:t>
      </w:r>
      <w:r>
        <w:rPr>
          <w:spacing w:val="-14"/>
        </w:rPr>
        <w:t> </w:t>
      </w:r>
      <w:r>
        <w:rPr/>
        <w:t>to</w:t>
      </w:r>
      <w:r>
        <w:rPr>
          <w:spacing w:val="-14"/>
        </w:rPr>
        <w:t> </w:t>
      </w:r>
      <w:r>
        <w:rPr/>
        <w:t>fund</w:t>
      </w:r>
      <w:r>
        <w:rPr>
          <w:spacing w:val="-14"/>
        </w:rPr>
        <w:t> </w:t>
      </w:r>
      <w:r>
        <w:rPr/>
        <w:t>Tenant Based Rental Assistance (TBRA) programs. This is not an eligible activity</w:t>
      </w:r>
      <w:r>
        <w:rPr>
          <w:spacing w:val="-1"/>
        </w:rPr>
        <w:t> </w:t>
      </w:r>
      <w:r>
        <w:rPr/>
        <w:t>under the Community Development Block Grant (CDBG) Program.</w:t>
      </w:r>
    </w:p>
    <w:p>
      <w:pPr>
        <w:pStyle w:val="BodyText"/>
      </w:pPr>
    </w:p>
    <w:p>
      <w:pPr>
        <w:pStyle w:val="Heading5"/>
      </w:pPr>
      <w:r>
        <w:rPr/>
        <w:pict>
          <v:shape style="position:absolute;margin-left:90.065002pt;margin-top:6.118015pt;width:395.3pt;height:419pt;mso-position-horizontal-relative:page;mso-position-vertical-relative:paragraph;z-index:-17674752" id="docshape137" coordorigin="1801,122" coordsize="7906,8380" path="m4498,7386l4492,7313,4477,7235,4455,7152,4432,7083,4403,7011,4367,6936,4325,6858,4276,6777,4237,6718,4200,6667,4200,7353,4197,7409,4186,7466,4167,7523,4138,7583,4097,7646,4044,7712,3979,7781,3674,8087,2216,6629,2517,6328,2598,6252,2672,6192,2740,6149,2801,6122,2868,6108,2941,6104,3020,6110,3105,6128,3195,6157,3255,6183,3317,6215,3380,6254,3446,6299,3514,6351,3584,6409,3656,6473,3729,6545,3789,6606,3845,6666,3896,6725,3943,6783,3986,6840,4025,6895,4059,6949,4101,7024,4136,7096,4163,7165,4183,7232,4196,7297,4200,7353,4200,6667,4194,6658,4148,6598,4098,6538,4045,6477,3989,6415,3929,6353,3865,6291,3801,6233,3737,6178,3673,6126,3643,6104,3609,6078,3546,6034,3482,5993,3419,5955,3346,5917,3274,5885,3203,5858,3132,5835,3062,5818,2992,5806,2923,5799,2850,5798,2779,5804,2709,5819,2642,5842,2577,5873,2528,5901,2476,5938,2420,5983,2359,6038,2294,6100,1801,6593,3710,8502,4124,8087,4226,7985,4287,7920,4341,7855,4386,7789,4424,7722,4454,7655,4476,7589,4491,7522,4498,7455,4498,7386xm6418,5793l6056,5665,5650,5522,5561,5493,5475,5469,5393,5450,5365,5445,5314,5436,5239,5426,5193,5424,5143,5427,5089,5434,5030,5445,5073,5375,5109,5306,5136,5237,5154,5168,5164,5099,5165,5031,5157,4963,5139,4885,5111,4809,5075,4735,5030,4662,4976,4591,4956,4568,4913,4522,4872,4484,4872,5042,4868,5097,4854,5152,4830,5208,4794,5267,4747,5328,4687,5392,4280,5799,3649,5168,4102,4715,4166,4658,4229,4614,4293,4585,4358,4570,4422,4568,4501,4584,4577,4613,4649,4658,4718,4718,4761,4765,4797,4816,4827,4870,4851,4926,4867,4985,4872,5042,4872,4484,4849,4463,4782,4410,4713,4365,4641,4326,4566,4294,4474,4266,4386,4253,4303,4255,4225,4271,4163,4296,4098,4333,4030,4381,3958,4440,3883,4511,3248,5146,5157,7054,5346,6865,4499,6018,4718,5799,4753,5764,4783,5737,4810,5716,4833,5701,4863,5688,4896,5677,4932,5669,4971,5665,5014,5665,5066,5670,5125,5681,5194,5697,5256,5715,5328,5735,5407,5760,5496,5790,6180,6031,6418,5793xm7780,4431l7415,4236,6555,3781,6555,4088,6070,4574,6030,4502,5989,4431,5748,4000,5708,3928,5668,3857,5629,3791,5590,3727,5550,3663,5509,3600,5467,3537,5424,3476,5380,3415,5436,3451,5498,3489,5564,3529,5635,3571,5792,3661,6555,4088,6555,3781,5862,3415,5286,3108,5082,3312,5277,3663,5316,3733,5701,4431,6207,5350,6441,5770,6642,5569,6565,5436,6298,4968,6221,4834,6481,4574,6820,4236,7173,4431,7565,4646,7780,4431xm8131,4080l7264,3213,7936,2541,7711,2316,7039,2988,6448,2397,7224,1621,6999,1396,6033,2361,7941,4270,8131,4080xm9707,2504l8024,821,8497,348,8272,122,7138,1257,7363,1482,7834,1011,9517,2694,9707,2504xe" filled="true" fillcolor="#c0c0c0" stroked="false">
            <v:path arrowok="t"/>
            <v:fill opacity="32896f" type="solid"/>
            <w10:wrap type="none"/>
          </v:shape>
        </w:pict>
      </w:r>
      <w:r>
        <w:rPr/>
        <w:t>Eligible</w:t>
      </w:r>
      <w:r>
        <w:rPr>
          <w:spacing w:val="-3"/>
        </w:rPr>
        <w:t> </w:t>
      </w:r>
      <w:r>
        <w:rPr>
          <w:spacing w:val="-4"/>
        </w:rPr>
        <w:t>Uses</w:t>
      </w:r>
    </w:p>
    <w:p>
      <w:pPr>
        <w:pStyle w:val="BodyText"/>
        <w:spacing w:before="51"/>
        <w:ind w:left="120" w:right="154"/>
        <w:jc w:val="both"/>
      </w:pPr>
      <w:r>
        <w:rPr/>
        <w:t>Eligible costs include: Subsidy is based on the amount of the rent, household income and City rent standard in a form of a grant. Covered expenses include:</w:t>
      </w:r>
    </w:p>
    <w:p>
      <w:pPr>
        <w:pStyle w:val="BodyText"/>
        <w:spacing w:before="2"/>
      </w:pPr>
    </w:p>
    <w:p>
      <w:pPr>
        <w:pStyle w:val="ListParagraph"/>
        <w:numPr>
          <w:ilvl w:val="0"/>
          <w:numId w:val="29"/>
        </w:numPr>
        <w:tabs>
          <w:tab w:pos="839" w:val="left" w:leader="none"/>
          <w:tab w:pos="841" w:val="left" w:leader="none"/>
        </w:tabs>
        <w:spacing w:line="268" w:lineRule="exact" w:before="0" w:after="0"/>
        <w:ind w:left="840" w:right="0" w:hanging="362"/>
        <w:jc w:val="left"/>
        <w:rPr>
          <w:sz w:val="22"/>
        </w:rPr>
      </w:pPr>
      <w:r>
        <w:rPr>
          <w:sz w:val="22"/>
        </w:rPr>
        <w:t>Rent</w:t>
      </w:r>
      <w:r>
        <w:rPr>
          <w:spacing w:val="-6"/>
          <w:sz w:val="22"/>
        </w:rPr>
        <w:t> </w:t>
      </w:r>
      <w:r>
        <w:rPr>
          <w:sz w:val="22"/>
        </w:rPr>
        <w:t>supplemental</w:t>
      </w:r>
      <w:r>
        <w:rPr>
          <w:spacing w:val="-10"/>
          <w:sz w:val="22"/>
        </w:rPr>
        <w:t> </w:t>
      </w:r>
      <w:r>
        <w:rPr>
          <w:sz w:val="22"/>
        </w:rPr>
        <w:t>financial</w:t>
      </w:r>
      <w:r>
        <w:rPr>
          <w:spacing w:val="-7"/>
          <w:sz w:val="22"/>
        </w:rPr>
        <w:t> </w:t>
      </w:r>
      <w:r>
        <w:rPr>
          <w:spacing w:val="-2"/>
          <w:sz w:val="22"/>
        </w:rPr>
        <w:t>assistance:</w:t>
      </w:r>
    </w:p>
    <w:p>
      <w:pPr>
        <w:pStyle w:val="ListParagraph"/>
        <w:numPr>
          <w:ilvl w:val="0"/>
          <w:numId w:val="29"/>
        </w:numPr>
        <w:tabs>
          <w:tab w:pos="840" w:val="left" w:leader="none"/>
          <w:tab w:pos="841" w:val="left" w:leader="none"/>
        </w:tabs>
        <w:spacing w:line="268" w:lineRule="exact" w:before="0" w:after="0"/>
        <w:ind w:left="840" w:right="0" w:hanging="361"/>
        <w:jc w:val="left"/>
        <w:rPr>
          <w:sz w:val="22"/>
        </w:rPr>
      </w:pPr>
      <w:r>
        <w:rPr>
          <w:sz w:val="22"/>
        </w:rPr>
        <w:t>Utility</w:t>
      </w:r>
      <w:r>
        <w:rPr>
          <w:spacing w:val="-9"/>
          <w:sz w:val="22"/>
        </w:rPr>
        <w:t> </w:t>
      </w:r>
      <w:r>
        <w:rPr>
          <w:spacing w:val="-2"/>
          <w:sz w:val="22"/>
        </w:rPr>
        <w:t>costs</w:t>
      </w:r>
    </w:p>
    <w:p>
      <w:pPr>
        <w:pStyle w:val="ListParagraph"/>
        <w:numPr>
          <w:ilvl w:val="0"/>
          <w:numId w:val="29"/>
        </w:numPr>
        <w:tabs>
          <w:tab w:pos="840" w:val="left" w:leader="none"/>
          <w:tab w:pos="841" w:val="left" w:leader="none"/>
        </w:tabs>
        <w:spacing w:line="268" w:lineRule="exact" w:before="0" w:after="0"/>
        <w:ind w:left="840" w:right="0" w:hanging="361"/>
        <w:jc w:val="left"/>
        <w:rPr>
          <w:sz w:val="22"/>
        </w:rPr>
      </w:pPr>
      <w:r>
        <w:rPr>
          <w:sz w:val="22"/>
        </w:rPr>
        <w:t>Security</w:t>
      </w:r>
      <w:r>
        <w:rPr>
          <w:spacing w:val="-4"/>
          <w:sz w:val="22"/>
        </w:rPr>
        <w:t> </w:t>
      </w:r>
      <w:r>
        <w:rPr>
          <w:spacing w:val="-2"/>
          <w:sz w:val="22"/>
        </w:rPr>
        <w:t>deposits</w:t>
      </w:r>
    </w:p>
    <w:p>
      <w:pPr>
        <w:pStyle w:val="ListParagraph"/>
        <w:numPr>
          <w:ilvl w:val="0"/>
          <w:numId w:val="29"/>
        </w:numPr>
        <w:tabs>
          <w:tab w:pos="840" w:val="left" w:leader="none"/>
          <w:tab w:pos="841" w:val="left" w:leader="none"/>
        </w:tabs>
        <w:spacing w:line="268" w:lineRule="exact" w:before="0" w:after="0"/>
        <w:ind w:left="840" w:right="0" w:hanging="361"/>
        <w:jc w:val="left"/>
        <w:rPr>
          <w:sz w:val="22"/>
        </w:rPr>
      </w:pPr>
      <w:r>
        <w:rPr>
          <w:sz w:val="22"/>
        </w:rPr>
        <w:t>Utility</w:t>
      </w:r>
      <w:r>
        <w:rPr>
          <w:spacing w:val="-7"/>
          <w:sz w:val="22"/>
        </w:rPr>
        <w:t> </w:t>
      </w:r>
      <w:r>
        <w:rPr>
          <w:spacing w:val="-2"/>
          <w:sz w:val="22"/>
        </w:rPr>
        <w:t>deposits</w:t>
      </w:r>
    </w:p>
    <w:p>
      <w:pPr>
        <w:pStyle w:val="ListParagraph"/>
        <w:numPr>
          <w:ilvl w:val="0"/>
          <w:numId w:val="29"/>
        </w:numPr>
        <w:tabs>
          <w:tab w:pos="840" w:val="left" w:leader="none"/>
          <w:tab w:pos="841" w:val="left" w:leader="none"/>
        </w:tabs>
        <w:spacing w:line="269" w:lineRule="exact" w:before="0" w:after="0"/>
        <w:ind w:left="840" w:right="0" w:hanging="361"/>
        <w:jc w:val="left"/>
        <w:rPr>
          <w:sz w:val="22"/>
        </w:rPr>
      </w:pPr>
      <w:r>
        <w:rPr>
          <w:sz w:val="22"/>
        </w:rPr>
        <w:t>Maximum</w:t>
      </w:r>
      <w:r>
        <w:rPr>
          <w:spacing w:val="-3"/>
          <w:sz w:val="22"/>
        </w:rPr>
        <w:t> </w:t>
      </w:r>
      <w:r>
        <w:rPr>
          <w:sz w:val="22"/>
        </w:rPr>
        <w:t>assistance</w:t>
      </w:r>
      <w:r>
        <w:rPr>
          <w:spacing w:val="-6"/>
          <w:sz w:val="22"/>
        </w:rPr>
        <w:t> </w:t>
      </w:r>
      <w:r>
        <w:rPr>
          <w:sz w:val="22"/>
        </w:rPr>
        <w:t>of</w:t>
      </w:r>
      <w:r>
        <w:rPr>
          <w:spacing w:val="-7"/>
          <w:sz w:val="22"/>
        </w:rPr>
        <w:t> </w:t>
      </w:r>
      <w:r>
        <w:rPr>
          <w:sz w:val="22"/>
        </w:rPr>
        <w:t>24</w:t>
      </w:r>
      <w:r>
        <w:rPr>
          <w:spacing w:val="-4"/>
          <w:sz w:val="22"/>
        </w:rPr>
        <w:t> </w:t>
      </w:r>
      <w:r>
        <w:rPr>
          <w:spacing w:val="-2"/>
          <w:sz w:val="22"/>
        </w:rPr>
        <w:t>months</w:t>
      </w:r>
    </w:p>
    <w:p>
      <w:pPr>
        <w:pStyle w:val="ListParagraph"/>
        <w:numPr>
          <w:ilvl w:val="0"/>
          <w:numId w:val="29"/>
        </w:numPr>
        <w:tabs>
          <w:tab w:pos="840" w:val="left" w:leader="none"/>
          <w:tab w:pos="841" w:val="left" w:leader="none"/>
        </w:tabs>
        <w:spacing w:line="237" w:lineRule="auto" w:before="2" w:after="0"/>
        <w:ind w:left="840" w:right="156" w:hanging="361"/>
        <w:jc w:val="left"/>
        <w:rPr>
          <w:sz w:val="22"/>
        </w:rPr>
      </w:pPr>
      <w:r>
        <w:rPr>
          <w:sz w:val="22"/>
        </w:rPr>
        <w:t>May</w:t>
      </w:r>
      <w:r>
        <w:rPr>
          <w:spacing w:val="-5"/>
          <w:sz w:val="22"/>
        </w:rPr>
        <w:t> </w:t>
      </w:r>
      <w:r>
        <w:rPr>
          <w:sz w:val="22"/>
        </w:rPr>
        <w:t>provide</w:t>
      </w:r>
      <w:r>
        <w:rPr>
          <w:spacing w:val="-5"/>
          <w:sz w:val="22"/>
        </w:rPr>
        <w:t> </w:t>
      </w:r>
      <w:r>
        <w:rPr>
          <w:sz w:val="22"/>
        </w:rPr>
        <w:t>security</w:t>
      </w:r>
      <w:r>
        <w:rPr>
          <w:spacing w:val="-2"/>
          <w:sz w:val="22"/>
        </w:rPr>
        <w:t> </w:t>
      </w:r>
      <w:r>
        <w:rPr>
          <w:sz w:val="22"/>
        </w:rPr>
        <w:t>deposit</w:t>
      </w:r>
      <w:r>
        <w:rPr>
          <w:spacing w:val="-1"/>
          <w:sz w:val="22"/>
        </w:rPr>
        <w:t> </w:t>
      </w:r>
      <w:r>
        <w:rPr>
          <w:sz w:val="22"/>
        </w:rPr>
        <w:t>and</w:t>
      </w:r>
      <w:r>
        <w:rPr>
          <w:spacing w:val="-5"/>
          <w:sz w:val="22"/>
        </w:rPr>
        <w:t> </w:t>
      </w:r>
      <w:r>
        <w:rPr>
          <w:sz w:val="22"/>
        </w:rPr>
        <w:t>utility</w:t>
      </w:r>
      <w:r>
        <w:rPr>
          <w:spacing w:val="-5"/>
          <w:sz w:val="22"/>
        </w:rPr>
        <w:t> </w:t>
      </w:r>
      <w:r>
        <w:rPr>
          <w:sz w:val="22"/>
        </w:rPr>
        <w:t>deposit</w:t>
      </w:r>
      <w:r>
        <w:rPr>
          <w:spacing w:val="-3"/>
          <w:sz w:val="22"/>
        </w:rPr>
        <w:t> </w:t>
      </w:r>
      <w:r>
        <w:rPr>
          <w:sz w:val="22"/>
        </w:rPr>
        <w:t>assistance</w:t>
      </w:r>
      <w:r>
        <w:rPr>
          <w:spacing w:val="-3"/>
          <w:sz w:val="22"/>
        </w:rPr>
        <w:t> </w:t>
      </w:r>
      <w:r>
        <w:rPr>
          <w:sz w:val="22"/>
        </w:rPr>
        <w:t>upon</w:t>
      </w:r>
      <w:r>
        <w:rPr>
          <w:spacing w:val="-5"/>
          <w:sz w:val="22"/>
        </w:rPr>
        <w:t> </w:t>
      </w:r>
      <w:r>
        <w:rPr>
          <w:sz w:val="22"/>
        </w:rPr>
        <w:t>exiting</w:t>
      </w:r>
      <w:r>
        <w:rPr>
          <w:spacing w:val="-3"/>
          <w:sz w:val="22"/>
        </w:rPr>
        <w:t> </w:t>
      </w:r>
      <w:r>
        <w:rPr>
          <w:sz w:val="22"/>
        </w:rPr>
        <w:t>the</w:t>
      </w:r>
      <w:r>
        <w:rPr>
          <w:spacing w:val="-5"/>
          <w:sz w:val="22"/>
        </w:rPr>
        <w:t> </w:t>
      </w:r>
      <w:r>
        <w:rPr>
          <w:sz w:val="22"/>
        </w:rPr>
        <w:t>program</w:t>
      </w:r>
      <w:r>
        <w:rPr>
          <w:spacing w:val="-5"/>
          <w:sz w:val="22"/>
        </w:rPr>
        <w:t> </w:t>
      </w:r>
      <w:r>
        <w:rPr>
          <w:sz w:val="22"/>
        </w:rPr>
        <w:t>for</w:t>
      </w:r>
      <w:r>
        <w:rPr>
          <w:spacing w:val="-6"/>
          <w:sz w:val="22"/>
        </w:rPr>
        <w:t> </w:t>
      </w:r>
      <w:r>
        <w:rPr>
          <w:sz w:val="22"/>
        </w:rPr>
        <w:t>a permanent unit</w:t>
      </w:r>
    </w:p>
    <w:p>
      <w:pPr>
        <w:pStyle w:val="BodyText"/>
        <w:spacing w:before="9"/>
        <w:rPr>
          <w:sz w:val="21"/>
        </w:rPr>
      </w:pPr>
    </w:p>
    <w:p>
      <w:pPr>
        <w:pStyle w:val="BodyText"/>
        <w:ind w:left="120"/>
        <w:jc w:val="both"/>
      </w:pPr>
      <w:r>
        <w:rPr/>
        <w:t>No</w:t>
      </w:r>
      <w:r>
        <w:rPr>
          <w:spacing w:val="-4"/>
        </w:rPr>
        <w:t> </w:t>
      </w:r>
      <w:r>
        <w:rPr/>
        <w:t>payments</w:t>
      </w:r>
      <w:r>
        <w:rPr>
          <w:spacing w:val="-2"/>
        </w:rPr>
        <w:t> </w:t>
      </w:r>
      <w:r>
        <w:rPr/>
        <w:t>will</w:t>
      </w:r>
      <w:r>
        <w:rPr>
          <w:spacing w:val="-3"/>
        </w:rPr>
        <w:t> </w:t>
      </w:r>
      <w:r>
        <w:rPr/>
        <w:t>be</w:t>
      </w:r>
      <w:r>
        <w:rPr>
          <w:spacing w:val="-6"/>
        </w:rPr>
        <w:t> </w:t>
      </w:r>
      <w:r>
        <w:rPr/>
        <w:t>made</w:t>
      </w:r>
      <w:r>
        <w:rPr>
          <w:spacing w:val="-3"/>
        </w:rPr>
        <w:t> </w:t>
      </w:r>
      <w:r>
        <w:rPr/>
        <w:t>directly</w:t>
      </w:r>
      <w:r>
        <w:rPr>
          <w:spacing w:val="-5"/>
        </w:rPr>
        <w:t> </w:t>
      </w:r>
      <w:r>
        <w:rPr/>
        <w:t>to</w:t>
      </w:r>
      <w:r>
        <w:rPr>
          <w:spacing w:val="-5"/>
        </w:rPr>
        <w:t> </w:t>
      </w:r>
      <w:r>
        <w:rPr/>
        <w:t>the</w:t>
      </w:r>
      <w:r>
        <w:rPr>
          <w:spacing w:val="-5"/>
        </w:rPr>
        <w:t> </w:t>
      </w:r>
      <w:r>
        <w:rPr/>
        <w:t>tenant</w:t>
      </w:r>
      <w:r>
        <w:rPr>
          <w:spacing w:val="-6"/>
        </w:rPr>
        <w:t> </w:t>
      </w:r>
      <w:r>
        <w:rPr>
          <w:spacing w:val="-2"/>
        </w:rPr>
        <w:t>household.</w:t>
      </w:r>
    </w:p>
    <w:p>
      <w:pPr>
        <w:pStyle w:val="BodyText"/>
        <w:spacing w:before="5"/>
        <w:rPr>
          <w:sz w:val="26"/>
        </w:rPr>
      </w:pPr>
    </w:p>
    <w:p>
      <w:pPr>
        <w:pStyle w:val="Heading5"/>
      </w:pPr>
      <w:r>
        <w:rPr/>
        <w:t>Prohibited</w:t>
      </w:r>
      <w:r>
        <w:rPr>
          <w:spacing w:val="-8"/>
        </w:rPr>
        <w:t> </w:t>
      </w:r>
      <w:r>
        <w:rPr>
          <w:spacing w:val="-4"/>
        </w:rPr>
        <w:t>Uses</w:t>
      </w:r>
    </w:p>
    <w:p>
      <w:pPr>
        <w:pStyle w:val="BodyText"/>
        <w:spacing w:before="52"/>
        <w:ind w:left="120" w:right="156"/>
        <w:jc w:val="both"/>
      </w:pPr>
      <w:r>
        <w:rPr/>
        <w:t>City of Dallas HOME TBRA funds may not be used to assist tenants in conjunction with homebuyer programs, including lease purchase programs.</w:t>
      </w:r>
    </w:p>
    <w:p>
      <w:pPr>
        <w:pStyle w:val="BodyText"/>
        <w:spacing w:before="10"/>
        <w:rPr>
          <w:sz w:val="21"/>
        </w:rPr>
      </w:pPr>
    </w:p>
    <w:p>
      <w:pPr>
        <w:pStyle w:val="Heading5"/>
        <w:spacing w:before="1"/>
        <w:jc w:val="left"/>
      </w:pPr>
      <w:r>
        <w:rPr/>
        <w:t>Eligible</w:t>
      </w:r>
      <w:r>
        <w:rPr>
          <w:spacing w:val="-3"/>
        </w:rPr>
        <w:t> </w:t>
      </w:r>
      <w:r>
        <w:rPr>
          <w:spacing w:val="-2"/>
        </w:rPr>
        <w:t>Units</w:t>
      </w:r>
    </w:p>
    <w:p>
      <w:pPr>
        <w:pStyle w:val="BodyText"/>
        <w:spacing w:before="49"/>
        <w:ind w:left="120"/>
      </w:pPr>
      <w:r>
        <w:rPr/>
        <w:t>Eligible</w:t>
      </w:r>
      <w:r>
        <w:rPr>
          <w:spacing w:val="-7"/>
        </w:rPr>
        <w:t> </w:t>
      </w:r>
      <w:r>
        <w:rPr/>
        <w:t>tenants</w:t>
      </w:r>
      <w:r>
        <w:rPr>
          <w:spacing w:val="-6"/>
        </w:rPr>
        <w:t> </w:t>
      </w:r>
      <w:r>
        <w:rPr/>
        <w:t>may</w:t>
      </w:r>
      <w:r>
        <w:rPr>
          <w:spacing w:val="-6"/>
        </w:rPr>
        <w:t> </w:t>
      </w:r>
      <w:r>
        <w:rPr/>
        <w:t>rent</w:t>
      </w:r>
      <w:r>
        <w:rPr>
          <w:spacing w:val="-5"/>
        </w:rPr>
        <w:t> </w:t>
      </w:r>
      <w:r>
        <w:rPr/>
        <w:t>any</w:t>
      </w:r>
      <w:r>
        <w:rPr>
          <w:spacing w:val="-4"/>
        </w:rPr>
        <w:t> </w:t>
      </w:r>
      <w:r>
        <w:rPr/>
        <w:t>housing</w:t>
      </w:r>
      <w:r>
        <w:rPr>
          <w:spacing w:val="-6"/>
        </w:rPr>
        <w:t> </w:t>
      </w:r>
      <w:r>
        <w:rPr/>
        <w:t>that</w:t>
      </w:r>
      <w:r>
        <w:rPr>
          <w:spacing w:val="-5"/>
        </w:rPr>
        <w:t> </w:t>
      </w:r>
      <w:r>
        <w:rPr/>
        <w:t>meets</w:t>
      </w:r>
      <w:r>
        <w:rPr>
          <w:spacing w:val="-6"/>
        </w:rPr>
        <w:t> </w:t>
      </w:r>
      <w:r>
        <w:rPr/>
        <w:t>the</w:t>
      </w:r>
      <w:r>
        <w:rPr>
          <w:spacing w:val="-6"/>
        </w:rPr>
        <w:t> </w:t>
      </w:r>
      <w:r>
        <w:rPr/>
        <w:t>following</w:t>
      </w:r>
      <w:r>
        <w:rPr>
          <w:spacing w:val="-4"/>
        </w:rPr>
        <w:t> </w:t>
      </w:r>
      <w:r>
        <w:rPr>
          <w:spacing w:val="-2"/>
        </w:rPr>
        <w:t>criteria:</w:t>
      </w:r>
    </w:p>
    <w:p>
      <w:pPr>
        <w:pStyle w:val="ListParagraph"/>
        <w:numPr>
          <w:ilvl w:val="0"/>
          <w:numId w:val="29"/>
        </w:numPr>
        <w:tabs>
          <w:tab w:pos="841" w:val="left" w:leader="none"/>
          <w:tab w:pos="842" w:val="left" w:leader="none"/>
        </w:tabs>
        <w:spacing w:line="269" w:lineRule="exact" w:before="1" w:after="0"/>
        <w:ind w:left="841" w:right="0" w:hanging="361"/>
        <w:jc w:val="left"/>
        <w:rPr>
          <w:sz w:val="22"/>
        </w:rPr>
      </w:pPr>
      <w:r>
        <w:rPr>
          <w:sz w:val="22"/>
        </w:rPr>
        <w:t>Located</w:t>
      </w:r>
      <w:r>
        <w:rPr>
          <w:spacing w:val="-5"/>
          <w:sz w:val="22"/>
        </w:rPr>
        <w:t> </w:t>
      </w:r>
      <w:r>
        <w:rPr>
          <w:sz w:val="22"/>
        </w:rPr>
        <w:t>in</w:t>
      </w:r>
      <w:r>
        <w:rPr>
          <w:spacing w:val="-5"/>
          <w:sz w:val="22"/>
        </w:rPr>
        <w:t> </w:t>
      </w:r>
      <w:r>
        <w:rPr>
          <w:sz w:val="22"/>
        </w:rPr>
        <w:t>Dallas</w:t>
      </w:r>
      <w:r>
        <w:rPr>
          <w:spacing w:val="-3"/>
          <w:sz w:val="22"/>
        </w:rPr>
        <w:t> </w:t>
      </w:r>
      <w:r>
        <w:rPr>
          <w:sz w:val="22"/>
        </w:rPr>
        <w:t>City</w:t>
      </w:r>
      <w:r>
        <w:rPr>
          <w:spacing w:val="-6"/>
          <w:sz w:val="22"/>
        </w:rPr>
        <w:t> </w:t>
      </w:r>
      <w:r>
        <w:rPr>
          <w:spacing w:val="-2"/>
          <w:sz w:val="22"/>
        </w:rPr>
        <w:t>Limits</w:t>
      </w:r>
    </w:p>
    <w:p>
      <w:pPr>
        <w:pStyle w:val="ListParagraph"/>
        <w:numPr>
          <w:ilvl w:val="0"/>
          <w:numId w:val="29"/>
        </w:numPr>
        <w:tabs>
          <w:tab w:pos="841" w:val="left" w:leader="none"/>
          <w:tab w:pos="842" w:val="left" w:leader="none"/>
        </w:tabs>
        <w:spacing w:line="269" w:lineRule="exact" w:before="0" w:after="0"/>
        <w:ind w:left="841" w:right="0" w:hanging="361"/>
        <w:jc w:val="left"/>
        <w:rPr>
          <w:sz w:val="22"/>
        </w:rPr>
      </w:pPr>
      <w:r>
        <w:rPr>
          <w:sz w:val="22"/>
        </w:rPr>
        <w:t>Meets</w:t>
      </w:r>
      <w:r>
        <w:rPr>
          <w:spacing w:val="-9"/>
          <w:sz w:val="22"/>
        </w:rPr>
        <w:t> </w:t>
      </w:r>
      <w:r>
        <w:rPr>
          <w:sz w:val="22"/>
        </w:rPr>
        <w:t>Minimum</w:t>
      </w:r>
      <w:r>
        <w:rPr>
          <w:spacing w:val="-6"/>
          <w:sz w:val="22"/>
        </w:rPr>
        <w:t> </w:t>
      </w:r>
      <w:r>
        <w:rPr>
          <w:sz w:val="22"/>
        </w:rPr>
        <w:t>Housing</w:t>
      </w:r>
      <w:r>
        <w:rPr>
          <w:spacing w:val="-6"/>
          <w:sz w:val="22"/>
        </w:rPr>
        <w:t> </w:t>
      </w:r>
      <w:r>
        <w:rPr>
          <w:sz w:val="22"/>
        </w:rPr>
        <w:t>Quality</w:t>
      </w:r>
      <w:r>
        <w:rPr>
          <w:spacing w:val="-6"/>
          <w:sz w:val="22"/>
        </w:rPr>
        <w:t> </w:t>
      </w:r>
      <w:r>
        <w:rPr>
          <w:spacing w:val="-2"/>
          <w:sz w:val="22"/>
        </w:rPr>
        <w:t>Standards</w:t>
      </w:r>
    </w:p>
    <w:p>
      <w:pPr>
        <w:pStyle w:val="ListParagraph"/>
        <w:numPr>
          <w:ilvl w:val="0"/>
          <w:numId w:val="29"/>
        </w:numPr>
        <w:tabs>
          <w:tab w:pos="841" w:val="left" w:leader="none"/>
          <w:tab w:pos="842" w:val="left" w:leader="none"/>
        </w:tabs>
        <w:spacing w:line="268" w:lineRule="exact" w:before="0" w:after="0"/>
        <w:ind w:left="841" w:right="0" w:hanging="361"/>
        <w:jc w:val="left"/>
        <w:rPr>
          <w:sz w:val="22"/>
        </w:rPr>
      </w:pPr>
      <w:r>
        <w:rPr>
          <w:sz w:val="22"/>
        </w:rPr>
        <w:t>Reasonable</w:t>
      </w:r>
      <w:r>
        <w:rPr>
          <w:spacing w:val="-5"/>
          <w:sz w:val="22"/>
        </w:rPr>
        <w:t> </w:t>
      </w:r>
      <w:r>
        <w:rPr>
          <w:sz w:val="22"/>
        </w:rPr>
        <w:t>rents</w:t>
      </w:r>
      <w:r>
        <w:rPr>
          <w:spacing w:val="-7"/>
          <w:sz w:val="22"/>
        </w:rPr>
        <w:t> </w:t>
      </w:r>
      <w:r>
        <w:rPr>
          <w:sz w:val="22"/>
        </w:rPr>
        <w:t>are</w:t>
      </w:r>
      <w:r>
        <w:rPr>
          <w:spacing w:val="-6"/>
          <w:sz w:val="22"/>
        </w:rPr>
        <w:t> </w:t>
      </w:r>
      <w:r>
        <w:rPr>
          <w:spacing w:val="-2"/>
          <w:sz w:val="22"/>
        </w:rPr>
        <w:t>charged</w:t>
      </w:r>
    </w:p>
    <w:p>
      <w:pPr>
        <w:pStyle w:val="ListParagraph"/>
        <w:numPr>
          <w:ilvl w:val="0"/>
          <w:numId w:val="29"/>
        </w:numPr>
        <w:tabs>
          <w:tab w:pos="841" w:val="left" w:leader="none"/>
          <w:tab w:pos="842" w:val="left" w:leader="none"/>
        </w:tabs>
        <w:spacing w:line="268" w:lineRule="exact" w:before="0" w:after="0"/>
        <w:ind w:left="841" w:right="0" w:hanging="361"/>
        <w:jc w:val="left"/>
        <w:rPr>
          <w:sz w:val="22"/>
        </w:rPr>
      </w:pPr>
      <w:r>
        <w:rPr>
          <w:sz w:val="22"/>
        </w:rPr>
        <w:t>Not</w:t>
      </w:r>
      <w:r>
        <w:rPr>
          <w:spacing w:val="-6"/>
          <w:sz w:val="22"/>
        </w:rPr>
        <w:t> </w:t>
      </w:r>
      <w:r>
        <w:rPr>
          <w:sz w:val="22"/>
        </w:rPr>
        <w:t>public</w:t>
      </w:r>
      <w:r>
        <w:rPr>
          <w:spacing w:val="-5"/>
          <w:sz w:val="22"/>
        </w:rPr>
        <w:t> </w:t>
      </w:r>
      <w:r>
        <w:rPr>
          <w:sz w:val="22"/>
        </w:rPr>
        <w:t>housing</w:t>
      </w:r>
      <w:r>
        <w:rPr>
          <w:spacing w:val="-6"/>
          <w:sz w:val="22"/>
        </w:rPr>
        <w:t> </w:t>
      </w:r>
      <w:r>
        <w:rPr>
          <w:sz w:val="22"/>
        </w:rPr>
        <w:t>projects</w:t>
      </w:r>
      <w:r>
        <w:rPr>
          <w:spacing w:val="-4"/>
          <w:sz w:val="22"/>
        </w:rPr>
        <w:t> </w:t>
      </w:r>
      <w:r>
        <w:rPr>
          <w:sz w:val="22"/>
        </w:rPr>
        <w:t>or</w:t>
      </w:r>
      <w:r>
        <w:rPr>
          <w:spacing w:val="-7"/>
          <w:sz w:val="22"/>
        </w:rPr>
        <w:t> </w:t>
      </w:r>
      <w:r>
        <w:rPr>
          <w:sz w:val="22"/>
        </w:rPr>
        <w:t>receiving</w:t>
      </w:r>
      <w:r>
        <w:rPr>
          <w:spacing w:val="-5"/>
          <w:sz w:val="22"/>
        </w:rPr>
        <w:t> </w:t>
      </w:r>
      <w:r>
        <w:rPr>
          <w:sz w:val="22"/>
        </w:rPr>
        <w:t>project</w:t>
      </w:r>
      <w:r>
        <w:rPr>
          <w:spacing w:val="-4"/>
          <w:sz w:val="22"/>
        </w:rPr>
        <w:t> </w:t>
      </w:r>
      <w:r>
        <w:rPr>
          <w:sz w:val="22"/>
        </w:rPr>
        <w:t>based</w:t>
      </w:r>
      <w:r>
        <w:rPr>
          <w:spacing w:val="-6"/>
          <w:sz w:val="22"/>
        </w:rPr>
        <w:t> </w:t>
      </w:r>
      <w:r>
        <w:rPr>
          <w:sz w:val="22"/>
        </w:rPr>
        <w:t>federal</w:t>
      </w:r>
      <w:r>
        <w:rPr>
          <w:spacing w:val="-5"/>
          <w:sz w:val="22"/>
        </w:rPr>
        <w:t> </w:t>
      </w:r>
      <w:r>
        <w:rPr>
          <w:spacing w:val="-2"/>
          <w:sz w:val="22"/>
        </w:rPr>
        <w:t>assistance</w:t>
      </w:r>
    </w:p>
    <w:p>
      <w:pPr>
        <w:pStyle w:val="BodyText"/>
        <w:spacing w:before="3"/>
        <w:rPr>
          <w:sz w:val="26"/>
        </w:rPr>
      </w:pPr>
    </w:p>
    <w:p>
      <w:pPr>
        <w:pStyle w:val="Heading5"/>
        <w:ind w:left="121"/>
        <w:jc w:val="left"/>
      </w:pPr>
      <w:r>
        <w:rPr/>
        <w:t>Subsidy</w:t>
      </w:r>
      <w:r>
        <w:rPr>
          <w:spacing w:val="-6"/>
        </w:rPr>
        <w:t> </w:t>
      </w:r>
      <w:r>
        <w:rPr/>
        <w:t>Amounts</w:t>
      </w:r>
      <w:r>
        <w:rPr>
          <w:spacing w:val="-4"/>
        </w:rPr>
        <w:t> </w:t>
      </w:r>
      <w:r>
        <w:rPr/>
        <w:t>and</w:t>
      </w:r>
      <w:r>
        <w:rPr>
          <w:spacing w:val="-9"/>
        </w:rPr>
        <w:t> </w:t>
      </w:r>
      <w:r>
        <w:rPr/>
        <w:t>Tenant</w:t>
      </w:r>
      <w:r>
        <w:rPr>
          <w:spacing w:val="-1"/>
        </w:rPr>
        <w:t> </w:t>
      </w:r>
      <w:r>
        <w:rPr>
          <w:spacing w:val="-2"/>
        </w:rPr>
        <w:t>Contribution</w:t>
      </w:r>
    </w:p>
    <w:p>
      <w:pPr>
        <w:pStyle w:val="BodyText"/>
        <w:spacing w:before="50"/>
        <w:ind w:left="121"/>
      </w:pPr>
      <w:r>
        <w:rPr/>
        <w:t>Maximum Subsidy: Maximum assistance that can be provided is the difference between 30% of the household’s adjusted monthly income and the payment standard.</w:t>
      </w:r>
    </w:p>
    <w:p>
      <w:pPr>
        <w:pStyle w:val="BodyText"/>
        <w:spacing w:before="10"/>
        <w:rPr>
          <w:sz w:val="21"/>
        </w:rPr>
      </w:pPr>
    </w:p>
    <w:p>
      <w:pPr>
        <w:pStyle w:val="BodyText"/>
        <w:ind w:left="121"/>
      </w:pPr>
      <w:r>
        <w:rPr/>
        <w:t>Minimum</w:t>
      </w:r>
      <w:r>
        <w:rPr>
          <w:spacing w:val="32"/>
        </w:rPr>
        <w:t> </w:t>
      </w:r>
      <w:r>
        <w:rPr/>
        <w:t>Tenant</w:t>
      </w:r>
      <w:r>
        <w:rPr>
          <w:spacing w:val="32"/>
        </w:rPr>
        <w:t> </w:t>
      </w:r>
      <w:r>
        <w:rPr/>
        <w:t>Contribution:</w:t>
      </w:r>
      <w:r>
        <w:rPr>
          <w:spacing w:val="32"/>
        </w:rPr>
        <w:t> </w:t>
      </w:r>
      <w:r>
        <w:rPr/>
        <w:t>All</w:t>
      </w:r>
      <w:r>
        <w:rPr>
          <w:spacing w:val="33"/>
        </w:rPr>
        <w:t> </w:t>
      </w:r>
      <w:r>
        <w:rPr/>
        <w:t>tenants</w:t>
      </w:r>
      <w:r>
        <w:rPr>
          <w:spacing w:val="31"/>
        </w:rPr>
        <w:t> </w:t>
      </w:r>
      <w:r>
        <w:rPr/>
        <w:t>are</w:t>
      </w:r>
      <w:r>
        <w:rPr>
          <w:spacing w:val="29"/>
        </w:rPr>
        <w:t> </w:t>
      </w:r>
      <w:r>
        <w:rPr/>
        <w:t>required</w:t>
      </w:r>
      <w:r>
        <w:rPr>
          <w:spacing w:val="31"/>
        </w:rPr>
        <w:t> </w:t>
      </w:r>
      <w:r>
        <w:rPr/>
        <w:t>to</w:t>
      </w:r>
      <w:r>
        <w:rPr>
          <w:spacing w:val="33"/>
        </w:rPr>
        <w:t> </w:t>
      </w:r>
      <w:r>
        <w:rPr/>
        <w:t>pay</w:t>
      </w:r>
      <w:r>
        <w:rPr>
          <w:spacing w:val="31"/>
        </w:rPr>
        <w:t> </w:t>
      </w:r>
      <w:r>
        <w:rPr/>
        <w:t>30%</w:t>
      </w:r>
      <w:r>
        <w:rPr>
          <w:spacing w:val="32"/>
        </w:rPr>
        <w:t> </w:t>
      </w:r>
      <w:r>
        <w:rPr/>
        <w:t>of</w:t>
      </w:r>
      <w:r>
        <w:rPr>
          <w:spacing w:val="30"/>
        </w:rPr>
        <w:t> </w:t>
      </w:r>
      <w:r>
        <w:rPr/>
        <w:t>their</w:t>
      </w:r>
      <w:r>
        <w:rPr>
          <w:spacing w:val="32"/>
        </w:rPr>
        <w:t> </w:t>
      </w:r>
      <w:r>
        <w:rPr/>
        <w:t>monthly</w:t>
      </w:r>
      <w:r>
        <w:rPr>
          <w:spacing w:val="31"/>
        </w:rPr>
        <w:t> </w:t>
      </w:r>
      <w:r>
        <w:rPr/>
        <w:t>adjusted income, or $20.00 per month, whichever is greater.</w:t>
      </w:r>
    </w:p>
    <w:p>
      <w:pPr>
        <w:pStyle w:val="BodyText"/>
        <w:spacing w:before="2"/>
      </w:pPr>
    </w:p>
    <w:p>
      <w:pPr>
        <w:pStyle w:val="BodyText"/>
        <w:ind w:left="121"/>
      </w:pPr>
      <w:r>
        <w:rPr/>
        <w:t>Length of Assistance: Assistance will not be provided for a period of time longer than two years, and minimum of one-year lease.</w:t>
      </w:r>
    </w:p>
    <w:p>
      <w:pPr>
        <w:pStyle w:val="BodyText"/>
        <w:spacing w:before="11"/>
        <w:rPr>
          <w:sz w:val="21"/>
        </w:rPr>
      </w:pPr>
    </w:p>
    <w:p>
      <w:pPr>
        <w:pStyle w:val="Heading5"/>
        <w:ind w:left="121"/>
        <w:jc w:val="left"/>
      </w:pPr>
      <w:r>
        <w:rPr/>
        <w:t>Other</w:t>
      </w:r>
      <w:r>
        <w:rPr>
          <w:spacing w:val="-5"/>
        </w:rPr>
        <w:t> </w:t>
      </w:r>
      <w:r>
        <w:rPr/>
        <w:t>Tenant</w:t>
      </w:r>
      <w:r>
        <w:rPr>
          <w:spacing w:val="-2"/>
        </w:rPr>
        <w:t> Requirements</w:t>
      </w:r>
    </w:p>
    <w:p>
      <w:pPr>
        <w:pStyle w:val="BodyText"/>
        <w:spacing w:before="49"/>
        <w:ind w:left="121"/>
      </w:pPr>
      <w:r>
        <w:rPr/>
        <w:t>Agencies</w:t>
      </w:r>
      <w:r>
        <w:rPr>
          <w:spacing w:val="35"/>
        </w:rPr>
        <w:t> </w:t>
      </w:r>
      <w:r>
        <w:rPr/>
        <w:t>administering</w:t>
      </w:r>
      <w:r>
        <w:rPr>
          <w:spacing w:val="31"/>
        </w:rPr>
        <w:t> </w:t>
      </w:r>
      <w:r>
        <w:rPr/>
        <w:t>TBRA</w:t>
      </w:r>
      <w:r>
        <w:rPr>
          <w:spacing w:val="34"/>
        </w:rPr>
        <w:t> </w:t>
      </w:r>
      <w:r>
        <w:rPr/>
        <w:t>programs</w:t>
      </w:r>
      <w:r>
        <w:rPr>
          <w:spacing w:val="34"/>
        </w:rPr>
        <w:t> </w:t>
      </w:r>
      <w:r>
        <w:rPr/>
        <w:t>may</w:t>
      </w:r>
      <w:r>
        <w:rPr>
          <w:spacing w:val="33"/>
        </w:rPr>
        <w:t> </w:t>
      </w:r>
      <w:r>
        <w:rPr/>
        <w:t>require</w:t>
      </w:r>
      <w:r>
        <w:rPr>
          <w:spacing w:val="35"/>
        </w:rPr>
        <w:t> </w:t>
      </w:r>
      <w:r>
        <w:rPr/>
        <w:t>tenant</w:t>
      </w:r>
      <w:r>
        <w:rPr>
          <w:spacing w:val="36"/>
        </w:rPr>
        <w:t> </w:t>
      </w:r>
      <w:r>
        <w:rPr/>
        <w:t>participation</w:t>
      </w:r>
      <w:r>
        <w:rPr>
          <w:spacing w:val="35"/>
        </w:rPr>
        <w:t> </w:t>
      </w:r>
      <w:r>
        <w:rPr/>
        <w:t>in</w:t>
      </w:r>
      <w:r>
        <w:rPr>
          <w:spacing w:val="35"/>
        </w:rPr>
        <w:t> </w:t>
      </w:r>
      <w:r>
        <w:rPr/>
        <w:t>a</w:t>
      </w:r>
      <w:r>
        <w:rPr>
          <w:spacing w:val="35"/>
        </w:rPr>
        <w:t> </w:t>
      </w:r>
      <w:r>
        <w:rPr/>
        <w:t>self-sufficiency program as a condition of rental assistance.</w:t>
      </w:r>
    </w:p>
    <w:p>
      <w:pPr>
        <w:pStyle w:val="BodyText"/>
        <w:spacing w:before="2"/>
      </w:pPr>
    </w:p>
    <w:p>
      <w:pPr>
        <w:pStyle w:val="BodyText"/>
        <w:ind w:left="121"/>
      </w:pPr>
      <w:r>
        <w:rPr/>
        <w:t>A</w:t>
      </w:r>
      <w:r>
        <w:rPr>
          <w:spacing w:val="-8"/>
        </w:rPr>
        <w:t> </w:t>
      </w:r>
      <w:r>
        <w:rPr/>
        <w:t>legitimate,</w:t>
      </w:r>
      <w:r>
        <w:rPr>
          <w:spacing w:val="-3"/>
        </w:rPr>
        <w:t> </w:t>
      </w:r>
      <w:r>
        <w:rPr/>
        <w:t>legal</w:t>
      </w:r>
      <w:r>
        <w:rPr>
          <w:spacing w:val="-5"/>
        </w:rPr>
        <w:t> </w:t>
      </w:r>
      <w:r>
        <w:rPr/>
        <w:t>lease</w:t>
      </w:r>
      <w:r>
        <w:rPr>
          <w:spacing w:val="-5"/>
        </w:rPr>
        <w:t> </w:t>
      </w:r>
      <w:r>
        <w:rPr/>
        <w:t>is</w:t>
      </w:r>
      <w:r>
        <w:rPr>
          <w:spacing w:val="-4"/>
        </w:rPr>
        <w:t> </w:t>
      </w:r>
      <w:r>
        <w:rPr/>
        <w:t>required</w:t>
      </w:r>
      <w:r>
        <w:rPr>
          <w:spacing w:val="-7"/>
        </w:rPr>
        <w:t> </w:t>
      </w:r>
      <w:r>
        <w:rPr/>
        <w:t>for</w:t>
      </w:r>
      <w:r>
        <w:rPr>
          <w:spacing w:val="-3"/>
        </w:rPr>
        <w:t> </w:t>
      </w:r>
      <w:r>
        <w:rPr/>
        <w:t>program</w:t>
      </w:r>
      <w:r>
        <w:rPr>
          <w:spacing w:val="-6"/>
        </w:rPr>
        <w:t> </w:t>
      </w:r>
      <w:r>
        <w:rPr>
          <w:spacing w:val="-2"/>
        </w:rPr>
        <w:t>participants.</w:t>
      </w:r>
    </w:p>
    <w:p>
      <w:pPr>
        <w:spacing w:after="0"/>
        <w:sectPr>
          <w:pgSz w:w="12240" w:h="15840"/>
          <w:pgMar w:header="0" w:footer="1176" w:top="1380" w:bottom="1420" w:left="1320" w:right="1280"/>
        </w:sectPr>
      </w:pPr>
    </w:p>
    <w:p>
      <w:pPr>
        <w:pStyle w:val="Heading5"/>
        <w:spacing w:before="72"/>
        <w:ind w:left="119"/>
      </w:pPr>
      <w:r>
        <w:rPr/>
        <w:t>Income</w:t>
      </w:r>
      <w:r>
        <w:rPr>
          <w:spacing w:val="-4"/>
        </w:rPr>
        <w:t> </w:t>
      </w:r>
      <w:r>
        <w:rPr>
          <w:spacing w:val="-2"/>
        </w:rPr>
        <w:t>Recertification</w:t>
      </w:r>
    </w:p>
    <w:p>
      <w:pPr>
        <w:pStyle w:val="BodyText"/>
        <w:spacing w:before="51"/>
        <w:ind w:left="120" w:right="156" w:hanging="1"/>
        <w:jc w:val="both"/>
      </w:pPr>
      <w:r>
        <w:rPr/>
        <w:t>Income of tenants receiving HOME tenant based rental assistance must be re-certified on an annual</w:t>
      </w:r>
      <w:r>
        <w:rPr>
          <w:spacing w:val="-2"/>
        </w:rPr>
        <w:t> </w:t>
      </w:r>
      <w:r>
        <w:rPr/>
        <w:t>basis,</w:t>
      </w:r>
      <w:r>
        <w:rPr>
          <w:spacing w:val="-2"/>
        </w:rPr>
        <w:t> </w:t>
      </w:r>
      <w:r>
        <w:rPr/>
        <w:t>at</w:t>
      </w:r>
      <w:r>
        <w:rPr>
          <w:spacing w:val="-2"/>
        </w:rPr>
        <w:t> </w:t>
      </w:r>
      <w:r>
        <w:rPr/>
        <w:t>a</w:t>
      </w:r>
      <w:r>
        <w:rPr>
          <w:spacing w:val="-4"/>
        </w:rPr>
        <w:t> </w:t>
      </w:r>
      <w:r>
        <w:rPr/>
        <w:t>minimum.</w:t>
      </w:r>
      <w:r>
        <w:rPr>
          <w:spacing w:val="-2"/>
        </w:rPr>
        <w:t> </w:t>
      </w:r>
      <w:r>
        <w:rPr/>
        <w:t>City</w:t>
      </w:r>
      <w:r>
        <w:rPr>
          <w:spacing w:val="-4"/>
        </w:rPr>
        <w:t> </w:t>
      </w:r>
      <w:r>
        <w:rPr/>
        <w:t>staff</w:t>
      </w:r>
      <w:r>
        <w:rPr>
          <w:spacing w:val="-5"/>
        </w:rPr>
        <w:t> </w:t>
      </w:r>
      <w:r>
        <w:rPr/>
        <w:t>may</w:t>
      </w:r>
      <w:r>
        <w:rPr>
          <w:spacing w:val="-4"/>
        </w:rPr>
        <w:t> </w:t>
      </w:r>
      <w:r>
        <w:rPr/>
        <w:t>require</w:t>
      </w:r>
      <w:r>
        <w:rPr>
          <w:spacing w:val="-2"/>
        </w:rPr>
        <w:t> </w:t>
      </w:r>
      <w:r>
        <w:rPr/>
        <w:t>recertification</w:t>
      </w:r>
      <w:r>
        <w:rPr>
          <w:spacing w:val="-4"/>
        </w:rPr>
        <w:t> </w:t>
      </w:r>
      <w:r>
        <w:rPr/>
        <w:t>of</w:t>
      </w:r>
      <w:r>
        <w:rPr>
          <w:spacing w:val="-5"/>
        </w:rPr>
        <w:t> </w:t>
      </w:r>
      <w:r>
        <w:rPr/>
        <w:t>tenant</w:t>
      </w:r>
      <w:r>
        <w:rPr>
          <w:spacing w:val="-2"/>
        </w:rPr>
        <w:t> </w:t>
      </w:r>
      <w:r>
        <w:rPr/>
        <w:t>income</w:t>
      </w:r>
      <w:r>
        <w:rPr>
          <w:spacing w:val="-6"/>
        </w:rPr>
        <w:t> </w:t>
      </w:r>
      <w:r>
        <w:rPr/>
        <w:t>at</w:t>
      </w:r>
      <w:r>
        <w:rPr>
          <w:spacing w:val="-3"/>
        </w:rPr>
        <w:t> </w:t>
      </w:r>
      <w:r>
        <w:rPr/>
        <w:t>any</w:t>
      </w:r>
      <w:r>
        <w:rPr>
          <w:spacing w:val="-6"/>
        </w:rPr>
        <w:t> </w:t>
      </w:r>
      <w:r>
        <w:rPr/>
        <w:t>time,</w:t>
      </w:r>
      <w:r>
        <w:rPr>
          <w:spacing w:val="-3"/>
        </w:rPr>
        <w:t> </w:t>
      </w:r>
      <w:r>
        <w:rPr/>
        <w:t>at the City’s discretion, if it appears that a tenant’s income has changed substantially during the contract term. If the tenant’s income exceeds eighty percent (80%) of Area Median Family Income, HOME assistance must be terminated.</w:t>
      </w:r>
    </w:p>
    <w:p>
      <w:pPr>
        <w:pStyle w:val="BodyText"/>
        <w:spacing w:before="8"/>
      </w:pPr>
    </w:p>
    <w:p>
      <w:pPr>
        <w:pStyle w:val="Heading5"/>
        <w:spacing w:before="1"/>
      </w:pPr>
      <w:r>
        <w:rPr/>
        <w:pict>
          <v:shape style="position:absolute;margin-left:90.065002pt;margin-top:10.37236pt;width:395.3pt;height:419pt;mso-position-horizontal-relative:page;mso-position-vertical-relative:paragraph;z-index:-17674240" id="docshape138" coordorigin="1801,207" coordsize="7906,8380" path="m4498,7471l4492,7398,4477,7320,4455,7237,4432,7168,4403,7096,4367,7021,4325,6943,4276,6862,4237,6803,4200,6752,4200,7438,4197,7494,4186,7551,4167,7609,4138,7668,4097,7731,4044,7797,3979,7866,3674,8172,2216,6714,2517,6413,2598,6337,2672,6277,2740,6234,2801,6207,2868,6193,2941,6189,3020,6195,3105,6213,3195,6242,3255,6268,3317,6300,3380,6339,3446,6384,3514,6436,3584,6494,3656,6559,3729,6630,3789,6691,3845,6751,3896,6811,3943,6868,3986,6925,4025,6980,4059,7034,4101,7109,4136,7181,4163,7251,4183,7317,4196,7382,4200,7438,4200,6752,4194,6743,4148,6683,4098,6623,4045,6562,3989,6500,3929,6439,3865,6376,3801,6318,3737,6263,3673,6211,3643,6189,3609,6163,3546,6119,3482,6078,3419,6040,3346,6002,3274,5970,3203,5943,3132,5921,3062,5904,2992,5892,2923,5884,2850,5883,2779,5890,2709,5904,2642,5927,2577,5958,2528,5986,2476,6023,2420,6069,2359,6123,2294,6185,1801,6678,3710,8587,4124,8172,4226,8070,4287,8005,4341,7940,4386,7874,4424,7807,4454,7741,4476,7674,4491,7607,4498,7540,4498,7471xm6418,5878l6056,5750,5650,5608,5561,5578,5475,5554,5393,5535,5365,5530,5314,5521,5239,5511,5193,5509,5143,5512,5089,5519,5030,5530,5073,5460,5109,5391,5136,5322,5154,5253,5164,5184,5165,5116,5157,5048,5139,4970,5111,4894,5075,4820,5030,4747,4976,4676,4956,4653,4913,4608,4872,4569,4872,5127,4868,5182,4854,5237,4830,5294,4794,5352,4747,5413,4687,5477,4280,5884,3649,5253,4102,4800,4166,4743,4229,4699,4293,4670,4358,4655,4422,4653,4501,4669,4577,4698,4649,4743,4718,4803,4761,4850,4797,4901,4827,4955,4851,5011,4867,5070,4872,5127,4872,4569,4849,4548,4782,4495,4713,4450,4641,4411,4566,4379,4474,4351,4386,4338,4303,4340,4225,4356,4163,4381,4098,4418,4030,4466,3958,4526,3883,4597,3248,5231,5157,7139,5346,6950,4499,6103,4718,5884,4753,5849,4783,5822,4810,5801,4833,5787,4863,5773,4896,5762,4932,5755,4971,5750,5014,5750,5066,5756,5125,5766,5194,5782,5256,5800,5328,5821,5407,5846,5496,5875,6180,6116,6418,5878xm7780,4516l7415,4321,6555,3867,6555,4174,6070,4659,6030,4587,5989,4516,5748,4085,5708,4013,5668,3942,5629,3876,5590,3812,5550,3748,5509,3685,5467,3622,5424,3561,5380,3500,5436,3536,5498,3574,5564,3614,5635,3656,5792,3746,6555,4174,6555,3867,5862,3500,5286,3193,5082,3397,5277,3748,5316,3818,5701,4516,6207,5435,6441,5855,6642,5654,6565,5521,6298,5053,6221,4919,6481,4659,6820,4321,7173,4516,7565,4732,7780,4516xm8131,4165l7264,3298,7936,2627,7711,2401,7039,3073,6448,2482,7224,1706,6999,1481,6033,2446,7941,4355,8131,4165xm9707,2589l8024,906,8497,433,8272,207,7138,1342,7363,1567,7834,1096,9517,2779,9707,2589xe" filled="true" fillcolor="#c0c0c0" stroked="false">
            <v:path arrowok="t"/>
            <v:fill opacity="32896f" type="solid"/>
            <w10:wrap type="none"/>
          </v:shape>
        </w:pict>
      </w:r>
      <w:r>
        <w:rPr/>
        <w:t>Payment</w:t>
      </w:r>
      <w:r>
        <w:rPr>
          <w:spacing w:val="-3"/>
        </w:rPr>
        <w:t> </w:t>
      </w:r>
      <w:r>
        <w:rPr>
          <w:spacing w:val="-2"/>
        </w:rPr>
        <w:t>Standard</w:t>
      </w:r>
    </w:p>
    <w:p>
      <w:pPr>
        <w:pStyle w:val="BodyText"/>
        <w:spacing w:before="51"/>
        <w:ind w:left="120" w:right="153"/>
        <w:jc w:val="both"/>
      </w:pPr>
      <w:r>
        <w:rPr/>
        <w:t>The HOME payment standard will be the Small Area Market Rent, annually established and published by the US Department of Housing and Urban Development.</w:t>
      </w:r>
    </w:p>
    <w:p>
      <w:pPr>
        <w:pStyle w:val="BodyText"/>
        <w:spacing w:before="7"/>
      </w:pPr>
    </w:p>
    <w:p>
      <w:pPr>
        <w:pStyle w:val="Heading5"/>
        <w:jc w:val="left"/>
      </w:pPr>
      <w:r>
        <w:rPr/>
        <w:t>Termination</w:t>
      </w:r>
      <w:r>
        <w:rPr>
          <w:spacing w:val="-6"/>
        </w:rPr>
        <w:t> </w:t>
      </w:r>
      <w:r>
        <w:rPr/>
        <w:t>of</w:t>
      </w:r>
      <w:r>
        <w:rPr>
          <w:spacing w:val="-5"/>
        </w:rPr>
        <w:t> </w:t>
      </w:r>
      <w:r>
        <w:rPr>
          <w:spacing w:val="-2"/>
        </w:rPr>
        <w:t>Assistance</w:t>
      </w:r>
    </w:p>
    <w:p>
      <w:pPr>
        <w:pStyle w:val="BodyText"/>
        <w:spacing w:before="49"/>
        <w:ind w:left="120"/>
      </w:pPr>
      <w:r>
        <w:rPr/>
        <w:t>HOME</w:t>
      </w:r>
      <w:r>
        <w:rPr>
          <w:spacing w:val="-8"/>
        </w:rPr>
        <w:t> </w:t>
      </w:r>
      <w:r>
        <w:rPr/>
        <w:t>assistance</w:t>
      </w:r>
      <w:r>
        <w:rPr>
          <w:spacing w:val="-8"/>
        </w:rPr>
        <w:t> </w:t>
      </w:r>
      <w:r>
        <w:rPr/>
        <w:t>may</w:t>
      </w:r>
      <w:r>
        <w:rPr>
          <w:spacing w:val="-3"/>
        </w:rPr>
        <w:t> </w:t>
      </w:r>
      <w:r>
        <w:rPr/>
        <w:t>be</w:t>
      </w:r>
      <w:r>
        <w:rPr>
          <w:spacing w:val="-3"/>
        </w:rPr>
        <w:t> </w:t>
      </w:r>
      <w:r>
        <w:rPr/>
        <w:t>terminated</w:t>
      </w:r>
      <w:r>
        <w:rPr>
          <w:spacing w:val="-6"/>
        </w:rPr>
        <w:t> </w:t>
      </w:r>
      <w:r>
        <w:rPr/>
        <w:t>if</w:t>
      </w:r>
      <w:r>
        <w:rPr>
          <w:spacing w:val="-4"/>
        </w:rPr>
        <w:t> </w:t>
      </w:r>
      <w:r>
        <w:rPr/>
        <w:t>the</w:t>
      </w:r>
      <w:r>
        <w:rPr>
          <w:spacing w:val="-6"/>
        </w:rPr>
        <w:t> </w:t>
      </w:r>
      <w:r>
        <w:rPr/>
        <w:t>following</w:t>
      </w:r>
      <w:r>
        <w:rPr>
          <w:spacing w:val="-3"/>
        </w:rPr>
        <w:t> </w:t>
      </w:r>
      <w:r>
        <w:rPr>
          <w:spacing w:val="-2"/>
        </w:rPr>
        <w:t>occurs:</w:t>
      </w:r>
    </w:p>
    <w:p>
      <w:pPr>
        <w:pStyle w:val="ListParagraph"/>
        <w:numPr>
          <w:ilvl w:val="0"/>
          <w:numId w:val="29"/>
        </w:numPr>
        <w:tabs>
          <w:tab w:pos="840" w:val="left" w:leader="none"/>
          <w:tab w:pos="841" w:val="left" w:leader="none"/>
        </w:tabs>
        <w:spacing w:line="269" w:lineRule="exact" w:before="1" w:after="0"/>
        <w:ind w:left="840" w:right="0" w:hanging="361"/>
        <w:jc w:val="left"/>
        <w:rPr>
          <w:sz w:val="22"/>
        </w:rPr>
      </w:pPr>
      <w:r>
        <w:rPr>
          <w:sz w:val="22"/>
        </w:rPr>
        <w:t>Household’s</w:t>
      </w:r>
      <w:r>
        <w:rPr>
          <w:spacing w:val="-7"/>
          <w:sz w:val="22"/>
        </w:rPr>
        <w:t> </w:t>
      </w:r>
      <w:r>
        <w:rPr>
          <w:sz w:val="22"/>
        </w:rPr>
        <w:t>income</w:t>
      </w:r>
      <w:r>
        <w:rPr>
          <w:spacing w:val="-6"/>
          <w:sz w:val="22"/>
        </w:rPr>
        <w:t> </w:t>
      </w:r>
      <w:r>
        <w:rPr>
          <w:sz w:val="22"/>
        </w:rPr>
        <w:t>exceeds</w:t>
      </w:r>
      <w:r>
        <w:rPr>
          <w:spacing w:val="-4"/>
          <w:sz w:val="22"/>
        </w:rPr>
        <w:t> </w:t>
      </w:r>
      <w:r>
        <w:rPr>
          <w:sz w:val="22"/>
        </w:rPr>
        <w:t>eighty</w:t>
      </w:r>
      <w:r>
        <w:rPr>
          <w:spacing w:val="-8"/>
          <w:sz w:val="22"/>
        </w:rPr>
        <w:t> </w:t>
      </w:r>
      <w:r>
        <w:rPr>
          <w:sz w:val="22"/>
        </w:rPr>
        <w:t>percent</w:t>
      </w:r>
      <w:r>
        <w:rPr>
          <w:spacing w:val="-6"/>
          <w:sz w:val="22"/>
        </w:rPr>
        <w:t> </w:t>
      </w:r>
      <w:r>
        <w:rPr>
          <w:sz w:val="22"/>
        </w:rPr>
        <w:t>(80%)</w:t>
      </w:r>
      <w:r>
        <w:rPr>
          <w:spacing w:val="-6"/>
          <w:sz w:val="22"/>
        </w:rPr>
        <w:t> </w:t>
      </w:r>
      <w:r>
        <w:rPr>
          <w:sz w:val="22"/>
        </w:rPr>
        <w:t>of</w:t>
      </w:r>
      <w:r>
        <w:rPr>
          <w:spacing w:val="-7"/>
          <w:sz w:val="22"/>
        </w:rPr>
        <w:t> </w:t>
      </w:r>
      <w:r>
        <w:rPr>
          <w:sz w:val="22"/>
        </w:rPr>
        <w:t>Area</w:t>
      </w:r>
      <w:r>
        <w:rPr>
          <w:spacing w:val="-7"/>
          <w:sz w:val="22"/>
        </w:rPr>
        <w:t> </w:t>
      </w:r>
      <w:r>
        <w:rPr>
          <w:sz w:val="22"/>
        </w:rPr>
        <w:t>Median</w:t>
      </w:r>
      <w:r>
        <w:rPr>
          <w:spacing w:val="-7"/>
          <w:sz w:val="22"/>
        </w:rPr>
        <w:t> </w:t>
      </w:r>
      <w:r>
        <w:rPr>
          <w:spacing w:val="-2"/>
          <w:sz w:val="22"/>
        </w:rPr>
        <w:t>Income;</w:t>
      </w:r>
    </w:p>
    <w:p>
      <w:pPr>
        <w:pStyle w:val="ListParagraph"/>
        <w:numPr>
          <w:ilvl w:val="0"/>
          <w:numId w:val="29"/>
        </w:numPr>
        <w:tabs>
          <w:tab w:pos="840" w:val="left" w:leader="none"/>
          <w:tab w:pos="841" w:val="left" w:leader="none"/>
        </w:tabs>
        <w:spacing w:line="268" w:lineRule="exact" w:before="0" w:after="0"/>
        <w:ind w:left="840" w:right="0" w:hanging="361"/>
        <w:jc w:val="left"/>
        <w:rPr>
          <w:sz w:val="22"/>
        </w:rPr>
      </w:pPr>
      <w:r>
        <w:rPr>
          <w:sz w:val="22"/>
        </w:rPr>
        <w:t>Household</w:t>
      </w:r>
      <w:r>
        <w:rPr>
          <w:spacing w:val="-5"/>
          <w:sz w:val="22"/>
        </w:rPr>
        <w:t> </w:t>
      </w:r>
      <w:r>
        <w:rPr>
          <w:sz w:val="22"/>
        </w:rPr>
        <w:t>is</w:t>
      </w:r>
      <w:r>
        <w:rPr>
          <w:spacing w:val="-3"/>
          <w:sz w:val="22"/>
        </w:rPr>
        <w:t> </w:t>
      </w:r>
      <w:r>
        <w:rPr>
          <w:sz w:val="22"/>
        </w:rPr>
        <w:t>evicted</w:t>
      </w:r>
      <w:r>
        <w:rPr>
          <w:spacing w:val="-6"/>
          <w:sz w:val="22"/>
        </w:rPr>
        <w:t> </w:t>
      </w:r>
      <w:r>
        <w:rPr>
          <w:sz w:val="22"/>
        </w:rPr>
        <w:t>from</w:t>
      </w:r>
      <w:r>
        <w:rPr>
          <w:spacing w:val="-6"/>
          <w:sz w:val="22"/>
        </w:rPr>
        <w:t> </w:t>
      </w:r>
      <w:r>
        <w:rPr>
          <w:sz w:val="22"/>
        </w:rPr>
        <w:t>the</w:t>
      </w:r>
      <w:r>
        <w:rPr>
          <w:spacing w:val="-4"/>
          <w:sz w:val="22"/>
        </w:rPr>
        <w:t> </w:t>
      </w:r>
      <w:r>
        <w:rPr>
          <w:sz w:val="22"/>
        </w:rPr>
        <w:t>approved</w:t>
      </w:r>
      <w:r>
        <w:rPr>
          <w:spacing w:val="-6"/>
          <w:sz w:val="22"/>
        </w:rPr>
        <w:t> </w:t>
      </w:r>
      <w:r>
        <w:rPr>
          <w:sz w:val="22"/>
        </w:rPr>
        <w:t>unit</w:t>
      </w:r>
      <w:r>
        <w:rPr>
          <w:spacing w:val="-3"/>
          <w:sz w:val="22"/>
        </w:rPr>
        <w:t> </w:t>
      </w:r>
      <w:r>
        <w:rPr>
          <w:sz w:val="22"/>
        </w:rPr>
        <w:t>by</w:t>
      </w:r>
      <w:r>
        <w:rPr>
          <w:spacing w:val="-6"/>
          <w:sz w:val="22"/>
        </w:rPr>
        <w:t> </w:t>
      </w:r>
      <w:r>
        <w:rPr>
          <w:sz w:val="22"/>
        </w:rPr>
        <w:t>owner</w:t>
      </w:r>
      <w:r>
        <w:rPr>
          <w:spacing w:val="-2"/>
          <w:sz w:val="22"/>
        </w:rPr>
        <w:t> </w:t>
      </w:r>
      <w:r>
        <w:rPr>
          <w:sz w:val="22"/>
        </w:rPr>
        <w:t>for</w:t>
      </w:r>
      <w:r>
        <w:rPr>
          <w:spacing w:val="-5"/>
          <w:sz w:val="22"/>
        </w:rPr>
        <w:t> </w:t>
      </w:r>
      <w:r>
        <w:rPr>
          <w:spacing w:val="-2"/>
          <w:sz w:val="22"/>
        </w:rPr>
        <w:t>cause;</w:t>
      </w:r>
    </w:p>
    <w:p>
      <w:pPr>
        <w:pStyle w:val="ListParagraph"/>
        <w:numPr>
          <w:ilvl w:val="0"/>
          <w:numId w:val="29"/>
        </w:numPr>
        <w:tabs>
          <w:tab w:pos="840" w:val="left" w:leader="none"/>
          <w:tab w:pos="841" w:val="left" w:leader="none"/>
        </w:tabs>
        <w:spacing w:line="237" w:lineRule="auto" w:before="1" w:after="0"/>
        <w:ind w:left="840" w:right="157" w:hanging="361"/>
        <w:jc w:val="left"/>
        <w:rPr>
          <w:sz w:val="22"/>
        </w:rPr>
      </w:pPr>
      <w:r>
        <w:rPr>
          <w:sz w:val="22"/>
        </w:rPr>
        <w:t>After receipt of two official notices requesting cooperation in the re-certification process, the household is unresponsive and uncooperative.</w:t>
      </w:r>
    </w:p>
    <w:p>
      <w:pPr>
        <w:pStyle w:val="BodyText"/>
      </w:pPr>
    </w:p>
    <w:p>
      <w:pPr>
        <w:pStyle w:val="BodyText"/>
        <w:spacing w:before="1"/>
        <w:ind w:left="120"/>
      </w:pPr>
      <w:r>
        <w:rPr/>
        <w:t>In</w:t>
      </w:r>
      <w:r>
        <w:rPr>
          <w:spacing w:val="33"/>
        </w:rPr>
        <w:t> </w:t>
      </w:r>
      <w:r>
        <w:rPr/>
        <w:t>all</w:t>
      </w:r>
      <w:r>
        <w:rPr>
          <w:spacing w:val="32"/>
        </w:rPr>
        <w:t> </w:t>
      </w:r>
      <w:r>
        <w:rPr/>
        <w:t>cases</w:t>
      </w:r>
      <w:r>
        <w:rPr>
          <w:spacing w:val="33"/>
        </w:rPr>
        <w:t> </w:t>
      </w:r>
      <w:r>
        <w:rPr/>
        <w:t>above,</w:t>
      </w:r>
      <w:r>
        <w:rPr>
          <w:spacing w:val="32"/>
        </w:rPr>
        <w:t> </w:t>
      </w:r>
      <w:r>
        <w:rPr/>
        <w:t>thirty</w:t>
      </w:r>
      <w:r>
        <w:rPr>
          <w:spacing w:val="33"/>
        </w:rPr>
        <w:t> </w:t>
      </w:r>
      <w:r>
        <w:rPr/>
        <w:t>days’</w:t>
      </w:r>
      <w:r>
        <w:rPr>
          <w:spacing w:val="32"/>
        </w:rPr>
        <w:t> </w:t>
      </w:r>
      <w:r>
        <w:rPr/>
        <w:t>notice</w:t>
      </w:r>
      <w:r>
        <w:rPr>
          <w:spacing w:val="33"/>
        </w:rPr>
        <w:t> </w:t>
      </w:r>
      <w:r>
        <w:rPr/>
        <w:t>of</w:t>
      </w:r>
      <w:r>
        <w:rPr>
          <w:spacing w:val="32"/>
        </w:rPr>
        <w:t> </w:t>
      </w:r>
      <w:r>
        <w:rPr/>
        <w:t>the</w:t>
      </w:r>
      <w:r>
        <w:rPr>
          <w:spacing w:val="30"/>
        </w:rPr>
        <w:t> </w:t>
      </w:r>
      <w:r>
        <w:rPr/>
        <w:t>termination</w:t>
      </w:r>
      <w:r>
        <w:rPr>
          <w:spacing w:val="33"/>
        </w:rPr>
        <w:t> </w:t>
      </w:r>
      <w:r>
        <w:rPr/>
        <w:t>must</w:t>
      </w:r>
      <w:r>
        <w:rPr>
          <w:spacing w:val="34"/>
        </w:rPr>
        <w:t> </w:t>
      </w:r>
      <w:r>
        <w:rPr/>
        <w:t>be</w:t>
      </w:r>
      <w:r>
        <w:rPr>
          <w:spacing w:val="33"/>
        </w:rPr>
        <w:t> </w:t>
      </w:r>
      <w:r>
        <w:rPr/>
        <w:t>provided</w:t>
      </w:r>
      <w:r>
        <w:rPr>
          <w:spacing w:val="33"/>
        </w:rPr>
        <w:t> </w:t>
      </w:r>
      <w:r>
        <w:rPr/>
        <w:t>to</w:t>
      </w:r>
      <w:r>
        <w:rPr>
          <w:spacing w:val="33"/>
        </w:rPr>
        <w:t> </w:t>
      </w:r>
      <w:r>
        <w:rPr/>
        <w:t>the</w:t>
      </w:r>
      <w:r>
        <w:rPr>
          <w:spacing w:val="30"/>
        </w:rPr>
        <w:t> </w:t>
      </w:r>
      <w:r>
        <w:rPr/>
        <w:t>tenant</w:t>
      </w:r>
      <w:r>
        <w:rPr>
          <w:spacing w:val="32"/>
        </w:rPr>
        <w:t> </w:t>
      </w:r>
      <w:r>
        <w:rPr/>
        <w:t>and </w:t>
      </w:r>
      <w:r>
        <w:rPr>
          <w:spacing w:val="-2"/>
        </w:rPr>
        <w:t>landlord.</w:t>
      </w:r>
    </w:p>
    <w:p>
      <w:pPr>
        <w:spacing w:after="0"/>
        <w:sectPr>
          <w:pgSz w:w="12240" w:h="15840"/>
          <w:pgMar w:header="0" w:footer="1176" w:top="1620" w:bottom="1420" w:left="1320" w:right="1280"/>
        </w:sectPr>
      </w:pPr>
    </w:p>
    <w:p>
      <w:pPr>
        <w:pStyle w:val="Heading3"/>
        <w:jc w:val="both"/>
      </w:pPr>
      <w:bookmarkStart w:name="Neighborhood Empowerment Zones" w:id="94"/>
      <w:bookmarkEnd w:id="94"/>
      <w:r>
        <w:rPr/>
      </w:r>
      <w:bookmarkStart w:name="_bookmark41" w:id="95"/>
      <w:bookmarkEnd w:id="95"/>
      <w:r>
        <w:rPr/>
      </w:r>
      <w:r>
        <w:rPr>
          <w:color w:val="001F5F"/>
          <w:spacing w:val="-2"/>
        </w:rPr>
        <w:t>Neighborhood Empowerment Zones</w:t>
      </w:r>
    </w:p>
    <w:p>
      <w:pPr>
        <w:pStyle w:val="BodyText"/>
        <w:spacing w:before="28"/>
        <w:ind w:left="120"/>
        <w:jc w:val="both"/>
      </w:pPr>
      <w:r>
        <w:rPr/>
        <w:t>Approved</w:t>
      </w:r>
      <w:r>
        <w:rPr>
          <w:spacing w:val="-6"/>
        </w:rPr>
        <w:t> </w:t>
      </w:r>
      <w:r>
        <w:rPr/>
        <w:t>January</w:t>
      </w:r>
      <w:r>
        <w:rPr>
          <w:spacing w:val="-7"/>
        </w:rPr>
        <w:t> </w:t>
      </w:r>
      <w:r>
        <w:rPr/>
        <w:t>22,</w:t>
      </w:r>
      <w:r>
        <w:rPr>
          <w:spacing w:val="-6"/>
        </w:rPr>
        <w:t> </w:t>
      </w:r>
      <w:r>
        <w:rPr/>
        <w:t>2020</w:t>
      </w:r>
      <w:r>
        <w:rPr>
          <w:spacing w:val="-5"/>
        </w:rPr>
        <w:t> </w:t>
      </w:r>
      <w:r>
        <w:rPr/>
        <w:t>by</w:t>
      </w:r>
      <w:r>
        <w:rPr>
          <w:spacing w:val="-4"/>
        </w:rPr>
        <w:t> </w:t>
      </w:r>
      <w:r>
        <w:rPr/>
        <w:t>Resolution</w:t>
      </w:r>
      <w:r>
        <w:rPr>
          <w:spacing w:val="-7"/>
        </w:rPr>
        <w:t> </w:t>
      </w:r>
      <w:r>
        <w:rPr/>
        <w:t>No</w:t>
      </w:r>
      <w:r>
        <w:rPr>
          <w:spacing w:val="-5"/>
        </w:rPr>
        <w:t> </w:t>
      </w:r>
      <w:r>
        <w:rPr/>
        <w:t>20-</w:t>
      </w:r>
      <w:r>
        <w:rPr>
          <w:spacing w:val="-4"/>
        </w:rPr>
        <w:t>0188</w:t>
      </w:r>
    </w:p>
    <w:p>
      <w:pPr>
        <w:pStyle w:val="BodyText"/>
      </w:pPr>
    </w:p>
    <w:p>
      <w:pPr>
        <w:pStyle w:val="BodyText"/>
        <w:ind w:left="120" w:right="156"/>
        <w:jc w:val="both"/>
      </w:pPr>
      <w:r>
        <w:rPr/>
        <w:pict>
          <v:shape style="position:absolute;margin-left:90.065002pt;margin-top:69.344147pt;width:395.3pt;height:419pt;mso-position-horizontal-relative:page;mso-position-vertical-relative:paragraph;z-index:-17673728" id="docshape139" coordorigin="1801,1387" coordsize="7906,8380" path="m4498,8651l4492,8577,4477,8499,4455,8416,4432,8347,4403,8275,4367,8200,4325,8122,4276,8041,4237,7982,4200,7932,4200,8617,4197,8674,4186,8730,4167,8788,4138,8848,4097,8910,4044,8976,3979,9046,3674,9351,2216,7894,2517,7593,2598,7517,2672,7457,2740,7413,2801,7387,2868,7372,2941,7368,3020,7375,3105,7393,3195,7422,3255,7448,3317,7480,3380,7518,3446,7563,3514,7615,3584,7673,3656,7738,3729,7809,3789,7871,3845,7931,3896,7990,3943,8048,3986,8104,4025,8160,4059,8214,4101,8288,4136,8360,4163,8430,4183,8497,4196,8561,4200,8617,4200,7932,4194,7923,4148,7863,4098,7802,4045,7741,3989,7680,3929,7618,3865,7556,3801,7497,3737,7442,3673,7391,3643,7368,3609,7343,3546,7298,3482,7257,3419,7219,3346,7182,3274,7149,3203,7122,3132,7100,3062,7083,2992,7071,2923,7064,2850,7062,2779,7069,2709,7084,2642,7107,2577,7137,2528,7165,2476,7202,2420,7248,2359,7302,2294,7365,1801,7858,3710,9766,4124,9351,4226,9249,4287,9184,4341,9119,4386,9053,4424,8986,4454,8920,4476,8854,4491,8787,4498,8719,4498,8651xm6418,7057l6056,6930,5650,6787,5561,6758,5475,6734,5393,6715,5365,6710,5314,6700,5239,6690,5193,6689,5143,6692,5089,6699,5030,6710,5073,6640,5109,6570,5136,6501,5154,6432,5164,6364,5165,6296,5157,6228,5139,6150,5111,6074,5075,5999,5030,5926,4976,5856,4956,5833,4913,5787,4872,5749,4872,6306,4868,6362,4854,6417,4830,6473,4794,6531,4747,6592,4687,6656,4280,7063,3649,6432,4102,5979,4166,5922,4229,5879,4293,5849,4358,5834,4422,5833,4501,5848,4577,5878,4649,5923,4718,5982,4761,6030,4797,6081,4827,6134,4851,6191,4867,6249,4872,6306,4872,5749,4849,5727,4782,5675,4713,5630,4641,5591,4566,5559,4474,5531,4386,5518,4303,5520,4225,5536,4163,5561,4098,5597,4030,5645,3958,5705,3883,5776,3248,6411,5157,8319,5346,8129,4499,7282,4718,7063,4753,7029,4783,7001,4810,6980,4833,6966,4863,6952,4896,6942,4932,6934,4971,6930,5014,6930,5066,6935,5125,6945,5194,6962,5256,6979,5328,7000,5407,7025,5496,7054,6180,7296,6418,7057xm7780,5695l7415,5500,6555,5046,6555,5353,6070,5838,6030,5767,5989,5695,5748,5264,5708,5193,5668,5121,5629,5056,5590,4991,5550,4927,5509,4864,5467,4802,5424,4740,5380,4680,5436,4715,5498,4753,5564,4793,5635,4835,5792,4926,6555,5353,6555,5046,5862,4680,5286,4373,5082,4577,5277,4927,5316,4998,5701,5695,6207,6614,6441,7035,6642,6834,6565,6700,6298,6232,6221,6099,6481,5838,6820,5500,7173,5695,7565,5911,7780,5695xm8131,5345l7264,4478,7936,3806,7711,3581,7039,4253,6448,3662,7224,2885,6999,2660,6033,3626,7941,5534,8131,5345xm9707,3769l8024,2086,8497,1612,8272,1387,7138,2521,7363,2747,7834,2275,9517,3958,9707,3769xe" filled="true" fillcolor="#c0c0c0" stroked="false">
            <v:path arrowok="t"/>
            <v:fill opacity="32896f" type="solid"/>
            <w10:wrap type="none"/>
          </v:shape>
        </w:pict>
      </w:r>
      <w:r>
        <w:rPr/>
        <w:t>The City’s Residential Neighborhood Empowerment Zone Program (Program) outlines the guidelines</w:t>
      </w:r>
      <w:r>
        <w:rPr>
          <w:spacing w:val="-7"/>
        </w:rPr>
        <w:t> </w:t>
      </w:r>
      <w:r>
        <w:rPr/>
        <w:t>and</w:t>
      </w:r>
      <w:r>
        <w:rPr>
          <w:spacing w:val="-7"/>
        </w:rPr>
        <w:t> </w:t>
      </w:r>
      <w:r>
        <w:rPr/>
        <w:t>criteria</w:t>
      </w:r>
      <w:r>
        <w:rPr>
          <w:spacing w:val="-10"/>
        </w:rPr>
        <w:t> </w:t>
      </w:r>
      <w:r>
        <w:rPr/>
        <w:t>for</w:t>
      </w:r>
      <w:r>
        <w:rPr>
          <w:spacing w:val="-9"/>
        </w:rPr>
        <w:t> </w:t>
      </w:r>
      <w:r>
        <w:rPr/>
        <w:t>tax</w:t>
      </w:r>
      <w:r>
        <w:rPr>
          <w:spacing w:val="-9"/>
        </w:rPr>
        <w:t> </w:t>
      </w:r>
      <w:r>
        <w:rPr/>
        <w:t>abatements</w:t>
      </w:r>
      <w:r>
        <w:rPr>
          <w:spacing w:val="-9"/>
        </w:rPr>
        <w:t> </w:t>
      </w:r>
      <w:r>
        <w:rPr/>
        <w:t>and</w:t>
      </w:r>
      <w:r>
        <w:rPr>
          <w:spacing w:val="-10"/>
        </w:rPr>
        <w:t> </w:t>
      </w:r>
      <w:r>
        <w:rPr/>
        <w:t>economic</w:t>
      </w:r>
      <w:r>
        <w:rPr>
          <w:spacing w:val="-7"/>
        </w:rPr>
        <w:t> </w:t>
      </w:r>
      <w:r>
        <w:rPr/>
        <w:t>development</w:t>
      </w:r>
      <w:r>
        <w:rPr>
          <w:spacing w:val="-8"/>
        </w:rPr>
        <w:t> </w:t>
      </w:r>
      <w:r>
        <w:rPr/>
        <w:t>grants</w:t>
      </w:r>
      <w:r>
        <w:rPr>
          <w:spacing w:val="-7"/>
        </w:rPr>
        <w:t> </w:t>
      </w:r>
      <w:r>
        <w:rPr/>
        <w:t>in</w:t>
      </w:r>
      <w:r>
        <w:rPr>
          <w:spacing w:val="-10"/>
        </w:rPr>
        <w:t> </w:t>
      </w:r>
      <w:r>
        <w:rPr/>
        <w:t>amounts</w:t>
      </w:r>
      <w:r>
        <w:rPr>
          <w:spacing w:val="-9"/>
        </w:rPr>
        <w:t> </w:t>
      </w:r>
      <w:r>
        <w:rPr/>
        <w:t>equal</w:t>
      </w:r>
      <w:r>
        <w:rPr>
          <w:spacing w:val="-10"/>
        </w:rPr>
        <w:t> </w:t>
      </w:r>
      <w:r>
        <w:rPr/>
        <w:t>to development fees and certain development-related costs to be provided for certain housing projects to be developed within designated Neighborhood Empowerment Zones in the City. Eligible projects may include: (1) development of new affordable housing units on previously vacant land, (2) repair of certain owner-occupied housing units, and (3) repair and rehabilitation of single family and duplex rental units, all in accordance with the Program.</w:t>
      </w:r>
    </w:p>
    <w:p>
      <w:pPr>
        <w:pStyle w:val="BodyText"/>
        <w:spacing w:before="1"/>
      </w:pPr>
    </w:p>
    <w:p>
      <w:pPr>
        <w:pStyle w:val="BodyText"/>
        <w:ind w:left="120" w:right="156"/>
        <w:jc w:val="both"/>
      </w:pPr>
      <w:r>
        <w:rPr/>
        <w:t>The</w:t>
      </w:r>
      <w:r>
        <w:rPr>
          <w:spacing w:val="-5"/>
        </w:rPr>
        <w:t> </w:t>
      </w:r>
      <w:r>
        <w:rPr/>
        <w:t>Program</w:t>
      </w:r>
      <w:r>
        <w:rPr>
          <w:spacing w:val="-4"/>
        </w:rPr>
        <w:t> </w:t>
      </w:r>
      <w:r>
        <w:rPr/>
        <w:t>promotes</w:t>
      </w:r>
      <w:r>
        <w:rPr>
          <w:spacing w:val="-5"/>
        </w:rPr>
        <w:t> </w:t>
      </w:r>
      <w:r>
        <w:rPr/>
        <w:t>economic</w:t>
      </w:r>
      <w:r>
        <w:rPr>
          <w:spacing w:val="-5"/>
        </w:rPr>
        <w:t> </w:t>
      </w:r>
      <w:r>
        <w:rPr/>
        <w:t>development</w:t>
      </w:r>
      <w:r>
        <w:rPr>
          <w:spacing w:val="-3"/>
        </w:rPr>
        <w:t> </w:t>
      </w:r>
      <w:r>
        <w:rPr/>
        <w:t>by</w:t>
      </w:r>
      <w:r>
        <w:rPr>
          <w:spacing w:val="-7"/>
        </w:rPr>
        <w:t> </w:t>
      </w:r>
      <w:r>
        <w:rPr/>
        <w:t>incentivizing</w:t>
      </w:r>
      <w:r>
        <w:rPr>
          <w:spacing w:val="-5"/>
        </w:rPr>
        <w:t> </w:t>
      </w:r>
      <w:r>
        <w:rPr/>
        <w:t>developers</w:t>
      </w:r>
      <w:r>
        <w:rPr>
          <w:spacing w:val="-7"/>
        </w:rPr>
        <w:t> </w:t>
      </w:r>
      <w:r>
        <w:rPr/>
        <w:t>to</w:t>
      </w:r>
      <w:r>
        <w:rPr>
          <w:spacing w:val="-5"/>
        </w:rPr>
        <w:t> </w:t>
      </w:r>
      <w:r>
        <w:rPr/>
        <w:t>build</w:t>
      </w:r>
      <w:r>
        <w:rPr>
          <w:spacing w:val="-5"/>
        </w:rPr>
        <w:t> </w:t>
      </w:r>
      <w:r>
        <w:rPr/>
        <w:t>housing</w:t>
      </w:r>
      <w:r>
        <w:rPr>
          <w:spacing w:val="-5"/>
        </w:rPr>
        <w:t> </w:t>
      </w:r>
      <w:r>
        <w:rPr/>
        <w:t>for</w:t>
      </w:r>
      <w:r>
        <w:rPr>
          <w:spacing w:val="-6"/>
        </w:rPr>
        <w:t> </w:t>
      </w:r>
      <w:r>
        <w:rPr/>
        <w:t>a wide</w:t>
      </w:r>
      <w:r>
        <w:rPr>
          <w:spacing w:val="-7"/>
        </w:rPr>
        <w:t> </w:t>
      </w:r>
      <w:r>
        <w:rPr/>
        <w:t>variety</w:t>
      </w:r>
      <w:r>
        <w:rPr>
          <w:spacing w:val="-9"/>
        </w:rPr>
        <w:t> </w:t>
      </w:r>
      <w:r>
        <w:rPr/>
        <w:t>of</w:t>
      </w:r>
      <w:r>
        <w:rPr>
          <w:spacing w:val="-8"/>
        </w:rPr>
        <w:t> </w:t>
      </w:r>
      <w:r>
        <w:rPr/>
        <w:t>incomes</w:t>
      </w:r>
      <w:r>
        <w:rPr>
          <w:spacing w:val="-9"/>
        </w:rPr>
        <w:t> </w:t>
      </w:r>
      <w:r>
        <w:rPr/>
        <w:t>and</w:t>
      </w:r>
      <w:r>
        <w:rPr>
          <w:spacing w:val="-10"/>
        </w:rPr>
        <w:t> </w:t>
      </w:r>
      <w:r>
        <w:rPr/>
        <w:t>to</w:t>
      </w:r>
      <w:r>
        <w:rPr>
          <w:spacing w:val="-7"/>
        </w:rPr>
        <w:t> </w:t>
      </w:r>
      <w:r>
        <w:rPr/>
        <w:t>develop</w:t>
      </w:r>
      <w:r>
        <w:rPr>
          <w:spacing w:val="-7"/>
        </w:rPr>
        <w:t> </w:t>
      </w:r>
      <w:r>
        <w:rPr/>
        <w:t>high-quality</w:t>
      </w:r>
      <w:r>
        <w:rPr>
          <w:spacing w:val="-7"/>
        </w:rPr>
        <w:t> </w:t>
      </w:r>
      <w:r>
        <w:rPr/>
        <w:t>housing</w:t>
      </w:r>
      <w:r>
        <w:rPr>
          <w:spacing w:val="-10"/>
        </w:rPr>
        <w:t> </w:t>
      </w:r>
      <w:r>
        <w:rPr/>
        <w:t>near</w:t>
      </w:r>
      <w:r>
        <w:rPr>
          <w:spacing w:val="-11"/>
        </w:rPr>
        <w:t> </w:t>
      </w:r>
      <w:r>
        <w:rPr/>
        <w:t>stabilization</w:t>
      </w:r>
      <w:r>
        <w:rPr>
          <w:spacing w:val="-7"/>
        </w:rPr>
        <w:t> </w:t>
      </w:r>
      <w:r>
        <w:rPr/>
        <w:t>areas</w:t>
      </w:r>
      <w:r>
        <w:rPr>
          <w:spacing w:val="-9"/>
        </w:rPr>
        <w:t> </w:t>
      </w:r>
      <w:r>
        <w:rPr/>
        <w:t>as</w:t>
      </w:r>
      <w:r>
        <w:rPr>
          <w:spacing w:val="-9"/>
        </w:rPr>
        <w:t> </w:t>
      </w:r>
      <w:r>
        <w:rPr/>
        <w:t>defined</w:t>
      </w:r>
      <w:r>
        <w:rPr>
          <w:spacing w:val="-10"/>
        </w:rPr>
        <w:t> </w:t>
      </w:r>
      <w:r>
        <w:rPr/>
        <w:t>in the City’s Comprehensive Housing Policy. Existing homes in these proposed NEZ districts are affected</w:t>
      </w:r>
      <w:r>
        <w:rPr>
          <w:spacing w:val="-8"/>
        </w:rPr>
        <w:t> </w:t>
      </w:r>
      <w:r>
        <w:rPr/>
        <w:t>by</w:t>
      </w:r>
      <w:r>
        <w:rPr>
          <w:spacing w:val="-9"/>
        </w:rPr>
        <w:t> </w:t>
      </w:r>
      <w:r>
        <w:rPr/>
        <w:t>the</w:t>
      </w:r>
      <w:r>
        <w:rPr>
          <w:spacing w:val="-8"/>
        </w:rPr>
        <w:t> </w:t>
      </w:r>
      <w:r>
        <w:rPr/>
        <w:t>negative</w:t>
      </w:r>
      <w:r>
        <w:rPr>
          <w:spacing w:val="-10"/>
        </w:rPr>
        <w:t> </w:t>
      </w:r>
      <w:r>
        <w:rPr/>
        <w:t>economic</w:t>
      </w:r>
      <w:r>
        <w:rPr>
          <w:spacing w:val="-8"/>
        </w:rPr>
        <w:t> </w:t>
      </w:r>
      <w:r>
        <w:rPr/>
        <w:t>impacts</w:t>
      </w:r>
      <w:r>
        <w:rPr>
          <w:spacing w:val="-9"/>
        </w:rPr>
        <w:t> </w:t>
      </w:r>
      <w:r>
        <w:rPr/>
        <w:t>of</w:t>
      </w:r>
      <w:r>
        <w:rPr>
          <w:spacing w:val="-9"/>
        </w:rPr>
        <w:t> </w:t>
      </w:r>
      <w:r>
        <w:rPr/>
        <w:t>deteriorating</w:t>
      </w:r>
      <w:r>
        <w:rPr>
          <w:spacing w:val="-8"/>
        </w:rPr>
        <w:t> </w:t>
      </w:r>
      <w:r>
        <w:rPr/>
        <w:t>structures</w:t>
      </w:r>
      <w:r>
        <w:rPr>
          <w:spacing w:val="-8"/>
        </w:rPr>
        <w:t> </w:t>
      </w:r>
      <w:r>
        <w:rPr/>
        <w:t>while</w:t>
      </w:r>
      <w:r>
        <w:rPr>
          <w:spacing w:val="-8"/>
        </w:rPr>
        <w:t> </w:t>
      </w:r>
      <w:r>
        <w:rPr/>
        <w:t>also</w:t>
      </w:r>
      <w:r>
        <w:rPr>
          <w:spacing w:val="-8"/>
        </w:rPr>
        <w:t> </w:t>
      </w:r>
      <w:r>
        <w:rPr/>
        <w:t>being</w:t>
      </w:r>
      <w:r>
        <w:rPr>
          <w:spacing w:val="-8"/>
        </w:rPr>
        <w:t> </w:t>
      </w:r>
      <w:r>
        <w:rPr/>
        <w:t>vulnerable to new high-income development and experiencing escalating taxable values. Concern about increased taxable value can deter a property owner from investing in a property and can create affordability issues for families.</w:t>
      </w:r>
    </w:p>
    <w:p>
      <w:pPr>
        <w:pStyle w:val="BodyText"/>
        <w:spacing w:before="11"/>
        <w:rPr>
          <w:sz w:val="21"/>
        </w:rPr>
      </w:pPr>
    </w:p>
    <w:p>
      <w:pPr>
        <w:pStyle w:val="BodyText"/>
        <w:ind w:left="120" w:right="157"/>
        <w:jc w:val="both"/>
      </w:pPr>
      <w:r>
        <w:rPr/>
        <w:t>The proposed tax abatement provides needed relief for these vulnerable families while encouraging additional investment. The Program further addresses the three broad goals of the comprehensive housing policy: (1) to create and maintain affordable housing units throughout Dallas, (2) to promote greater fair housing choices and (3) to overcome patterns of segregation and concentrations of poverty through incentives and requirements.</w:t>
      </w:r>
    </w:p>
    <w:p>
      <w:pPr>
        <w:pStyle w:val="BodyText"/>
        <w:spacing w:before="10"/>
        <w:rPr>
          <w:sz w:val="21"/>
        </w:rPr>
      </w:pPr>
    </w:p>
    <w:p>
      <w:pPr>
        <w:pStyle w:val="BodyText"/>
        <w:ind w:left="120" w:right="155"/>
        <w:jc w:val="both"/>
      </w:pPr>
      <w:r>
        <w:rPr/>
        <w:t>The Program is created pursuant to the Neighborhood Empowerment Zone (NEZ) provisions in Chapter 378 of the Texas Local Government Code (Chapter 378). Chapter 378 allows cities to create NEZs to promote the creation and rehabilitation of affordable housing; an increase in economic development; and an increase of the quality of social services, education, or public safety provided to</w:t>
      </w:r>
      <w:r>
        <w:rPr>
          <w:spacing w:val="-2"/>
        </w:rPr>
        <w:t> </w:t>
      </w:r>
      <w:r>
        <w:rPr/>
        <w:t>residents of the NEZ. In addition to the creation</w:t>
      </w:r>
      <w:r>
        <w:rPr>
          <w:spacing w:val="-2"/>
        </w:rPr>
        <w:t> </w:t>
      </w:r>
      <w:r>
        <w:rPr/>
        <w:t>requirements in Chapter 378, proposed NEZs must meet certain distress criteria for designation of a reinvestment zone pursuant</w:t>
      </w:r>
      <w:r>
        <w:rPr>
          <w:spacing w:val="-16"/>
        </w:rPr>
        <w:t> </w:t>
      </w:r>
      <w:r>
        <w:rPr/>
        <w:t>to</w:t>
      </w:r>
      <w:r>
        <w:rPr>
          <w:spacing w:val="-15"/>
        </w:rPr>
        <w:t> </w:t>
      </w:r>
      <w:r>
        <w:rPr/>
        <w:t>Section</w:t>
      </w:r>
      <w:r>
        <w:rPr>
          <w:spacing w:val="-15"/>
        </w:rPr>
        <w:t> </w:t>
      </w:r>
      <w:r>
        <w:rPr/>
        <w:t>312.202</w:t>
      </w:r>
      <w:r>
        <w:rPr>
          <w:spacing w:val="-15"/>
        </w:rPr>
        <w:t> </w:t>
      </w:r>
      <w:r>
        <w:rPr/>
        <w:t>of</w:t>
      </w:r>
      <w:r>
        <w:rPr>
          <w:spacing w:val="-15"/>
        </w:rPr>
        <w:t> </w:t>
      </w:r>
      <w:r>
        <w:rPr/>
        <w:t>the</w:t>
      </w:r>
      <w:r>
        <w:rPr>
          <w:spacing w:val="-16"/>
        </w:rPr>
        <w:t> </w:t>
      </w:r>
      <w:r>
        <w:rPr/>
        <w:t>Tax</w:t>
      </w:r>
      <w:r>
        <w:rPr>
          <w:spacing w:val="-13"/>
        </w:rPr>
        <w:t> </w:t>
      </w:r>
      <w:r>
        <w:rPr/>
        <w:t>Code,</w:t>
      </w:r>
      <w:r>
        <w:rPr>
          <w:spacing w:val="-12"/>
        </w:rPr>
        <w:t> </w:t>
      </w:r>
      <w:r>
        <w:rPr/>
        <w:t>including</w:t>
      </w:r>
      <w:r>
        <w:rPr>
          <w:spacing w:val="-14"/>
        </w:rPr>
        <w:t> </w:t>
      </w:r>
      <w:r>
        <w:rPr/>
        <w:t>findings</w:t>
      </w:r>
      <w:r>
        <w:rPr>
          <w:spacing w:val="-13"/>
        </w:rPr>
        <w:t> </w:t>
      </w:r>
      <w:r>
        <w:rPr/>
        <w:t>that</w:t>
      </w:r>
      <w:r>
        <w:rPr>
          <w:spacing w:val="-15"/>
        </w:rPr>
        <w:t> </w:t>
      </w:r>
      <w:r>
        <w:rPr/>
        <w:t>the</w:t>
      </w:r>
      <w:r>
        <w:rPr>
          <w:spacing w:val="-14"/>
        </w:rPr>
        <w:t> </w:t>
      </w:r>
      <w:r>
        <w:rPr/>
        <w:t>NEZ</w:t>
      </w:r>
      <w:r>
        <w:rPr>
          <w:spacing w:val="-14"/>
        </w:rPr>
        <w:t> </w:t>
      </w:r>
      <w:r>
        <w:rPr/>
        <w:t>retards</w:t>
      </w:r>
      <w:r>
        <w:rPr>
          <w:spacing w:val="-16"/>
        </w:rPr>
        <w:t> </w:t>
      </w:r>
      <w:r>
        <w:rPr/>
        <w:t>the</w:t>
      </w:r>
      <w:r>
        <w:rPr>
          <w:spacing w:val="-15"/>
        </w:rPr>
        <w:t> </w:t>
      </w:r>
      <w:r>
        <w:rPr/>
        <w:t>provision of housing accommodations in its present</w:t>
      </w:r>
      <w:r>
        <w:rPr>
          <w:spacing w:val="-1"/>
        </w:rPr>
        <w:t> </w:t>
      </w:r>
      <w:r>
        <w:rPr/>
        <w:t>condition and use because of</w:t>
      </w:r>
      <w:r>
        <w:rPr>
          <w:spacing w:val="-1"/>
        </w:rPr>
        <w:t> </w:t>
      </w:r>
      <w:r>
        <w:rPr/>
        <w:t>a</w:t>
      </w:r>
      <w:r>
        <w:rPr>
          <w:spacing w:val="-3"/>
        </w:rPr>
        <w:t> </w:t>
      </w:r>
      <w:r>
        <w:rPr/>
        <w:t>substantial</w:t>
      </w:r>
      <w:r>
        <w:rPr>
          <w:spacing w:val="-1"/>
        </w:rPr>
        <w:t> </w:t>
      </w:r>
      <w:r>
        <w:rPr/>
        <w:t>number of substandard, deteriorated, or deteriorating structures; and the predominance of defective or inadequate</w:t>
      </w:r>
      <w:r>
        <w:rPr>
          <w:spacing w:val="-4"/>
        </w:rPr>
        <w:t> </w:t>
      </w:r>
      <w:r>
        <w:rPr/>
        <w:t>sidewalks</w:t>
      </w:r>
      <w:r>
        <w:rPr>
          <w:spacing w:val="-4"/>
        </w:rPr>
        <w:t> </w:t>
      </w:r>
      <w:r>
        <w:rPr/>
        <w:t>or</w:t>
      </w:r>
      <w:r>
        <w:rPr>
          <w:spacing w:val="-8"/>
        </w:rPr>
        <w:t> </w:t>
      </w:r>
      <w:r>
        <w:rPr/>
        <w:t>streets.</w:t>
      </w:r>
      <w:r>
        <w:rPr>
          <w:spacing w:val="-7"/>
        </w:rPr>
        <w:t> </w:t>
      </w:r>
      <w:r>
        <w:rPr/>
        <w:t>Once</w:t>
      </w:r>
      <w:r>
        <w:rPr>
          <w:spacing w:val="-6"/>
        </w:rPr>
        <w:t> </w:t>
      </w:r>
      <w:r>
        <w:rPr/>
        <w:t>the</w:t>
      </w:r>
      <w:r>
        <w:rPr>
          <w:spacing w:val="-6"/>
        </w:rPr>
        <w:t> </w:t>
      </w:r>
      <w:r>
        <w:rPr/>
        <w:t>NEZ</w:t>
      </w:r>
      <w:r>
        <w:rPr>
          <w:spacing w:val="-4"/>
        </w:rPr>
        <w:t> </w:t>
      </w:r>
      <w:r>
        <w:rPr/>
        <w:t>is</w:t>
      </w:r>
      <w:r>
        <w:rPr>
          <w:spacing w:val="-8"/>
        </w:rPr>
        <w:t> </w:t>
      </w:r>
      <w:r>
        <w:rPr/>
        <w:t>created,</w:t>
      </w:r>
      <w:r>
        <w:rPr>
          <w:spacing w:val="-5"/>
        </w:rPr>
        <w:t> </w:t>
      </w:r>
      <w:r>
        <w:rPr/>
        <w:t>the</w:t>
      </w:r>
      <w:r>
        <w:rPr>
          <w:spacing w:val="-6"/>
        </w:rPr>
        <w:t> </w:t>
      </w:r>
      <w:r>
        <w:rPr/>
        <w:t>City</w:t>
      </w:r>
      <w:r>
        <w:rPr>
          <w:spacing w:val="-6"/>
        </w:rPr>
        <w:t> </w:t>
      </w:r>
      <w:r>
        <w:rPr/>
        <w:t>may</w:t>
      </w:r>
      <w:r>
        <w:rPr>
          <w:spacing w:val="-6"/>
        </w:rPr>
        <w:t> </w:t>
      </w:r>
      <w:r>
        <w:rPr/>
        <w:t>enter</w:t>
      </w:r>
      <w:r>
        <w:rPr>
          <w:spacing w:val="-3"/>
        </w:rPr>
        <w:t> </w:t>
      </w:r>
      <w:r>
        <w:rPr/>
        <w:t>into</w:t>
      </w:r>
      <w:r>
        <w:rPr>
          <w:spacing w:val="-6"/>
        </w:rPr>
        <w:t> </w:t>
      </w:r>
      <w:r>
        <w:rPr/>
        <w:t>agreements</w:t>
      </w:r>
      <w:r>
        <w:rPr>
          <w:spacing w:val="-6"/>
        </w:rPr>
        <w:t> </w:t>
      </w:r>
      <w:r>
        <w:rPr/>
        <w:t>to abate municipal property taxes.</w:t>
      </w:r>
    </w:p>
    <w:p>
      <w:pPr>
        <w:pStyle w:val="BodyText"/>
        <w:spacing w:before="11"/>
        <w:rPr>
          <w:sz w:val="21"/>
        </w:rPr>
      </w:pPr>
    </w:p>
    <w:p>
      <w:pPr>
        <w:pStyle w:val="BodyText"/>
        <w:ind w:left="120" w:right="154"/>
        <w:jc w:val="both"/>
      </w:pPr>
      <w:r>
        <w:rPr/>
        <w:t>In</w:t>
      </w:r>
      <w:r>
        <w:rPr>
          <w:spacing w:val="-16"/>
        </w:rPr>
        <w:t> </w:t>
      </w:r>
      <w:r>
        <w:rPr/>
        <w:t>addition,</w:t>
      </w:r>
      <w:r>
        <w:rPr>
          <w:spacing w:val="-15"/>
        </w:rPr>
        <w:t> </w:t>
      </w:r>
      <w:r>
        <w:rPr/>
        <w:t>this</w:t>
      </w:r>
      <w:r>
        <w:rPr>
          <w:spacing w:val="-15"/>
        </w:rPr>
        <w:t> </w:t>
      </w:r>
      <w:r>
        <w:rPr/>
        <w:t>program</w:t>
      </w:r>
      <w:r>
        <w:rPr>
          <w:spacing w:val="-16"/>
        </w:rPr>
        <w:t> </w:t>
      </w:r>
      <w:r>
        <w:rPr/>
        <w:t>provides</w:t>
      </w:r>
      <w:r>
        <w:rPr>
          <w:spacing w:val="-15"/>
        </w:rPr>
        <w:t> </w:t>
      </w:r>
      <w:r>
        <w:rPr/>
        <w:t>additional</w:t>
      </w:r>
      <w:r>
        <w:rPr>
          <w:spacing w:val="-15"/>
        </w:rPr>
        <w:t> </w:t>
      </w:r>
      <w:r>
        <w:rPr/>
        <w:t>incentives</w:t>
      </w:r>
      <w:r>
        <w:rPr>
          <w:spacing w:val="-15"/>
        </w:rPr>
        <w:t> </w:t>
      </w:r>
      <w:r>
        <w:rPr/>
        <w:t>in</w:t>
      </w:r>
      <w:r>
        <w:rPr>
          <w:spacing w:val="-16"/>
        </w:rPr>
        <w:t> </w:t>
      </w:r>
      <w:r>
        <w:rPr/>
        <w:t>the</w:t>
      </w:r>
      <w:r>
        <w:rPr>
          <w:spacing w:val="-15"/>
        </w:rPr>
        <w:t> </w:t>
      </w:r>
      <w:r>
        <w:rPr/>
        <w:t>form</w:t>
      </w:r>
      <w:r>
        <w:rPr>
          <w:spacing w:val="-15"/>
        </w:rPr>
        <w:t> </w:t>
      </w:r>
      <w:r>
        <w:rPr/>
        <w:t>of</w:t>
      </w:r>
      <w:r>
        <w:rPr>
          <w:spacing w:val="-16"/>
        </w:rPr>
        <w:t> </w:t>
      </w:r>
      <w:r>
        <w:rPr/>
        <w:t>development</w:t>
      </w:r>
      <w:r>
        <w:rPr>
          <w:spacing w:val="-15"/>
        </w:rPr>
        <w:t> </w:t>
      </w:r>
      <w:r>
        <w:rPr/>
        <w:t>grants</w:t>
      </w:r>
      <w:r>
        <w:rPr>
          <w:spacing w:val="-15"/>
        </w:rPr>
        <w:t> </w:t>
      </w:r>
      <w:r>
        <w:rPr/>
        <w:t>pursuant to Chapter 380 of the Texas Local Government Code equal to development fees and certain development-related costs.</w:t>
      </w:r>
    </w:p>
    <w:p>
      <w:pPr>
        <w:pStyle w:val="BodyText"/>
        <w:spacing w:before="5"/>
        <w:rPr>
          <w:sz w:val="26"/>
        </w:rPr>
      </w:pPr>
    </w:p>
    <w:p>
      <w:pPr>
        <w:pStyle w:val="Heading5"/>
        <w:jc w:val="left"/>
      </w:pPr>
      <w:r>
        <w:rPr>
          <w:spacing w:val="-2"/>
        </w:rPr>
        <w:t>Definitions</w:t>
      </w:r>
    </w:p>
    <w:p>
      <w:pPr>
        <w:pStyle w:val="ListParagraph"/>
        <w:numPr>
          <w:ilvl w:val="0"/>
          <w:numId w:val="29"/>
        </w:numPr>
        <w:tabs>
          <w:tab w:pos="841" w:val="left" w:leader="none"/>
        </w:tabs>
        <w:spacing w:line="237" w:lineRule="auto" w:before="54" w:after="0"/>
        <w:ind w:left="840" w:right="157" w:hanging="361"/>
        <w:jc w:val="both"/>
        <w:rPr>
          <w:sz w:val="22"/>
        </w:rPr>
      </w:pPr>
      <w:r>
        <w:rPr>
          <w:b/>
          <w:sz w:val="22"/>
        </w:rPr>
        <w:t>Affordable Rent </w:t>
      </w:r>
      <w:r>
        <w:rPr>
          <w:sz w:val="22"/>
        </w:rPr>
        <w:t>means: (i) a monthly rental housing payment, less an allowance for utilities, that does not exceed 30 percent of an eligible household's Adjusted Income divided by 12, or (ii) the voucher payment standard.</w:t>
      </w:r>
    </w:p>
    <w:p>
      <w:pPr>
        <w:pStyle w:val="ListParagraph"/>
        <w:numPr>
          <w:ilvl w:val="0"/>
          <w:numId w:val="29"/>
        </w:numPr>
        <w:tabs>
          <w:tab w:pos="841" w:val="left" w:leader="none"/>
        </w:tabs>
        <w:spacing w:line="240" w:lineRule="auto" w:before="2" w:after="0"/>
        <w:ind w:left="840" w:right="156" w:hanging="361"/>
        <w:jc w:val="both"/>
        <w:rPr>
          <w:sz w:val="22"/>
        </w:rPr>
      </w:pPr>
      <w:r>
        <w:rPr>
          <w:b/>
          <w:sz w:val="22"/>
        </w:rPr>
        <w:t>Affordable Sales Price </w:t>
      </w:r>
      <w:r>
        <w:rPr>
          <w:sz w:val="22"/>
        </w:rPr>
        <w:t>means the fair market value of the home, as determined by an “as-is” or “subject-to-completion” appraisal completed by an independent state-licensed appraiser.</w:t>
      </w:r>
      <w:r>
        <w:rPr>
          <w:spacing w:val="-10"/>
          <w:sz w:val="22"/>
        </w:rPr>
        <w:t> </w:t>
      </w:r>
      <w:r>
        <w:rPr>
          <w:sz w:val="22"/>
        </w:rPr>
        <w:t>However,</w:t>
      </w:r>
      <w:r>
        <w:rPr>
          <w:spacing w:val="-10"/>
          <w:sz w:val="22"/>
        </w:rPr>
        <w:t> </w:t>
      </w:r>
      <w:r>
        <w:rPr>
          <w:sz w:val="22"/>
        </w:rPr>
        <w:t>the</w:t>
      </w:r>
      <w:r>
        <w:rPr>
          <w:spacing w:val="-11"/>
          <w:sz w:val="22"/>
        </w:rPr>
        <w:t> </w:t>
      </w:r>
      <w:r>
        <w:rPr>
          <w:sz w:val="22"/>
        </w:rPr>
        <w:t>terms</w:t>
      </w:r>
      <w:r>
        <w:rPr>
          <w:spacing w:val="-11"/>
          <w:sz w:val="22"/>
        </w:rPr>
        <w:t> </w:t>
      </w:r>
      <w:r>
        <w:rPr>
          <w:sz w:val="22"/>
        </w:rPr>
        <w:t>of</w:t>
      </w:r>
      <w:r>
        <w:rPr>
          <w:spacing w:val="-10"/>
          <w:sz w:val="22"/>
        </w:rPr>
        <w:t> </w:t>
      </w:r>
      <w:r>
        <w:rPr>
          <w:sz w:val="22"/>
        </w:rPr>
        <w:t>the</w:t>
      </w:r>
      <w:r>
        <w:rPr>
          <w:spacing w:val="-9"/>
          <w:sz w:val="22"/>
        </w:rPr>
        <w:t> </w:t>
      </w:r>
      <w:r>
        <w:rPr>
          <w:sz w:val="22"/>
        </w:rPr>
        <w:t>development</w:t>
      </w:r>
      <w:r>
        <w:rPr>
          <w:spacing w:val="-12"/>
          <w:sz w:val="22"/>
        </w:rPr>
        <w:t> </w:t>
      </w:r>
      <w:r>
        <w:rPr>
          <w:sz w:val="22"/>
        </w:rPr>
        <w:t>agreement</w:t>
      </w:r>
      <w:r>
        <w:rPr>
          <w:spacing w:val="-10"/>
          <w:sz w:val="22"/>
        </w:rPr>
        <w:t> </w:t>
      </w:r>
      <w:r>
        <w:rPr>
          <w:sz w:val="22"/>
        </w:rPr>
        <w:t>for</w:t>
      </w:r>
      <w:r>
        <w:rPr>
          <w:spacing w:val="-10"/>
          <w:sz w:val="22"/>
        </w:rPr>
        <w:t> </w:t>
      </w:r>
      <w:r>
        <w:rPr>
          <w:sz w:val="22"/>
        </w:rPr>
        <w:t>the</w:t>
      </w:r>
      <w:r>
        <w:rPr>
          <w:spacing w:val="-11"/>
          <w:sz w:val="22"/>
        </w:rPr>
        <w:t> </w:t>
      </w:r>
      <w:r>
        <w:rPr>
          <w:sz w:val="22"/>
        </w:rPr>
        <w:t>for-sale</w:t>
      </w:r>
      <w:r>
        <w:rPr>
          <w:spacing w:val="-9"/>
          <w:sz w:val="22"/>
        </w:rPr>
        <w:t> </w:t>
      </w:r>
      <w:r>
        <w:rPr>
          <w:sz w:val="22"/>
        </w:rPr>
        <w:t>housing</w:t>
      </w:r>
      <w:r>
        <w:rPr>
          <w:spacing w:val="-9"/>
          <w:sz w:val="22"/>
        </w:rPr>
        <w:t> </w:t>
      </w:r>
      <w:r>
        <w:rPr>
          <w:sz w:val="22"/>
        </w:rPr>
        <w:t>unit will</w:t>
      </w:r>
      <w:r>
        <w:rPr>
          <w:spacing w:val="-3"/>
          <w:sz w:val="22"/>
        </w:rPr>
        <w:t> </w:t>
      </w:r>
      <w:r>
        <w:rPr>
          <w:sz w:val="22"/>
        </w:rPr>
        <w:t>include</w:t>
      </w:r>
      <w:r>
        <w:rPr>
          <w:spacing w:val="-3"/>
          <w:sz w:val="22"/>
        </w:rPr>
        <w:t> </w:t>
      </w:r>
      <w:r>
        <w:rPr>
          <w:sz w:val="22"/>
        </w:rPr>
        <w:t>any</w:t>
      </w:r>
      <w:r>
        <w:rPr>
          <w:spacing w:val="-2"/>
          <w:sz w:val="22"/>
        </w:rPr>
        <w:t> </w:t>
      </w:r>
      <w:r>
        <w:rPr>
          <w:sz w:val="22"/>
        </w:rPr>
        <w:t>seller</w:t>
      </w:r>
      <w:r>
        <w:rPr>
          <w:spacing w:val="-1"/>
          <w:sz w:val="22"/>
        </w:rPr>
        <w:t> </w:t>
      </w:r>
      <w:r>
        <w:rPr>
          <w:sz w:val="22"/>
        </w:rPr>
        <w:t>discount</w:t>
      </w:r>
      <w:r>
        <w:rPr>
          <w:spacing w:val="-4"/>
          <w:sz w:val="22"/>
        </w:rPr>
        <w:t> </w:t>
      </w:r>
      <w:r>
        <w:rPr>
          <w:sz w:val="22"/>
        </w:rPr>
        <w:t>that</w:t>
      </w:r>
      <w:r>
        <w:rPr>
          <w:spacing w:val="-4"/>
          <w:sz w:val="22"/>
        </w:rPr>
        <w:t> </w:t>
      </w:r>
      <w:r>
        <w:rPr>
          <w:sz w:val="22"/>
        </w:rPr>
        <w:t>must</w:t>
      </w:r>
      <w:r>
        <w:rPr>
          <w:spacing w:val="-1"/>
          <w:sz w:val="22"/>
        </w:rPr>
        <w:t> </w:t>
      </w:r>
      <w:r>
        <w:rPr>
          <w:sz w:val="22"/>
        </w:rPr>
        <w:t>be</w:t>
      </w:r>
      <w:r>
        <w:rPr>
          <w:spacing w:val="-5"/>
          <w:sz w:val="22"/>
        </w:rPr>
        <w:t> </w:t>
      </w:r>
      <w:r>
        <w:rPr>
          <w:sz w:val="22"/>
        </w:rPr>
        <w:t>provided</w:t>
      </w:r>
      <w:r>
        <w:rPr>
          <w:spacing w:val="-3"/>
          <w:sz w:val="22"/>
        </w:rPr>
        <w:t> </w:t>
      </w:r>
      <w:r>
        <w:rPr>
          <w:sz w:val="22"/>
        </w:rPr>
        <w:t>to</w:t>
      </w:r>
      <w:r>
        <w:rPr>
          <w:spacing w:val="-7"/>
          <w:sz w:val="22"/>
        </w:rPr>
        <w:t> </w:t>
      </w:r>
      <w:r>
        <w:rPr>
          <w:sz w:val="22"/>
        </w:rPr>
        <w:t>the</w:t>
      </w:r>
      <w:r>
        <w:rPr>
          <w:spacing w:val="-3"/>
          <w:sz w:val="22"/>
        </w:rPr>
        <w:t> </w:t>
      </w:r>
      <w:r>
        <w:rPr>
          <w:sz w:val="22"/>
        </w:rPr>
        <w:t>eligible</w:t>
      </w:r>
      <w:r>
        <w:rPr>
          <w:spacing w:val="-3"/>
          <w:sz w:val="22"/>
        </w:rPr>
        <w:t> </w:t>
      </w:r>
      <w:r>
        <w:rPr>
          <w:sz w:val="22"/>
        </w:rPr>
        <w:t>household</w:t>
      </w:r>
      <w:r>
        <w:rPr>
          <w:spacing w:val="-3"/>
          <w:sz w:val="22"/>
        </w:rPr>
        <w:t> </w:t>
      </w:r>
      <w:r>
        <w:rPr>
          <w:sz w:val="22"/>
        </w:rPr>
        <w:t>so</w:t>
      </w:r>
      <w:r>
        <w:rPr>
          <w:spacing w:val="-5"/>
          <w:sz w:val="22"/>
        </w:rPr>
        <w:t> </w:t>
      </w:r>
      <w:r>
        <w:rPr>
          <w:sz w:val="22"/>
        </w:rPr>
        <w:t>that</w:t>
      </w:r>
      <w:r>
        <w:rPr>
          <w:spacing w:val="-6"/>
          <w:sz w:val="22"/>
        </w:rPr>
        <w:t> </w:t>
      </w:r>
      <w:r>
        <w:rPr>
          <w:sz w:val="22"/>
        </w:rPr>
        <w:t>the amount paid by the eligible household is affordable based on their income, meaning that</w:t>
      </w:r>
    </w:p>
    <w:p>
      <w:pPr>
        <w:spacing w:after="0" w:line="240" w:lineRule="auto"/>
        <w:jc w:val="both"/>
        <w:rPr>
          <w:sz w:val="22"/>
        </w:rPr>
        <w:sectPr>
          <w:pgSz w:w="12240" w:h="15840"/>
          <w:pgMar w:header="0" w:footer="1176" w:top="1380" w:bottom="1380" w:left="1320" w:right="1280"/>
        </w:sectPr>
      </w:pPr>
    </w:p>
    <w:p>
      <w:pPr>
        <w:pStyle w:val="BodyText"/>
        <w:spacing w:before="80"/>
        <w:ind w:left="839" w:right="156"/>
        <w:jc w:val="both"/>
      </w:pPr>
      <w:r>
        <w:rPr/>
        <w:t>their monthly housing payment, including mortgage principal, interest, taxes and insurance, does not exceed 30 percent of the Family’s Adjusted Income, divided by 12.</w:t>
      </w:r>
    </w:p>
    <w:p>
      <w:pPr>
        <w:pStyle w:val="ListParagraph"/>
        <w:numPr>
          <w:ilvl w:val="0"/>
          <w:numId w:val="29"/>
        </w:numPr>
        <w:tabs>
          <w:tab w:pos="841" w:val="left" w:leader="none"/>
        </w:tabs>
        <w:spacing w:line="240" w:lineRule="auto" w:before="0" w:after="0"/>
        <w:ind w:left="839" w:right="155" w:hanging="360"/>
        <w:jc w:val="both"/>
        <w:rPr>
          <w:sz w:val="22"/>
        </w:rPr>
      </w:pPr>
      <w:r>
        <w:rPr/>
        <w:pict>
          <v:shape style="position:absolute;margin-left:90.065002pt;margin-top:89.1716pt;width:395.3pt;height:419pt;mso-position-horizontal-relative:page;mso-position-vertical-relative:paragraph;z-index:-17673216" id="docshape140" coordorigin="1801,1783" coordsize="7906,8380" path="m4498,9047l4492,8974,4477,8896,4455,8813,4432,8744,4403,8672,4367,8597,4325,8519,4276,8438,4237,8379,4200,8328,4200,9014,4197,9070,4186,9127,4167,9184,4138,9244,4097,9307,4044,9373,3979,9442,3674,9748,2216,8290,2517,7989,2598,7913,2672,7853,2740,7810,2801,7783,2868,7769,2941,7765,3020,7771,3105,7789,3195,7818,3255,7844,3317,7876,3380,7915,3446,7960,3514,8012,3584,8070,3656,8134,3729,8206,3789,8267,3845,8327,3896,8386,3943,8444,3986,8501,4025,8556,4059,8610,4101,8685,4136,8757,4163,8827,4183,8893,4196,8958,4200,9014,4200,8328,4194,8319,4148,8259,4098,8199,4045,8138,3989,8076,3929,8015,3865,7952,3801,7894,3737,7839,3673,7787,3643,7765,3609,7739,3546,7695,3482,7654,3419,7616,3346,7578,3274,7546,3203,7519,3132,7497,3062,7480,2992,7468,2923,7460,2850,7459,2779,7466,2709,7480,2642,7503,2577,7534,2528,7562,2476,7599,2420,7645,2359,7699,2294,7761,1801,8254,3710,10163,4124,9748,4226,9646,4287,9581,4341,9516,4386,9450,4424,9383,4454,9317,4476,9250,4491,9183,4498,9116,4498,9047xm6418,7454l6056,7326,5650,7184,5561,7154,5475,7130,5393,7111,5365,7106,5314,7097,5239,7087,5193,7085,5143,7088,5089,7095,5030,7106,5073,7036,5109,6967,5136,6898,5154,6829,5164,6760,5165,6692,5157,6624,5139,6546,5111,6470,5075,6396,5030,6323,4976,6252,4956,6229,4913,6183,4872,6145,4872,6703,4868,6758,4854,6813,4830,6870,4794,6928,4747,6989,4687,7053,4280,7460,3649,6829,4102,6376,4166,6319,4229,6275,4293,6246,4358,6231,4422,6229,4501,6245,4577,6274,4649,6319,4718,6379,4761,6426,4797,6477,4827,6531,4851,6587,4867,6646,4872,6703,4872,6145,4849,6124,4782,6071,4713,6026,4641,5987,4566,5955,4474,5927,4386,5914,4303,5916,4225,5932,4163,5957,4098,5994,4030,6042,3958,6101,3883,6173,3248,6807,5157,8715,5346,8526,4499,7679,4718,7460,4753,7425,4783,7398,4810,7377,4833,7363,4863,7349,4896,7338,4932,7331,4971,7326,5014,7326,5066,7332,5125,7342,5194,7358,5256,7376,5328,7397,5407,7422,5496,7451,6180,7692,6418,7454xm7780,6092l7415,5897,6555,5443,6555,5750,6070,6235,6030,6163,5989,6092,5748,5661,5708,5589,5668,5518,5629,5452,5590,5388,5550,5324,5509,5261,5467,5198,5424,5137,5380,5076,5436,5112,5498,5150,5564,5190,5635,5232,5792,5322,6555,5750,6555,5443,5862,5076,5286,4769,5082,4973,5277,5324,5316,5394,5701,6092,6207,7011,6441,7431,6642,7230,6565,7097,6298,6629,6221,6495,6481,6235,6820,5897,7173,6092,7565,6308,7780,6092xm8131,5741l7264,4874,7936,4203,7711,3977,7039,4649,6448,4058,7224,3282,6999,3057,6033,4022,7941,5931,8131,5741xm9707,4165l8024,2482,8497,2009,8272,1783,7138,2918,7363,3143,7834,2672,9517,4355,9707,4165xe" filled="true" fillcolor="#c0c0c0" stroked="false">
            <v:path arrowok="t"/>
            <v:fill opacity="32896f" type="solid"/>
            <w10:wrap type="none"/>
          </v:shape>
        </w:pict>
      </w:r>
      <w:r>
        <w:rPr>
          <w:b/>
          <w:sz w:val="22"/>
        </w:rPr>
        <w:t>Eligible Household</w:t>
      </w:r>
      <w:r>
        <w:rPr>
          <w:b/>
          <w:spacing w:val="-2"/>
          <w:sz w:val="22"/>
        </w:rPr>
        <w:t> </w:t>
      </w:r>
      <w:r>
        <w:rPr>
          <w:sz w:val="22"/>
        </w:rPr>
        <w:t>means, at the time of rental</w:t>
      </w:r>
      <w:r>
        <w:rPr>
          <w:spacing w:val="-2"/>
          <w:sz w:val="22"/>
        </w:rPr>
        <w:t> </w:t>
      </w:r>
      <w:r>
        <w:rPr>
          <w:sz w:val="22"/>
        </w:rPr>
        <w:t>or purchase, 1) for rental, a Family with a gross annual household income at or below 60% of AMFI; 2) for home ownership or purchase,</w:t>
      </w:r>
      <w:r>
        <w:rPr>
          <w:spacing w:val="-1"/>
          <w:sz w:val="22"/>
        </w:rPr>
        <w:t> </w:t>
      </w:r>
      <w:r>
        <w:rPr>
          <w:sz w:val="22"/>
        </w:rPr>
        <w:t>a</w:t>
      </w:r>
      <w:r>
        <w:rPr>
          <w:spacing w:val="-3"/>
          <w:sz w:val="22"/>
        </w:rPr>
        <w:t> </w:t>
      </w:r>
      <w:r>
        <w:rPr>
          <w:sz w:val="22"/>
        </w:rPr>
        <w:t>Family</w:t>
      </w:r>
      <w:r>
        <w:rPr>
          <w:spacing w:val="-2"/>
          <w:sz w:val="22"/>
        </w:rPr>
        <w:t> </w:t>
      </w:r>
      <w:r>
        <w:rPr>
          <w:sz w:val="22"/>
        </w:rPr>
        <w:t>with</w:t>
      </w:r>
      <w:r>
        <w:rPr>
          <w:spacing w:val="-4"/>
          <w:sz w:val="22"/>
        </w:rPr>
        <w:t> </w:t>
      </w:r>
      <w:r>
        <w:rPr>
          <w:sz w:val="22"/>
        </w:rPr>
        <w:t>a gross</w:t>
      </w:r>
      <w:r>
        <w:rPr>
          <w:spacing w:val="-2"/>
          <w:sz w:val="22"/>
        </w:rPr>
        <w:t> </w:t>
      </w:r>
      <w:r>
        <w:rPr>
          <w:sz w:val="22"/>
        </w:rPr>
        <w:t>annual</w:t>
      </w:r>
      <w:r>
        <w:rPr>
          <w:spacing w:val="-3"/>
          <w:sz w:val="22"/>
        </w:rPr>
        <w:t> </w:t>
      </w:r>
      <w:r>
        <w:rPr>
          <w:sz w:val="22"/>
        </w:rPr>
        <w:t>household income</w:t>
      </w:r>
      <w:r>
        <w:rPr>
          <w:spacing w:val="-3"/>
          <w:sz w:val="22"/>
        </w:rPr>
        <w:t> </w:t>
      </w:r>
      <w:r>
        <w:rPr>
          <w:sz w:val="22"/>
        </w:rPr>
        <w:t>at</w:t>
      </w:r>
      <w:r>
        <w:rPr>
          <w:spacing w:val="-1"/>
          <w:sz w:val="22"/>
        </w:rPr>
        <w:t> </w:t>
      </w:r>
      <w:r>
        <w:rPr>
          <w:sz w:val="22"/>
        </w:rPr>
        <w:t>or</w:t>
      </w:r>
      <w:r>
        <w:rPr>
          <w:spacing w:val="-1"/>
          <w:sz w:val="22"/>
        </w:rPr>
        <w:t> </w:t>
      </w:r>
      <w:r>
        <w:rPr>
          <w:sz w:val="22"/>
        </w:rPr>
        <w:t>below</w:t>
      </w:r>
      <w:r>
        <w:rPr>
          <w:spacing w:val="-1"/>
          <w:sz w:val="22"/>
        </w:rPr>
        <w:t> </w:t>
      </w:r>
      <w:r>
        <w:rPr>
          <w:sz w:val="22"/>
        </w:rPr>
        <w:t>120%</w:t>
      </w:r>
      <w:r>
        <w:rPr>
          <w:spacing w:val="-2"/>
          <w:sz w:val="22"/>
        </w:rPr>
        <w:t> </w:t>
      </w:r>
      <w:r>
        <w:rPr>
          <w:sz w:val="22"/>
        </w:rPr>
        <w:t>AMFI</w:t>
      </w:r>
      <w:r>
        <w:rPr>
          <w:spacing w:val="-1"/>
          <w:sz w:val="22"/>
        </w:rPr>
        <w:t> </w:t>
      </w:r>
      <w:r>
        <w:rPr>
          <w:sz w:val="22"/>
        </w:rPr>
        <w:t>at</w:t>
      </w:r>
      <w:r>
        <w:rPr>
          <w:spacing w:val="-4"/>
          <w:sz w:val="22"/>
        </w:rPr>
        <w:t> </w:t>
      </w:r>
      <w:r>
        <w:rPr>
          <w:sz w:val="22"/>
        </w:rPr>
        <w:t>the time of purchase; 3) for buyers of Land Bank program homes, a Family who also meets all</w:t>
      </w:r>
      <w:r>
        <w:rPr>
          <w:spacing w:val="-16"/>
          <w:sz w:val="22"/>
        </w:rPr>
        <w:t> </w:t>
      </w:r>
      <w:r>
        <w:rPr>
          <w:sz w:val="22"/>
        </w:rPr>
        <w:t>of</w:t>
      </w:r>
      <w:r>
        <w:rPr>
          <w:spacing w:val="-15"/>
          <w:sz w:val="22"/>
        </w:rPr>
        <w:t> </w:t>
      </w:r>
      <w:r>
        <w:rPr>
          <w:sz w:val="22"/>
        </w:rPr>
        <w:t>the</w:t>
      </w:r>
      <w:r>
        <w:rPr>
          <w:spacing w:val="-15"/>
          <w:sz w:val="22"/>
        </w:rPr>
        <w:t> </w:t>
      </w:r>
      <w:r>
        <w:rPr>
          <w:sz w:val="22"/>
        </w:rPr>
        <w:t>homebuyer</w:t>
      </w:r>
      <w:r>
        <w:rPr>
          <w:spacing w:val="-16"/>
          <w:sz w:val="22"/>
        </w:rPr>
        <w:t> </w:t>
      </w:r>
      <w:r>
        <w:rPr>
          <w:sz w:val="22"/>
        </w:rPr>
        <w:t>eligibility</w:t>
      </w:r>
      <w:r>
        <w:rPr>
          <w:spacing w:val="-15"/>
          <w:sz w:val="22"/>
        </w:rPr>
        <w:t> </w:t>
      </w:r>
      <w:r>
        <w:rPr>
          <w:sz w:val="22"/>
        </w:rPr>
        <w:t>criteria</w:t>
      </w:r>
      <w:r>
        <w:rPr>
          <w:spacing w:val="-15"/>
          <w:sz w:val="22"/>
        </w:rPr>
        <w:t> </w:t>
      </w:r>
      <w:r>
        <w:rPr>
          <w:sz w:val="22"/>
        </w:rPr>
        <w:t>for</w:t>
      </w:r>
      <w:r>
        <w:rPr>
          <w:spacing w:val="-15"/>
          <w:sz w:val="22"/>
        </w:rPr>
        <w:t> </w:t>
      </w:r>
      <w:r>
        <w:rPr>
          <w:sz w:val="22"/>
        </w:rPr>
        <w:t>the</w:t>
      </w:r>
      <w:r>
        <w:rPr>
          <w:spacing w:val="-16"/>
          <w:sz w:val="22"/>
        </w:rPr>
        <w:t> </w:t>
      </w:r>
      <w:r>
        <w:rPr>
          <w:sz w:val="22"/>
        </w:rPr>
        <w:t>Land</w:t>
      </w:r>
      <w:r>
        <w:rPr>
          <w:spacing w:val="-15"/>
          <w:sz w:val="22"/>
        </w:rPr>
        <w:t> </w:t>
      </w:r>
      <w:r>
        <w:rPr>
          <w:sz w:val="22"/>
        </w:rPr>
        <w:t>Bank</w:t>
      </w:r>
      <w:r>
        <w:rPr>
          <w:spacing w:val="-15"/>
          <w:sz w:val="22"/>
        </w:rPr>
        <w:t> </w:t>
      </w:r>
      <w:r>
        <w:rPr>
          <w:sz w:val="22"/>
        </w:rPr>
        <w:t>program;</w:t>
      </w:r>
      <w:r>
        <w:rPr>
          <w:spacing w:val="-16"/>
          <w:sz w:val="22"/>
        </w:rPr>
        <w:t> </w:t>
      </w:r>
      <w:r>
        <w:rPr>
          <w:sz w:val="22"/>
        </w:rPr>
        <w:t>or</w:t>
      </w:r>
      <w:r>
        <w:rPr>
          <w:spacing w:val="-15"/>
          <w:sz w:val="22"/>
        </w:rPr>
        <w:t> </w:t>
      </w:r>
      <w:r>
        <w:rPr>
          <w:sz w:val="22"/>
        </w:rPr>
        <w:t>4)</w:t>
      </w:r>
      <w:r>
        <w:rPr>
          <w:spacing w:val="-15"/>
          <w:sz w:val="22"/>
        </w:rPr>
        <w:t> </w:t>
      </w:r>
      <w:r>
        <w:rPr>
          <w:sz w:val="22"/>
        </w:rPr>
        <w:t>for</w:t>
      </w:r>
      <w:r>
        <w:rPr>
          <w:spacing w:val="-15"/>
          <w:sz w:val="22"/>
        </w:rPr>
        <w:t> </w:t>
      </w:r>
      <w:r>
        <w:rPr>
          <w:sz w:val="22"/>
        </w:rPr>
        <w:t>home</w:t>
      </w:r>
      <w:r>
        <w:rPr>
          <w:spacing w:val="-16"/>
          <w:sz w:val="22"/>
        </w:rPr>
        <w:t> </w:t>
      </w:r>
      <w:r>
        <w:rPr>
          <w:sz w:val="22"/>
        </w:rPr>
        <w:t>ownership or purchase, those in educational instruction and library occupations; healthcare practitioners and healthcare support occupations; and protective service occupations, including fire fighters and police officers, with a gross household income under 140% </w:t>
      </w:r>
      <w:r>
        <w:rPr>
          <w:spacing w:val="-4"/>
          <w:sz w:val="22"/>
        </w:rPr>
        <w:t>AMFI.</w:t>
      </w:r>
    </w:p>
    <w:p>
      <w:pPr>
        <w:pStyle w:val="ListParagraph"/>
        <w:numPr>
          <w:ilvl w:val="0"/>
          <w:numId w:val="29"/>
        </w:numPr>
        <w:tabs>
          <w:tab w:pos="841" w:val="left" w:leader="none"/>
        </w:tabs>
        <w:spacing w:line="267" w:lineRule="exact" w:before="0" w:after="0"/>
        <w:ind w:left="840" w:right="0" w:hanging="361"/>
        <w:jc w:val="both"/>
        <w:rPr>
          <w:sz w:val="22"/>
        </w:rPr>
      </w:pPr>
      <w:r>
        <w:rPr>
          <w:b/>
          <w:sz w:val="22"/>
        </w:rPr>
        <w:t>Income</w:t>
      </w:r>
      <w:r>
        <w:rPr>
          <w:b/>
          <w:spacing w:val="-6"/>
          <w:sz w:val="22"/>
        </w:rPr>
        <w:t> </w:t>
      </w:r>
      <w:r>
        <w:rPr>
          <w:sz w:val="22"/>
        </w:rPr>
        <w:t>means</w:t>
      </w:r>
      <w:r>
        <w:rPr>
          <w:spacing w:val="-5"/>
          <w:sz w:val="22"/>
        </w:rPr>
        <w:t> </w:t>
      </w:r>
      <w:r>
        <w:rPr>
          <w:sz w:val="22"/>
        </w:rPr>
        <w:t>income</w:t>
      </w:r>
      <w:r>
        <w:rPr>
          <w:spacing w:val="-5"/>
          <w:sz w:val="22"/>
        </w:rPr>
        <w:t> </w:t>
      </w:r>
      <w:r>
        <w:rPr>
          <w:sz w:val="22"/>
        </w:rPr>
        <w:t>as</w:t>
      </w:r>
      <w:r>
        <w:rPr>
          <w:spacing w:val="-2"/>
          <w:sz w:val="22"/>
        </w:rPr>
        <w:t> </w:t>
      </w:r>
      <w:r>
        <w:rPr>
          <w:sz w:val="22"/>
        </w:rPr>
        <w:t>defined</w:t>
      </w:r>
      <w:r>
        <w:rPr>
          <w:spacing w:val="-4"/>
          <w:sz w:val="22"/>
        </w:rPr>
        <w:t> </w:t>
      </w:r>
      <w:r>
        <w:rPr>
          <w:sz w:val="22"/>
        </w:rPr>
        <w:t>by</w:t>
      </w:r>
      <w:r>
        <w:rPr>
          <w:spacing w:val="-2"/>
          <w:sz w:val="22"/>
        </w:rPr>
        <w:t> </w:t>
      </w:r>
      <w:r>
        <w:rPr>
          <w:sz w:val="22"/>
        </w:rPr>
        <w:t>24</w:t>
      </w:r>
      <w:r>
        <w:rPr>
          <w:spacing w:val="-5"/>
          <w:sz w:val="22"/>
        </w:rPr>
        <w:t> </w:t>
      </w:r>
      <w:r>
        <w:rPr>
          <w:sz w:val="22"/>
        </w:rPr>
        <w:t>CFR</w:t>
      </w:r>
      <w:r>
        <w:rPr>
          <w:spacing w:val="-3"/>
          <w:sz w:val="22"/>
        </w:rPr>
        <w:t> </w:t>
      </w:r>
      <w:r>
        <w:rPr>
          <w:spacing w:val="-2"/>
          <w:sz w:val="22"/>
        </w:rPr>
        <w:t>§5.609.</w:t>
      </w:r>
    </w:p>
    <w:p>
      <w:pPr>
        <w:pStyle w:val="ListParagraph"/>
        <w:numPr>
          <w:ilvl w:val="0"/>
          <w:numId w:val="29"/>
        </w:numPr>
        <w:tabs>
          <w:tab w:pos="841" w:val="left" w:leader="none"/>
        </w:tabs>
        <w:spacing w:line="240" w:lineRule="auto" w:before="0" w:after="0"/>
        <w:ind w:left="840" w:right="157" w:hanging="361"/>
        <w:jc w:val="both"/>
        <w:rPr>
          <w:sz w:val="22"/>
        </w:rPr>
      </w:pPr>
      <w:r>
        <w:rPr>
          <w:b/>
          <w:sz w:val="22"/>
        </w:rPr>
        <w:t>Reserved Dwelling Unit </w:t>
      </w:r>
      <w:r>
        <w:rPr>
          <w:sz w:val="22"/>
        </w:rPr>
        <w:t>means the rental or owner-occupied units in a development available to be leased to and occupied by eligible households, or which are currently leased to and occupied by eligible households and are leased at affordable rental rates, or for-sale units sold to an eligible household at an affordable sales price.</w:t>
      </w:r>
    </w:p>
    <w:p>
      <w:pPr>
        <w:pStyle w:val="BodyText"/>
        <w:spacing w:before="6"/>
        <w:rPr>
          <w:sz w:val="21"/>
        </w:rPr>
      </w:pPr>
    </w:p>
    <w:p>
      <w:pPr>
        <w:pStyle w:val="BodyText"/>
        <w:ind w:left="120"/>
      </w:pPr>
      <w:r>
        <w:rPr/>
        <w:t>All</w:t>
      </w:r>
      <w:r>
        <w:rPr>
          <w:spacing w:val="-3"/>
        </w:rPr>
        <w:t> </w:t>
      </w:r>
      <w:r>
        <w:rPr/>
        <w:t>other</w:t>
      </w:r>
      <w:r>
        <w:rPr>
          <w:spacing w:val="-1"/>
        </w:rPr>
        <w:t> </w:t>
      </w:r>
      <w:r>
        <w:rPr/>
        <w:t>capitalized</w:t>
      </w:r>
      <w:r>
        <w:rPr>
          <w:spacing w:val="-5"/>
        </w:rPr>
        <w:t> </w:t>
      </w:r>
      <w:r>
        <w:rPr/>
        <w:t>terms</w:t>
      </w:r>
      <w:r>
        <w:rPr>
          <w:spacing w:val="-2"/>
        </w:rPr>
        <w:t> </w:t>
      </w:r>
      <w:r>
        <w:rPr/>
        <w:t>in</w:t>
      </w:r>
      <w:r>
        <w:rPr>
          <w:spacing w:val="-3"/>
        </w:rPr>
        <w:t> </w:t>
      </w:r>
      <w:r>
        <w:rPr/>
        <w:t>this</w:t>
      </w:r>
      <w:r>
        <w:rPr>
          <w:spacing w:val="-2"/>
        </w:rPr>
        <w:t> </w:t>
      </w:r>
      <w:r>
        <w:rPr/>
        <w:t>Definitions</w:t>
      </w:r>
      <w:r>
        <w:rPr>
          <w:spacing w:val="-2"/>
        </w:rPr>
        <w:t> </w:t>
      </w:r>
      <w:r>
        <w:rPr/>
        <w:t>section</w:t>
      </w:r>
      <w:r>
        <w:rPr>
          <w:spacing w:val="-3"/>
        </w:rPr>
        <w:t> </w:t>
      </w:r>
      <w:r>
        <w:rPr/>
        <w:t>have</w:t>
      </w:r>
      <w:r>
        <w:rPr>
          <w:spacing w:val="-5"/>
        </w:rPr>
        <w:t> </w:t>
      </w:r>
      <w:r>
        <w:rPr/>
        <w:t>the</w:t>
      </w:r>
      <w:r>
        <w:rPr>
          <w:spacing w:val="-5"/>
        </w:rPr>
        <w:t> </w:t>
      </w:r>
      <w:r>
        <w:rPr/>
        <w:t>meaning</w:t>
      </w:r>
      <w:r>
        <w:rPr>
          <w:spacing w:val="-3"/>
        </w:rPr>
        <w:t> </w:t>
      </w:r>
      <w:r>
        <w:rPr/>
        <w:t>assigned</w:t>
      </w:r>
      <w:r>
        <w:rPr>
          <w:spacing w:val="-3"/>
        </w:rPr>
        <w:t> </w:t>
      </w:r>
      <w:r>
        <w:rPr/>
        <w:t>in</w:t>
      </w:r>
      <w:r>
        <w:rPr>
          <w:spacing w:val="-3"/>
        </w:rPr>
        <w:t> </w:t>
      </w:r>
      <w:r>
        <w:rPr/>
        <w:t>Chapter</w:t>
      </w:r>
      <w:r>
        <w:rPr>
          <w:spacing w:val="-4"/>
        </w:rPr>
        <w:t> </w:t>
      </w:r>
      <w:r>
        <w:rPr/>
        <w:t>20A- 24 of the Dallas City Code.</w:t>
      </w:r>
    </w:p>
    <w:p>
      <w:pPr>
        <w:pStyle w:val="BodyText"/>
        <w:spacing w:before="2"/>
      </w:pPr>
    </w:p>
    <w:p>
      <w:pPr>
        <w:pStyle w:val="Heading5"/>
        <w:jc w:val="left"/>
      </w:pPr>
      <w:r>
        <w:rPr>
          <w:spacing w:val="-2"/>
        </w:rPr>
        <w:t>Administration</w:t>
      </w:r>
    </w:p>
    <w:p>
      <w:pPr>
        <w:pStyle w:val="BodyText"/>
        <w:spacing w:before="49"/>
        <w:ind w:left="120" w:right="154" w:hanging="1"/>
        <w:jc w:val="both"/>
      </w:pPr>
      <w:r>
        <w:rPr/>
        <w:t>Under Resolution No. 20-0188 authorized on January 22, 2020, the City Manager is authorized to grant tax abatements</w:t>
      </w:r>
      <w:r>
        <w:rPr>
          <w:spacing w:val="-1"/>
        </w:rPr>
        <w:t> </w:t>
      </w:r>
      <w:r>
        <w:rPr/>
        <w:t>to developers developing</w:t>
      </w:r>
      <w:r>
        <w:rPr>
          <w:spacing w:val="-2"/>
        </w:rPr>
        <w:t> </w:t>
      </w:r>
      <w:r>
        <w:rPr/>
        <w:t>housing in accordance with the Program’s tax abatement guidelines. Additionally, the City Manager may authorize development grants in amounts equal to development fees and certain development-related costs up to $50,000. The Program is administered by the Department of Housing and Neighborhood Revitalization (Department), or a successor department.</w:t>
      </w:r>
    </w:p>
    <w:p>
      <w:pPr>
        <w:pStyle w:val="BodyText"/>
      </w:pPr>
    </w:p>
    <w:p>
      <w:pPr>
        <w:pStyle w:val="BodyText"/>
        <w:ind w:left="120" w:right="155"/>
        <w:jc w:val="both"/>
      </w:pPr>
      <w:r>
        <w:rPr/>
        <w:t>Funding</w:t>
      </w:r>
      <w:r>
        <w:rPr>
          <w:spacing w:val="-7"/>
        </w:rPr>
        <w:t> </w:t>
      </w:r>
      <w:r>
        <w:rPr/>
        <w:t>for</w:t>
      </w:r>
      <w:r>
        <w:rPr>
          <w:spacing w:val="-9"/>
        </w:rPr>
        <w:t> </w:t>
      </w:r>
      <w:r>
        <w:rPr/>
        <w:t>development</w:t>
      </w:r>
      <w:r>
        <w:rPr>
          <w:spacing w:val="-8"/>
        </w:rPr>
        <w:t> </w:t>
      </w:r>
      <w:r>
        <w:rPr/>
        <w:t>grants</w:t>
      </w:r>
      <w:r>
        <w:rPr>
          <w:spacing w:val="-9"/>
        </w:rPr>
        <w:t> </w:t>
      </w:r>
      <w:r>
        <w:rPr/>
        <w:t>in</w:t>
      </w:r>
      <w:r>
        <w:rPr>
          <w:spacing w:val="-10"/>
        </w:rPr>
        <w:t> </w:t>
      </w:r>
      <w:r>
        <w:rPr/>
        <w:t>amounts</w:t>
      </w:r>
      <w:r>
        <w:rPr>
          <w:spacing w:val="-9"/>
        </w:rPr>
        <w:t> </w:t>
      </w:r>
      <w:r>
        <w:rPr/>
        <w:t>equal</w:t>
      </w:r>
      <w:r>
        <w:rPr>
          <w:spacing w:val="-13"/>
        </w:rPr>
        <w:t> </w:t>
      </w:r>
      <w:r>
        <w:rPr/>
        <w:t>to</w:t>
      </w:r>
      <w:r>
        <w:rPr>
          <w:spacing w:val="-7"/>
        </w:rPr>
        <w:t> </w:t>
      </w:r>
      <w:r>
        <w:rPr/>
        <w:t>development</w:t>
      </w:r>
      <w:r>
        <w:rPr>
          <w:spacing w:val="-8"/>
        </w:rPr>
        <w:t> </w:t>
      </w:r>
      <w:r>
        <w:rPr/>
        <w:t>fees</w:t>
      </w:r>
      <w:r>
        <w:rPr>
          <w:spacing w:val="-9"/>
        </w:rPr>
        <w:t> </w:t>
      </w:r>
      <w:r>
        <w:rPr/>
        <w:t>and</w:t>
      </w:r>
      <w:r>
        <w:rPr>
          <w:spacing w:val="-12"/>
        </w:rPr>
        <w:t> </w:t>
      </w:r>
      <w:r>
        <w:rPr/>
        <w:t>certain</w:t>
      </w:r>
      <w:r>
        <w:rPr>
          <w:spacing w:val="-10"/>
        </w:rPr>
        <w:t> </w:t>
      </w:r>
      <w:r>
        <w:rPr/>
        <w:t>development- related costs will be provided as authorized by City Council, including the provision of funding from the Dallas Housing Trust Fund.</w:t>
      </w:r>
    </w:p>
    <w:p>
      <w:pPr>
        <w:pStyle w:val="BodyText"/>
        <w:spacing w:before="1"/>
      </w:pPr>
    </w:p>
    <w:p>
      <w:pPr>
        <w:pStyle w:val="Heading5"/>
      </w:pPr>
      <w:r>
        <w:rPr/>
        <w:t>Application</w:t>
      </w:r>
      <w:r>
        <w:rPr>
          <w:spacing w:val="-5"/>
        </w:rPr>
        <w:t> </w:t>
      </w:r>
      <w:r>
        <w:rPr>
          <w:spacing w:val="-2"/>
        </w:rPr>
        <w:t>Process</w:t>
      </w:r>
    </w:p>
    <w:p>
      <w:pPr>
        <w:pStyle w:val="BodyText"/>
        <w:spacing w:before="50"/>
        <w:ind w:left="120" w:right="156"/>
        <w:jc w:val="both"/>
      </w:pPr>
      <w:r>
        <w:rPr/>
        <w:t>The</w:t>
      </w:r>
      <w:r>
        <w:rPr>
          <w:spacing w:val="-4"/>
        </w:rPr>
        <w:t> </w:t>
      </w:r>
      <w:r>
        <w:rPr/>
        <w:t>Department</w:t>
      </w:r>
      <w:r>
        <w:rPr>
          <w:spacing w:val="-3"/>
        </w:rPr>
        <w:t> </w:t>
      </w:r>
      <w:r>
        <w:rPr/>
        <w:t>will</w:t>
      </w:r>
      <w:r>
        <w:rPr>
          <w:spacing w:val="-5"/>
        </w:rPr>
        <w:t> </w:t>
      </w:r>
      <w:r>
        <w:rPr/>
        <w:t>create,</w:t>
      </w:r>
      <w:r>
        <w:rPr>
          <w:spacing w:val="-3"/>
        </w:rPr>
        <w:t> </w:t>
      </w:r>
      <w:r>
        <w:rPr/>
        <w:t>and</w:t>
      </w:r>
      <w:r>
        <w:rPr>
          <w:spacing w:val="-4"/>
        </w:rPr>
        <w:t> </w:t>
      </w:r>
      <w:r>
        <w:rPr/>
        <w:t>will</w:t>
      </w:r>
      <w:r>
        <w:rPr>
          <w:spacing w:val="-5"/>
        </w:rPr>
        <w:t> </w:t>
      </w:r>
      <w:r>
        <w:rPr/>
        <w:t>periodically</w:t>
      </w:r>
      <w:r>
        <w:rPr>
          <w:spacing w:val="-4"/>
        </w:rPr>
        <w:t> </w:t>
      </w:r>
      <w:r>
        <w:rPr/>
        <w:t>update,</w:t>
      </w:r>
      <w:r>
        <w:rPr>
          <w:spacing w:val="-3"/>
        </w:rPr>
        <w:t> </w:t>
      </w:r>
      <w:r>
        <w:rPr/>
        <w:t>an</w:t>
      </w:r>
      <w:r>
        <w:rPr>
          <w:spacing w:val="-4"/>
        </w:rPr>
        <w:t> </w:t>
      </w:r>
      <w:r>
        <w:rPr/>
        <w:t>application</w:t>
      </w:r>
      <w:r>
        <w:rPr>
          <w:spacing w:val="-7"/>
        </w:rPr>
        <w:t> </w:t>
      </w:r>
      <w:r>
        <w:rPr/>
        <w:t>that</w:t>
      </w:r>
      <w:r>
        <w:rPr>
          <w:spacing w:val="-5"/>
        </w:rPr>
        <w:t> </w:t>
      </w:r>
      <w:r>
        <w:rPr/>
        <w:t>is</w:t>
      </w:r>
      <w:r>
        <w:rPr>
          <w:spacing w:val="-4"/>
        </w:rPr>
        <w:t> </w:t>
      </w:r>
      <w:r>
        <w:rPr/>
        <w:t>consistent</w:t>
      </w:r>
      <w:r>
        <w:rPr>
          <w:spacing w:val="-3"/>
        </w:rPr>
        <w:t> </w:t>
      </w:r>
      <w:r>
        <w:rPr/>
        <w:t>with</w:t>
      </w:r>
      <w:r>
        <w:rPr>
          <w:spacing w:val="-7"/>
        </w:rPr>
        <w:t> </w:t>
      </w:r>
      <w:r>
        <w:rPr/>
        <w:t>the Program and the authorizing statute, as amended, to be used by Applicants who are interested in accessing the incentives provided by this Program. The City may accept applications on a rolling basis or may solicit applications through a competitive application process. Only applications that meet or exceed</w:t>
      </w:r>
      <w:r>
        <w:rPr>
          <w:spacing w:val="-2"/>
        </w:rPr>
        <w:t> </w:t>
      </w:r>
      <w:r>
        <w:rPr/>
        <w:t>the</w:t>
      </w:r>
      <w:r>
        <w:rPr>
          <w:spacing w:val="-2"/>
        </w:rPr>
        <w:t> </w:t>
      </w:r>
      <w:r>
        <w:rPr/>
        <w:t>minimum criteria of the Program are</w:t>
      </w:r>
      <w:r>
        <w:rPr>
          <w:spacing w:val="-2"/>
        </w:rPr>
        <w:t> </w:t>
      </w:r>
      <w:r>
        <w:rPr/>
        <w:t>eligible to be provided an incentive. Creation of</w:t>
      </w:r>
      <w:r>
        <w:rPr>
          <w:spacing w:val="-1"/>
        </w:rPr>
        <w:t> </w:t>
      </w:r>
      <w:r>
        <w:rPr/>
        <w:t>these tax abatement guidelines does not create</w:t>
      </w:r>
      <w:r>
        <w:rPr>
          <w:spacing w:val="-3"/>
        </w:rPr>
        <w:t> </w:t>
      </w:r>
      <w:r>
        <w:rPr/>
        <w:t>any property, contract, or</w:t>
      </w:r>
      <w:r>
        <w:rPr>
          <w:spacing w:val="-5"/>
        </w:rPr>
        <w:t> </w:t>
      </w:r>
      <w:r>
        <w:rPr/>
        <w:t>other</w:t>
      </w:r>
      <w:r>
        <w:rPr>
          <w:spacing w:val="-5"/>
        </w:rPr>
        <w:t> </w:t>
      </w:r>
      <w:r>
        <w:rPr/>
        <w:t>legal</w:t>
      </w:r>
      <w:r>
        <w:rPr>
          <w:spacing w:val="-7"/>
        </w:rPr>
        <w:t> </w:t>
      </w:r>
      <w:r>
        <w:rPr/>
        <w:t>right</w:t>
      </w:r>
      <w:r>
        <w:rPr>
          <w:spacing w:val="-5"/>
        </w:rPr>
        <w:t> </w:t>
      </w:r>
      <w:r>
        <w:rPr/>
        <w:t>in</w:t>
      </w:r>
      <w:r>
        <w:rPr>
          <w:spacing w:val="-6"/>
        </w:rPr>
        <w:t> </w:t>
      </w:r>
      <w:r>
        <w:rPr/>
        <w:t>any</w:t>
      </w:r>
      <w:r>
        <w:rPr>
          <w:spacing w:val="-8"/>
        </w:rPr>
        <w:t> </w:t>
      </w:r>
      <w:r>
        <w:rPr/>
        <w:t>person</w:t>
      </w:r>
      <w:r>
        <w:rPr>
          <w:spacing w:val="-9"/>
        </w:rPr>
        <w:t> </w:t>
      </w:r>
      <w:r>
        <w:rPr/>
        <w:t>to</w:t>
      </w:r>
      <w:r>
        <w:rPr>
          <w:spacing w:val="-6"/>
        </w:rPr>
        <w:t> </w:t>
      </w:r>
      <w:r>
        <w:rPr/>
        <w:t>be</w:t>
      </w:r>
      <w:r>
        <w:rPr>
          <w:spacing w:val="-6"/>
        </w:rPr>
        <w:t> </w:t>
      </w:r>
      <w:r>
        <w:rPr/>
        <w:t>granted</w:t>
      </w:r>
      <w:r>
        <w:rPr>
          <w:spacing w:val="-6"/>
        </w:rPr>
        <w:t> </w:t>
      </w:r>
      <w:r>
        <w:rPr/>
        <w:t>a</w:t>
      </w:r>
      <w:r>
        <w:rPr>
          <w:spacing w:val="-9"/>
        </w:rPr>
        <w:t> </w:t>
      </w:r>
      <w:r>
        <w:rPr/>
        <w:t>specific</w:t>
      </w:r>
      <w:r>
        <w:rPr>
          <w:spacing w:val="-6"/>
        </w:rPr>
        <w:t> </w:t>
      </w:r>
      <w:r>
        <w:rPr/>
        <w:t>application</w:t>
      </w:r>
      <w:r>
        <w:rPr>
          <w:spacing w:val="-6"/>
        </w:rPr>
        <w:t> </w:t>
      </w:r>
      <w:r>
        <w:rPr/>
        <w:t>or</w:t>
      </w:r>
      <w:r>
        <w:rPr>
          <w:spacing w:val="-5"/>
        </w:rPr>
        <w:t> </w:t>
      </w:r>
      <w:r>
        <w:rPr/>
        <w:t>request</w:t>
      </w:r>
      <w:r>
        <w:rPr>
          <w:spacing w:val="-5"/>
        </w:rPr>
        <w:t> </w:t>
      </w:r>
      <w:r>
        <w:rPr/>
        <w:t>for</w:t>
      </w:r>
      <w:r>
        <w:rPr>
          <w:spacing w:val="-8"/>
        </w:rPr>
        <w:t> </w:t>
      </w:r>
      <w:r>
        <w:rPr/>
        <w:t>tax</w:t>
      </w:r>
      <w:r>
        <w:rPr>
          <w:spacing w:val="-6"/>
        </w:rPr>
        <w:t> </w:t>
      </w:r>
      <w:r>
        <w:rPr/>
        <w:t>abatement or grants herein.</w:t>
      </w:r>
    </w:p>
    <w:p>
      <w:pPr>
        <w:pStyle w:val="BodyText"/>
      </w:pPr>
    </w:p>
    <w:p>
      <w:pPr>
        <w:pStyle w:val="Heading5"/>
      </w:pPr>
      <w:r>
        <w:rPr/>
        <w:t>Eligible</w:t>
      </w:r>
      <w:r>
        <w:rPr>
          <w:spacing w:val="-6"/>
        </w:rPr>
        <w:t> </w:t>
      </w:r>
      <w:r>
        <w:rPr/>
        <w:t>Geographic</w:t>
      </w:r>
      <w:r>
        <w:rPr>
          <w:spacing w:val="-6"/>
        </w:rPr>
        <w:t> </w:t>
      </w:r>
      <w:r>
        <w:rPr>
          <w:spacing w:val="-2"/>
        </w:rPr>
        <w:t>Areas</w:t>
      </w:r>
    </w:p>
    <w:p>
      <w:pPr>
        <w:pStyle w:val="BodyText"/>
        <w:spacing w:before="49"/>
        <w:ind w:left="120" w:right="156"/>
        <w:jc w:val="both"/>
      </w:pPr>
      <w:r>
        <w:rPr/>
        <w:t>When</w:t>
      </w:r>
      <w:r>
        <w:rPr>
          <w:spacing w:val="-12"/>
        </w:rPr>
        <w:t> </w:t>
      </w:r>
      <w:r>
        <w:rPr/>
        <w:t>the</w:t>
      </w:r>
      <w:r>
        <w:rPr>
          <w:spacing w:val="-15"/>
        </w:rPr>
        <w:t> </w:t>
      </w:r>
      <w:r>
        <w:rPr/>
        <w:t>City</w:t>
      </w:r>
      <w:r>
        <w:rPr>
          <w:spacing w:val="-12"/>
        </w:rPr>
        <w:t> </w:t>
      </w:r>
      <w:r>
        <w:rPr/>
        <w:t>Council</w:t>
      </w:r>
      <w:r>
        <w:rPr>
          <w:spacing w:val="-13"/>
        </w:rPr>
        <w:t> </w:t>
      </w:r>
      <w:r>
        <w:rPr/>
        <w:t>adopted</w:t>
      </w:r>
      <w:r>
        <w:rPr>
          <w:spacing w:val="-15"/>
        </w:rPr>
        <w:t> </w:t>
      </w:r>
      <w:r>
        <w:rPr/>
        <w:t>the</w:t>
      </w:r>
      <w:r>
        <w:rPr>
          <w:spacing w:val="-12"/>
        </w:rPr>
        <w:t> </w:t>
      </w:r>
      <w:r>
        <w:rPr/>
        <w:t>Comprehensive</w:t>
      </w:r>
      <w:r>
        <w:rPr>
          <w:spacing w:val="-12"/>
        </w:rPr>
        <w:t> </w:t>
      </w:r>
      <w:r>
        <w:rPr/>
        <w:t>Housing</w:t>
      </w:r>
      <w:r>
        <w:rPr>
          <w:spacing w:val="-12"/>
        </w:rPr>
        <w:t> </w:t>
      </w:r>
      <w:r>
        <w:rPr/>
        <w:t>Policy</w:t>
      </w:r>
      <w:r>
        <w:rPr>
          <w:spacing w:val="-12"/>
        </w:rPr>
        <w:t> </w:t>
      </w:r>
      <w:r>
        <w:rPr/>
        <w:t>on</w:t>
      </w:r>
      <w:r>
        <w:rPr>
          <w:spacing w:val="-12"/>
        </w:rPr>
        <w:t> </w:t>
      </w:r>
      <w:r>
        <w:rPr/>
        <w:t>May</w:t>
      </w:r>
      <w:r>
        <w:rPr>
          <w:spacing w:val="-14"/>
        </w:rPr>
        <w:t> </w:t>
      </w:r>
      <w:r>
        <w:rPr/>
        <w:t>9,</w:t>
      </w:r>
      <w:r>
        <w:rPr>
          <w:spacing w:val="-11"/>
        </w:rPr>
        <w:t> </w:t>
      </w:r>
      <w:r>
        <w:rPr/>
        <w:t>2018</w:t>
      </w:r>
      <w:r>
        <w:rPr>
          <w:spacing w:val="-12"/>
        </w:rPr>
        <w:t> </w:t>
      </w:r>
      <w:r>
        <w:rPr/>
        <w:t>by</w:t>
      </w:r>
      <w:r>
        <w:rPr>
          <w:spacing w:val="-12"/>
        </w:rPr>
        <w:t> </w:t>
      </w:r>
      <w:r>
        <w:rPr/>
        <w:t>Resolution No. 18-0704, Council approved the designation of certain geographic areas in Dallas as Reinvestment Strategy Areas (RSAs) where the City would implement specific programs, tools and strategies to address three different real estate market types in need of investment.</w:t>
      </w:r>
    </w:p>
    <w:p>
      <w:pPr>
        <w:pStyle w:val="BodyText"/>
      </w:pPr>
    </w:p>
    <w:p>
      <w:pPr>
        <w:pStyle w:val="BodyText"/>
        <w:ind w:left="120" w:right="157"/>
        <w:jc w:val="both"/>
      </w:pPr>
      <w:r>
        <w:rPr/>
        <w:t>The City Council prioritized the creation of NEZs in RSAs that were categorized as Stabilization Areas.</w:t>
      </w:r>
      <w:r>
        <w:rPr>
          <w:spacing w:val="72"/>
        </w:rPr>
        <w:t> </w:t>
      </w:r>
      <w:r>
        <w:rPr/>
        <w:t>Stabilization</w:t>
      </w:r>
      <w:r>
        <w:rPr>
          <w:spacing w:val="71"/>
        </w:rPr>
        <w:t> </w:t>
      </w:r>
      <w:r>
        <w:rPr/>
        <w:t>areas</w:t>
      </w:r>
      <w:r>
        <w:rPr>
          <w:spacing w:val="71"/>
        </w:rPr>
        <w:t> </w:t>
      </w:r>
      <w:r>
        <w:rPr/>
        <w:t>are</w:t>
      </w:r>
      <w:r>
        <w:rPr>
          <w:spacing w:val="71"/>
        </w:rPr>
        <w:t> </w:t>
      </w:r>
      <w:r>
        <w:rPr/>
        <w:t>characterized</w:t>
      </w:r>
      <w:r>
        <w:rPr>
          <w:spacing w:val="71"/>
        </w:rPr>
        <w:t> </w:t>
      </w:r>
      <w:r>
        <w:rPr/>
        <w:t>as</w:t>
      </w:r>
      <w:r>
        <w:rPr>
          <w:spacing w:val="71"/>
        </w:rPr>
        <w:t> </w:t>
      </w:r>
      <w:r>
        <w:rPr/>
        <w:t>areas</w:t>
      </w:r>
      <w:r>
        <w:rPr>
          <w:spacing w:val="71"/>
        </w:rPr>
        <w:t> </w:t>
      </w:r>
      <w:r>
        <w:rPr/>
        <w:t>with</w:t>
      </w:r>
      <w:r>
        <w:rPr>
          <w:spacing w:val="68"/>
        </w:rPr>
        <w:t> </w:t>
      </w:r>
      <w:r>
        <w:rPr/>
        <w:t>Market</w:t>
      </w:r>
      <w:r>
        <w:rPr>
          <w:spacing w:val="70"/>
        </w:rPr>
        <w:t> </w:t>
      </w:r>
      <w:r>
        <w:rPr/>
        <w:t>Value</w:t>
      </w:r>
      <w:r>
        <w:rPr>
          <w:spacing w:val="71"/>
        </w:rPr>
        <w:t> </w:t>
      </w:r>
      <w:r>
        <w:rPr/>
        <w:t>Analysis</w:t>
      </w:r>
      <w:r>
        <w:rPr>
          <w:spacing w:val="71"/>
        </w:rPr>
        <w:t> </w:t>
      </w:r>
      <w:r>
        <w:rPr/>
        <w:t>(MVA)</w:t>
      </w:r>
    </w:p>
    <w:p>
      <w:pPr>
        <w:spacing w:after="0"/>
        <w:jc w:val="both"/>
        <w:sectPr>
          <w:pgSz w:w="12240" w:h="15840"/>
          <w:pgMar w:header="0" w:footer="1176" w:top="1360" w:bottom="1420" w:left="1320" w:right="1280"/>
        </w:sectPr>
      </w:pPr>
    </w:p>
    <w:p>
      <w:pPr>
        <w:pStyle w:val="BodyText"/>
        <w:spacing w:before="80"/>
        <w:ind w:left="119" w:right="156"/>
        <w:jc w:val="both"/>
      </w:pPr>
      <w:r>
        <w:rPr/>
        <w:t>categories</w:t>
      </w:r>
      <w:r>
        <w:rPr>
          <w:spacing w:val="-11"/>
        </w:rPr>
        <w:t> </w:t>
      </w:r>
      <w:r>
        <w:rPr/>
        <w:t>G,</w:t>
      </w:r>
      <w:r>
        <w:rPr>
          <w:spacing w:val="-7"/>
        </w:rPr>
        <w:t> </w:t>
      </w:r>
      <w:r>
        <w:rPr/>
        <w:t>H,</w:t>
      </w:r>
      <w:r>
        <w:rPr>
          <w:spacing w:val="-10"/>
        </w:rPr>
        <w:t> </w:t>
      </w:r>
      <w:r>
        <w:rPr/>
        <w:t>and</w:t>
      </w:r>
      <w:r>
        <w:rPr>
          <w:spacing w:val="-11"/>
        </w:rPr>
        <w:t> </w:t>
      </w:r>
      <w:r>
        <w:rPr/>
        <w:t>I</w:t>
      </w:r>
      <w:r>
        <w:rPr>
          <w:spacing w:val="-10"/>
        </w:rPr>
        <w:t> </w:t>
      </w:r>
      <w:r>
        <w:rPr/>
        <w:t>that</w:t>
      </w:r>
      <w:r>
        <w:rPr>
          <w:spacing w:val="-7"/>
        </w:rPr>
        <w:t> </w:t>
      </w:r>
      <w:r>
        <w:rPr/>
        <w:t>are</w:t>
      </w:r>
      <w:r>
        <w:rPr>
          <w:spacing w:val="-11"/>
        </w:rPr>
        <w:t> </w:t>
      </w:r>
      <w:r>
        <w:rPr/>
        <w:t>surrounded</w:t>
      </w:r>
      <w:r>
        <w:rPr>
          <w:spacing w:val="-9"/>
        </w:rPr>
        <w:t> </w:t>
      </w:r>
      <w:r>
        <w:rPr/>
        <w:t>by</w:t>
      </w:r>
      <w:r>
        <w:rPr>
          <w:spacing w:val="-11"/>
        </w:rPr>
        <w:t> </w:t>
      </w:r>
      <w:r>
        <w:rPr/>
        <w:t>MVA</w:t>
      </w:r>
      <w:r>
        <w:rPr>
          <w:spacing w:val="-9"/>
        </w:rPr>
        <w:t> </w:t>
      </w:r>
      <w:r>
        <w:rPr/>
        <w:t>categories</w:t>
      </w:r>
      <w:r>
        <w:rPr>
          <w:spacing w:val="-11"/>
        </w:rPr>
        <w:t> </w:t>
      </w:r>
      <w:r>
        <w:rPr/>
        <w:t>A-E</w:t>
      </w:r>
      <w:r>
        <w:rPr>
          <w:spacing w:val="-9"/>
        </w:rPr>
        <w:t> </w:t>
      </w:r>
      <w:r>
        <w:rPr/>
        <w:t>and,</w:t>
      </w:r>
      <w:r>
        <w:rPr>
          <w:spacing w:val="-7"/>
        </w:rPr>
        <w:t> </w:t>
      </w:r>
      <w:r>
        <w:rPr/>
        <w:t>as</w:t>
      </w:r>
      <w:r>
        <w:rPr>
          <w:spacing w:val="-11"/>
        </w:rPr>
        <w:t> </w:t>
      </w:r>
      <w:r>
        <w:rPr/>
        <w:t>such,</w:t>
      </w:r>
      <w:r>
        <w:rPr>
          <w:spacing w:val="-10"/>
        </w:rPr>
        <w:t> </w:t>
      </w:r>
      <w:r>
        <w:rPr/>
        <w:t>are</w:t>
      </w:r>
      <w:r>
        <w:rPr>
          <w:spacing w:val="-11"/>
        </w:rPr>
        <w:t> </w:t>
      </w:r>
      <w:r>
        <w:rPr/>
        <w:t>areas</w:t>
      </w:r>
      <w:r>
        <w:rPr>
          <w:spacing w:val="-11"/>
        </w:rPr>
        <w:t> </w:t>
      </w:r>
      <w:r>
        <w:rPr/>
        <w:t>where residents are at risk of displacement based on known market conditions. Because of this risk, creating NEZs in stabilization areas helps the City preserve affordability and deconcentrate racially and ethnically concentrated areas of poverty (RECAPs).</w:t>
      </w:r>
    </w:p>
    <w:p>
      <w:pPr>
        <w:pStyle w:val="BodyText"/>
        <w:spacing w:before="11"/>
        <w:rPr>
          <w:sz w:val="21"/>
        </w:rPr>
      </w:pPr>
    </w:p>
    <w:p>
      <w:pPr>
        <w:pStyle w:val="BodyText"/>
        <w:ind w:left="119" w:right="162"/>
        <w:jc w:val="both"/>
      </w:pPr>
      <w:r>
        <w:rPr/>
        <w:t>Only lots within Council-authorized Residential Neighborhood Empowerment Zones are eligible for the Residential NEZ program.</w:t>
      </w:r>
    </w:p>
    <w:p>
      <w:pPr>
        <w:pStyle w:val="BodyText"/>
        <w:spacing w:before="10"/>
        <w:rPr>
          <w:sz w:val="21"/>
        </w:rPr>
      </w:pPr>
    </w:p>
    <w:p>
      <w:pPr>
        <w:pStyle w:val="Heading5"/>
        <w:spacing w:before="1"/>
        <w:ind w:left="119"/>
      </w:pPr>
      <w:r>
        <w:rPr/>
        <w:pict>
          <v:shape style="position:absolute;margin-left:90.065002pt;margin-top:13.375229pt;width:395.3pt;height:419pt;mso-position-horizontal-relative:page;mso-position-vertical-relative:paragraph;z-index:-17672704" id="docshape141" coordorigin="1801,268" coordsize="7906,8380" path="m4498,7531l4492,7458,4477,7380,4455,7297,4432,7228,4403,7156,4367,7081,4325,7003,4276,6922,4237,6863,4200,6812,4200,7498,4197,7554,4186,7611,4167,7669,4138,7728,4097,7791,4044,7857,3979,7926,3674,8232,2216,6774,2517,6473,2598,6397,2672,6337,2740,6294,2801,6267,2868,6253,2941,6249,3020,6255,3105,6273,3195,6302,3255,6328,3317,6360,3380,6399,3446,6444,3514,6496,3584,6554,3656,6619,3729,6690,3789,6751,3845,6812,3896,6871,3943,6928,3986,6985,4025,7040,4059,7094,4101,7169,4136,7241,4163,7311,4183,7378,4196,7442,4200,7498,4200,6812,4194,6803,4148,6743,4098,6683,4045,6622,3989,6560,3929,6499,3865,6436,3801,6378,3737,6323,3673,6272,3643,6249,3609,6224,3546,6179,3482,6138,3419,6100,3346,6062,3274,6030,3203,6003,3132,5981,3062,5964,2992,5952,2923,5944,2850,5943,2779,5950,2709,5965,2642,5987,2577,6018,2528,6046,2476,6083,2420,6129,2359,6183,2294,6245,1801,6738,3710,8647,4124,8232,4226,8130,4287,8065,4341,8000,4386,7934,4424,7867,4454,7801,4476,7734,4491,7667,4498,7600,4498,7531xm6418,5938l6056,5810,5650,5668,5561,5638,5475,5614,5393,5595,5365,5590,5314,5581,5239,5571,5193,5569,5143,5572,5089,5579,5030,5590,5073,5521,5109,5451,5136,5382,5154,5313,5164,5244,5165,5176,5157,5108,5139,5030,5111,4954,5075,4880,5030,4807,4976,4736,4956,4714,4913,4668,4872,4629,4872,5187,4868,5242,4854,5297,4830,5354,4794,5412,4747,5473,4687,5537,4280,5944,3649,5313,4102,4860,4166,4803,4229,4759,4293,4730,4358,4715,4422,4714,4501,4729,4577,4759,4649,4803,4718,4863,4761,4910,4797,4961,4827,5015,4851,5071,4867,5130,4872,5187,4872,4629,4849,4608,4782,4556,4713,4510,4641,4472,4566,4439,4474,4411,4386,4398,4303,4400,4225,4416,4163,4441,4098,4478,4030,4526,3958,4586,3883,4657,3248,5291,5157,7200,5346,7010,4499,6163,4718,5944,4753,5909,4783,5882,4810,5861,4833,5847,4863,5833,4896,5822,4932,5815,4971,5810,5014,5811,5066,5816,5125,5826,5194,5842,5256,5860,5328,5881,5407,5906,5496,5935,6180,6176,6418,5938xm7780,4576l7415,4381,6555,3927,6555,4234,6070,4719,6030,4647,5989,4576,5748,4145,5708,4073,5668,4002,5629,3936,5590,3872,5550,3808,5509,3745,5467,3682,5424,3621,5380,3560,5436,3596,5498,3634,5564,3674,5635,3716,5792,3806,6555,4234,6555,3927,5862,3560,5286,3253,5082,3458,5277,3808,5316,3878,5701,4576,6207,5495,6441,5916,6642,5714,6565,5581,6298,5113,6221,4979,6481,4719,6820,4381,7173,4576,7565,4792,7780,4576xm8131,4225l7264,3358,7936,2687,7711,2461,7039,3133,6448,2542,7224,1766,6999,1541,6033,2506,7941,4415,8131,4225xm9707,2649l8024,966,8497,493,8272,268,7138,1402,7363,1627,7834,1156,9517,2839,9707,2649xe" filled="true" fillcolor="#c0c0c0" stroked="false">
            <v:path arrowok="t"/>
            <v:fill opacity="32896f" type="solid"/>
            <w10:wrap type="none"/>
          </v:shape>
        </w:pict>
      </w:r>
      <w:r>
        <w:rPr/>
        <w:t>Eligible</w:t>
      </w:r>
      <w:r>
        <w:rPr>
          <w:spacing w:val="-6"/>
        </w:rPr>
        <w:t> </w:t>
      </w:r>
      <w:r>
        <w:rPr/>
        <w:t>Activities</w:t>
      </w:r>
      <w:r>
        <w:rPr>
          <w:spacing w:val="-4"/>
        </w:rPr>
        <w:t> </w:t>
      </w:r>
      <w:r>
        <w:rPr/>
        <w:t>and</w:t>
      </w:r>
      <w:r>
        <w:rPr>
          <w:spacing w:val="-9"/>
        </w:rPr>
        <w:t> </w:t>
      </w:r>
      <w:r>
        <w:rPr/>
        <w:t>Affordability</w:t>
      </w:r>
      <w:r>
        <w:rPr>
          <w:spacing w:val="-5"/>
        </w:rPr>
        <w:t> </w:t>
      </w:r>
      <w:r>
        <w:rPr>
          <w:spacing w:val="-2"/>
        </w:rPr>
        <w:t>Requirements</w:t>
      </w:r>
    </w:p>
    <w:p>
      <w:pPr>
        <w:pStyle w:val="BodyText"/>
        <w:spacing w:before="51"/>
        <w:ind w:left="480" w:right="154"/>
        <w:jc w:val="both"/>
      </w:pPr>
      <w:r>
        <w:rPr>
          <w:b/>
        </w:rPr>
        <w:t>Development of New Affordable Housing Units on Previously Vacant Land:</w:t>
      </w:r>
      <w:r>
        <w:rPr>
          <w:b/>
          <w:spacing w:val="40"/>
        </w:rPr>
        <w:t> </w:t>
      </w:r>
      <w:r>
        <w:rPr/>
        <w:t>New construction of single family or duplex housing units that are sold or rented to eligible households, or new construction of multifamily dwelling units that are sold to eligible households.</w:t>
      </w:r>
      <w:r>
        <w:rPr>
          <w:spacing w:val="-16"/>
        </w:rPr>
        <w:t> </w:t>
      </w:r>
      <w:r>
        <w:rPr/>
        <w:t>The</w:t>
      </w:r>
      <w:r>
        <w:rPr>
          <w:spacing w:val="-15"/>
        </w:rPr>
        <w:t> </w:t>
      </w:r>
      <w:r>
        <w:rPr/>
        <w:t>Program</w:t>
      </w:r>
      <w:r>
        <w:rPr>
          <w:spacing w:val="-14"/>
        </w:rPr>
        <w:t> </w:t>
      </w:r>
      <w:r>
        <w:rPr/>
        <w:t>is</w:t>
      </w:r>
      <w:r>
        <w:rPr>
          <w:spacing w:val="-15"/>
        </w:rPr>
        <w:t> </w:t>
      </w:r>
      <w:r>
        <w:rPr/>
        <w:t>limited</w:t>
      </w:r>
      <w:r>
        <w:rPr>
          <w:spacing w:val="-16"/>
        </w:rPr>
        <w:t> </w:t>
      </w:r>
      <w:r>
        <w:rPr/>
        <w:t>to</w:t>
      </w:r>
      <w:r>
        <w:rPr>
          <w:spacing w:val="-15"/>
        </w:rPr>
        <w:t> </w:t>
      </w:r>
      <w:r>
        <w:rPr/>
        <w:t>new</w:t>
      </w:r>
      <w:r>
        <w:rPr>
          <w:spacing w:val="-14"/>
        </w:rPr>
        <w:t> </w:t>
      </w:r>
      <w:r>
        <w:rPr/>
        <w:t>construction</w:t>
      </w:r>
      <w:r>
        <w:rPr>
          <w:spacing w:val="-16"/>
        </w:rPr>
        <w:t> </w:t>
      </w:r>
      <w:r>
        <w:rPr/>
        <w:t>that</w:t>
      </w:r>
      <w:r>
        <w:rPr>
          <w:spacing w:val="-15"/>
        </w:rPr>
        <w:t> </w:t>
      </w:r>
      <w:r>
        <w:rPr/>
        <w:t>occurs</w:t>
      </w:r>
      <w:r>
        <w:rPr>
          <w:spacing w:val="-13"/>
        </w:rPr>
        <w:t> </w:t>
      </w:r>
      <w:r>
        <w:rPr/>
        <w:t>1)</w:t>
      </w:r>
      <w:r>
        <w:rPr>
          <w:spacing w:val="-13"/>
        </w:rPr>
        <w:t> </w:t>
      </w:r>
      <w:r>
        <w:rPr/>
        <w:t>on</w:t>
      </w:r>
      <w:r>
        <w:rPr>
          <w:spacing w:val="-16"/>
        </w:rPr>
        <w:t> </w:t>
      </w:r>
      <w:r>
        <w:rPr/>
        <w:t>vacant</w:t>
      </w:r>
      <w:r>
        <w:rPr>
          <w:spacing w:val="-12"/>
        </w:rPr>
        <w:t> </w:t>
      </w:r>
      <w:r>
        <w:rPr/>
        <w:t>lots</w:t>
      </w:r>
      <w:r>
        <w:rPr>
          <w:spacing w:val="-16"/>
        </w:rPr>
        <w:t> </w:t>
      </w:r>
      <w:r>
        <w:rPr/>
        <w:t>that</w:t>
      </w:r>
      <w:r>
        <w:rPr>
          <w:spacing w:val="-15"/>
        </w:rPr>
        <w:t> </w:t>
      </w:r>
      <w:r>
        <w:rPr/>
        <w:t>have not</w:t>
      </w:r>
      <w:r>
        <w:rPr>
          <w:spacing w:val="-1"/>
        </w:rPr>
        <w:t> </w:t>
      </w:r>
      <w:r>
        <w:rPr/>
        <w:t>had</w:t>
      </w:r>
      <w:r>
        <w:rPr>
          <w:spacing w:val="-4"/>
        </w:rPr>
        <w:t> </w:t>
      </w:r>
      <w:r>
        <w:rPr/>
        <w:t>a</w:t>
      </w:r>
      <w:r>
        <w:rPr>
          <w:spacing w:val="-4"/>
        </w:rPr>
        <w:t> </w:t>
      </w:r>
      <w:r>
        <w:rPr/>
        <w:t>residential</w:t>
      </w:r>
      <w:r>
        <w:rPr>
          <w:spacing w:val="-3"/>
        </w:rPr>
        <w:t> </w:t>
      </w:r>
      <w:r>
        <w:rPr/>
        <w:t>use</w:t>
      </w:r>
      <w:r>
        <w:rPr>
          <w:spacing w:val="-4"/>
        </w:rPr>
        <w:t> </w:t>
      </w:r>
      <w:r>
        <w:rPr/>
        <w:t>(as</w:t>
      </w:r>
      <w:r>
        <w:rPr>
          <w:spacing w:val="-4"/>
        </w:rPr>
        <w:t> </w:t>
      </w:r>
      <w:r>
        <w:rPr/>
        <w:t>defined</w:t>
      </w:r>
      <w:r>
        <w:rPr>
          <w:spacing w:val="-4"/>
        </w:rPr>
        <w:t> </w:t>
      </w:r>
      <w:r>
        <w:rPr/>
        <w:t>by</w:t>
      </w:r>
      <w:r>
        <w:rPr>
          <w:spacing w:val="-2"/>
        </w:rPr>
        <w:t> </w:t>
      </w:r>
      <w:r>
        <w:rPr/>
        <w:t>Sec.</w:t>
      </w:r>
      <w:r>
        <w:rPr>
          <w:spacing w:val="-1"/>
        </w:rPr>
        <w:t> </w:t>
      </w:r>
      <w:r>
        <w:rPr/>
        <w:t>51A-4.209</w:t>
      </w:r>
      <w:r>
        <w:rPr>
          <w:spacing w:val="-4"/>
        </w:rPr>
        <w:t> </w:t>
      </w:r>
      <w:r>
        <w:rPr/>
        <w:t>of</w:t>
      </w:r>
      <w:r>
        <w:rPr>
          <w:spacing w:val="-3"/>
        </w:rPr>
        <w:t> </w:t>
      </w:r>
      <w:r>
        <w:rPr/>
        <w:t>the</w:t>
      </w:r>
      <w:r>
        <w:rPr>
          <w:spacing w:val="-4"/>
        </w:rPr>
        <w:t> </w:t>
      </w:r>
      <w:r>
        <w:rPr/>
        <w:t>Dallas</w:t>
      </w:r>
      <w:r>
        <w:rPr>
          <w:spacing w:val="-2"/>
        </w:rPr>
        <w:t> </w:t>
      </w:r>
      <w:r>
        <w:rPr/>
        <w:t>Development</w:t>
      </w:r>
      <w:r>
        <w:rPr>
          <w:spacing w:val="-1"/>
        </w:rPr>
        <w:t> </w:t>
      </w:r>
      <w:r>
        <w:rPr/>
        <w:t>Code,</w:t>
      </w:r>
      <w:r>
        <w:rPr>
          <w:spacing w:val="-1"/>
        </w:rPr>
        <w:t> </w:t>
      </w:r>
      <w:r>
        <w:rPr/>
        <w:t>as amended) for at least five years, 2) on lots that are subject to an order of demolition issued under Chapter 27 of the Dallas City Code at the time of application, or 3) lots purchased through the City’s Land Bank or Land Transfer programs. The new home shall remain affordable for the period of abatement.</w:t>
      </w:r>
    </w:p>
    <w:p>
      <w:pPr>
        <w:pStyle w:val="ListParagraph"/>
        <w:numPr>
          <w:ilvl w:val="0"/>
          <w:numId w:val="29"/>
        </w:numPr>
        <w:tabs>
          <w:tab w:pos="841" w:val="left" w:leader="none"/>
        </w:tabs>
        <w:spacing w:line="268" w:lineRule="exact" w:before="0" w:after="0"/>
        <w:ind w:left="840" w:right="0" w:hanging="361"/>
        <w:jc w:val="both"/>
        <w:rPr>
          <w:sz w:val="22"/>
        </w:rPr>
      </w:pPr>
      <w:r>
        <w:rPr>
          <w:b/>
          <w:sz w:val="22"/>
        </w:rPr>
        <w:t>Investment</w:t>
      </w:r>
      <w:r>
        <w:rPr>
          <w:b/>
          <w:spacing w:val="40"/>
          <w:sz w:val="22"/>
        </w:rPr>
        <w:t> </w:t>
      </w:r>
      <w:r>
        <w:rPr>
          <w:b/>
          <w:sz w:val="22"/>
        </w:rPr>
        <w:t>in</w:t>
      </w:r>
      <w:r>
        <w:rPr>
          <w:b/>
          <w:spacing w:val="43"/>
          <w:sz w:val="22"/>
        </w:rPr>
        <w:t> </w:t>
      </w:r>
      <w:r>
        <w:rPr>
          <w:b/>
          <w:sz w:val="22"/>
        </w:rPr>
        <w:t>Repairs</w:t>
      </w:r>
      <w:r>
        <w:rPr>
          <w:b/>
          <w:spacing w:val="42"/>
          <w:sz w:val="22"/>
        </w:rPr>
        <w:t> </w:t>
      </w:r>
      <w:r>
        <w:rPr>
          <w:b/>
          <w:sz w:val="22"/>
        </w:rPr>
        <w:t>to</w:t>
      </w:r>
      <w:r>
        <w:rPr>
          <w:b/>
          <w:spacing w:val="41"/>
          <w:sz w:val="22"/>
        </w:rPr>
        <w:t> </w:t>
      </w:r>
      <w:r>
        <w:rPr>
          <w:b/>
          <w:sz w:val="22"/>
        </w:rPr>
        <w:t>Owner-Occupied</w:t>
      </w:r>
      <w:r>
        <w:rPr>
          <w:b/>
          <w:spacing w:val="44"/>
          <w:sz w:val="22"/>
        </w:rPr>
        <w:t> </w:t>
      </w:r>
      <w:r>
        <w:rPr>
          <w:b/>
          <w:sz w:val="22"/>
        </w:rPr>
        <w:t>Housing</w:t>
      </w:r>
      <w:r>
        <w:rPr>
          <w:b/>
          <w:spacing w:val="43"/>
          <w:sz w:val="22"/>
        </w:rPr>
        <w:t> </w:t>
      </w:r>
      <w:r>
        <w:rPr>
          <w:b/>
          <w:sz w:val="22"/>
        </w:rPr>
        <w:t>Units:</w:t>
      </w:r>
      <w:r>
        <w:rPr>
          <w:b/>
          <w:spacing w:val="42"/>
          <w:sz w:val="22"/>
        </w:rPr>
        <w:t> </w:t>
      </w:r>
      <w:r>
        <w:rPr>
          <w:sz w:val="22"/>
        </w:rPr>
        <w:t>Investment</w:t>
      </w:r>
      <w:r>
        <w:rPr>
          <w:spacing w:val="46"/>
          <w:sz w:val="22"/>
        </w:rPr>
        <w:t> </w:t>
      </w:r>
      <w:r>
        <w:rPr>
          <w:sz w:val="22"/>
        </w:rPr>
        <w:t>of</w:t>
      </w:r>
      <w:r>
        <w:rPr>
          <w:spacing w:val="42"/>
          <w:sz w:val="22"/>
        </w:rPr>
        <w:t> </w:t>
      </w:r>
      <w:r>
        <w:rPr>
          <w:sz w:val="22"/>
        </w:rPr>
        <w:t>at</w:t>
      </w:r>
      <w:r>
        <w:rPr>
          <w:spacing w:val="46"/>
          <w:sz w:val="22"/>
        </w:rPr>
        <w:t> </w:t>
      </w:r>
      <w:r>
        <w:rPr>
          <w:spacing w:val="-2"/>
          <w:sz w:val="22"/>
        </w:rPr>
        <w:t>least</w:t>
      </w:r>
    </w:p>
    <w:p>
      <w:pPr>
        <w:pStyle w:val="BodyText"/>
        <w:ind w:left="840" w:right="158"/>
        <w:jc w:val="both"/>
      </w:pPr>
      <w:r>
        <w:rPr/>
        <w:t>$5,000</w:t>
      </w:r>
      <w:r>
        <w:rPr>
          <w:spacing w:val="-3"/>
        </w:rPr>
        <w:t> </w:t>
      </w:r>
      <w:r>
        <w:rPr/>
        <w:t>in</w:t>
      </w:r>
      <w:r>
        <w:rPr>
          <w:spacing w:val="-3"/>
        </w:rPr>
        <w:t> </w:t>
      </w:r>
      <w:r>
        <w:rPr/>
        <w:t>repairs</w:t>
      </w:r>
      <w:r>
        <w:rPr>
          <w:spacing w:val="-5"/>
        </w:rPr>
        <w:t> </w:t>
      </w:r>
      <w:r>
        <w:rPr/>
        <w:t>to</w:t>
      </w:r>
      <w:r>
        <w:rPr>
          <w:spacing w:val="-3"/>
        </w:rPr>
        <w:t> </w:t>
      </w:r>
      <w:r>
        <w:rPr/>
        <w:t>a</w:t>
      </w:r>
      <w:r>
        <w:rPr>
          <w:spacing w:val="-3"/>
        </w:rPr>
        <w:t> </w:t>
      </w:r>
      <w:r>
        <w:rPr/>
        <w:t>home</w:t>
      </w:r>
      <w:r>
        <w:rPr>
          <w:spacing w:val="-3"/>
        </w:rPr>
        <w:t> </w:t>
      </w:r>
      <w:r>
        <w:rPr/>
        <w:t>owned</w:t>
      </w:r>
      <w:r>
        <w:rPr>
          <w:spacing w:val="-3"/>
        </w:rPr>
        <w:t> </w:t>
      </w:r>
      <w:r>
        <w:rPr/>
        <w:t>by</w:t>
      </w:r>
      <w:r>
        <w:rPr>
          <w:spacing w:val="-5"/>
        </w:rPr>
        <w:t> </w:t>
      </w:r>
      <w:r>
        <w:rPr/>
        <w:t>an</w:t>
      </w:r>
      <w:r>
        <w:rPr>
          <w:spacing w:val="-3"/>
        </w:rPr>
        <w:t> </w:t>
      </w:r>
      <w:r>
        <w:rPr/>
        <w:t>eligible</w:t>
      </w:r>
      <w:r>
        <w:rPr>
          <w:spacing w:val="-3"/>
        </w:rPr>
        <w:t> </w:t>
      </w:r>
      <w:r>
        <w:rPr/>
        <w:t>household.</w:t>
      </w:r>
      <w:r>
        <w:rPr>
          <w:spacing w:val="-1"/>
        </w:rPr>
        <w:t> </w:t>
      </w:r>
      <w:r>
        <w:rPr/>
        <w:t>The</w:t>
      </w:r>
      <w:r>
        <w:rPr>
          <w:spacing w:val="-5"/>
        </w:rPr>
        <w:t> </w:t>
      </w:r>
      <w:r>
        <w:rPr/>
        <w:t>minimum</w:t>
      </w:r>
      <w:r>
        <w:rPr>
          <w:spacing w:val="-1"/>
        </w:rPr>
        <w:t> </w:t>
      </w:r>
      <w:r>
        <w:rPr/>
        <w:t>investment</w:t>
      </w:r>
      <w:r>
        <w:rPr>
          <w:spacing w:val="-1"/>
        </w:rPr>
        <w:t> </w:t>
      </w:r>
      <w:r>
        <w:rPr/>
        <w:t>of at least $5,000 must be focused first on water/weather proofing, and then on essential systems such as roofing, electrical, HVAC and plumbing.</w:t>
      </w:r>
    </w:p>
    <w:p>
      <w:pPr>
        <w:pStyle w:val="ListParagraph"/>
        <w:numPr>
          <w:ilvl w:val="0"/>
          <w:numId w:val="29"/>
        </w:numPr>
        <w:tabs>
          <w:tab w:pos="841" w:val="left" w:leader="none"/>
        </w:tabs>
        <w:spacing w:line="240" w:lineRule="auto" w:before="0" w:after="0"/>
        <w:ind w:left="840" w:right="153" w:hanging="360"/>
        <w:jc w:val="both"/>
        <w:rPr>
          <w:sz w:val="22"/>
        </w:rPr>
      </w:pPr>
      <w:r>
        <w:rPr>
          <w:b/>
          <w:sz w:val="22"/>
        </w:rPr>
        <w:t>Investment</w:t>
      </w:r>
      <w:r>
        <w:rPr>
          <w:b/>
          <w:spacing w:val="-16"/>
          <w:sz w:val="22"/>
        </w:rPr>
        <w:t> </w:t>
      </w:r>
      <w:r>
        <w:rPr>
          <w:b/>
          <w:sz w:val="22"/>
        </w:rPr>
        <w:t>in</w:t>
      </w:r>
      <w:r>
        <w:rPr>
          <w:b/>
          <w:spacing w:val="-15"/>
          <w:sz w:val="22"/>
        </w:rPr>
        <w:t> </w:t>
      </w:r>
      <w:r>
        <w:rPr>
          <w:b/>
          <w:sz w:val="22"/>
        </w:rPr>
        <w:t>Repairs</w:t>
      </w:r>
      <w:r>
        <w:rPr>
          <w:b/>
          <w:spacing w:val="-15"/>
          <w:sz w:val="22"/>
        </w:rPr>
        <w:t> </w:t>
      </w:r>
      <w:r>
        <w:rPr>
          <w:b/>
          <w:sz w:val="22"/>
        </w:rPr>
        <w:t>to</w:t>
      </w:r>
      <w:r>
        <w:rPr>
          <w:b/>
          <w:spacing w:val="-16"/>
          <w:sz w:val="22"/>
        </w:rPr>
        <w:t> </w:t>
      </w:r>
      <w:r>
        <w:rPr>
          <w:b/>
          <w:sz w:val="22"/>
        </w:rPr>
        <w:t>Single</w:t>
      </w:r>
      <w:r>
        <w:rPr>
          <w:b/>
          <w:spacing w:val="-15"/>
          <w:sz w:val="22"/>
        </w:rPr>
        <w:t> </w:t>
      </w:r>
      <w:r>
        <w:rPr>
          <w:b/>
          <w:sz w:val="22"/>
        </w:rPr>
        <w:t>Family</w:t>
      </w:r>
      <w:r>
        <w:rPr>
          <w:b/>
          <w:spacing w:val="-15"/>
          <w:sz w:val="22"/>
        </w:rPr>
        <w:t> </w:t>
      </w:r>
      <w:r>
        <w:rPr>
          <w:b/>
          <w:sz w:val="22"/>
        </w:rPr>
        <w:t>and</w:t>
      </w:r>
      <w:r>
        <w:rPr>
          <w:b/>
          <w:spacing w:val="-15"/>
          <w:sz w:val="22"/>
        </w:rPr>
        <w:t> </w:t>
      </w:r>
      <w:r>
        <w:rPr>
          <w:b/>
          <w:sz w:val="22"/>
        </w:rPr>
        <w:t>Duplex</w:t>
      </w:r>
      <w:r>
        <w:rPr>
          <w:b/>
          <w:spacing w:val="-16"/>
          <w:sz w:val="22"/>
        </w:rPr>
        <w:t> </w:t>
      </w:r>
      <w:r>
        <w:rPr>
          <w:b/>
          <w:sz w:val="22"/>
        </w:rPr>
        <w:t>Rental</w:t>
      </w:r>
      <w:r>
        <w:rPr>
          <w:b/>
          <w:spacing w:val="-15"/>
          <w:sz w:val="22"/>
        </w:rPr>
        <w:t> </w:t>
      </w:r>
      <w:r>
        <w:rPr>
          <w:b/>
          <w:sz w:val="22"/>
        </w:rPr>
        <w:t>Housing</w:t>
      </w:r>
      <w:r>
        <w:rPr>
          <w:b/>
          <w:spacing w:val="-15"/>
          <w:sz w:val="22"/>
        </w:rPr>
        <w:t> </w:t>
      </w:r>
      <w:r>
        <w:rPr>
          <w:b/>
          <w:sz w:val="22"/>
        </w:rPr>
        <w:t>Units:</w:t>
      </w:r>
      <w:r>
        <w:rPr>
          <w:b/>
          <w:spacing w:val="-16"/>
          <w:sz w:val="22"/>
        </w:rPr>
        <w:t> </w:t>
      </w:r>
      <w:r>
        <w:rPr>
          <w:sz w:val="22"/>
        </w:rPr>
        <w:t>Investment in</w:t>
      </w:r>
      <w:r>
        <w:rPr>
          <w:spacing w:val="-9"/>
          <w:sz w:val="22"/>
        </w:rPr>
        <w:t> </w:t>
      </w:r>
      <w:r>
        <w:rPr>
          <w:sz w:val="22"/>
        </w:rPr>
        <w:t>all</w:t>
      </w:r>
      <w:r>
        <w:rPr>
          <w:spacing w:val="-9"/>
          <w:sz w:val="22"/>
        </w:rPr>
        <w:t> </w:t>
      </w:r>
      <w:r>
        <w:rPr>
          <w:sz w:val="22"/>
        </w:rPr>
        <w:t>repairs</w:t>
      </w:r>
      <w:r>
        <w:rPr>
          <w:spacing w:val="-8"/>
          <w:sz w:val="22"/>
        </w:rPr>
        <w:t> </w:t>
      </w:r>
      <w:r>
        <w:rPr>
          <w:sz w:val="22"/>
        </w:rPr>
        <w:t>necessary</w:t>
      </w:r>
      <w:r>
        <w:rPr>
          <w:spacing w:val="-11"/>
          <w:sz w:val="22"/>
        </w:rPr>
        <w:t> </w:t>
      </w:r>
      <w:r>
        <w:rPr>
          <w:sz w:val="22"/>
        </w:rPr>
        <w:t>to</w:t>
      </w:r>
      <w:r>
        <w:rPr>
          <w:spacing w:val="-9"/>
          <w:sz w:val="22"/>
        </w:rPr>
        <w:t> </w:t>
      </w:r>
      <w:r>
        <w:rPr>
          <w:sz w:val="22"/>
        </w:rPr>
        <w:t>bring</w:t>
      </w:r>
      <w:r>
        <w:rPr>
          <w:spacing w:val="-9"/>
          <w:sz w:val="22"/>
        </w:rPr>
        <w:t> </w:t>
      </w:r>
      <w:r>
        <w:rPr>
          <w:sz w:val="22"/>
        </w:rPr>
        <w:t>a</w:t>
      </w:r>
      <w:r>
        <w:rPr>
          <w:spacing w:val="-11"/>
          <w:sz w:val="22"/>
        </w:rPr>
        <w:t> </w:t>
      </w:r>
      <w:r>
        <w:rPr>
          <w:sz w:val="22"/>
        </w:rPr>
        <w:t>single</w:t>
      </w:r>
      <w:r>
        <w:rPr>
          <w:spacing w:val="-9"/>
          <w:sz w:val="22"/>
        </w:rPr>
        <w:t> </w:t>
      </w:r>
      <w:r>
        <w:rPr>
          <w:sz w:val="22"/>
        </w:rPr>
        <w:t>family</w:t>
      </w:r>
      <w:r>
        <w:rPr>
          <w:spacing w:val="-11"/>
          <w:sz w:val="22"/>
        </w:rPr>
        <w:t> </w:t>
      </w:r>
      <w:r>
        <w:rPr>
          <w:sz w:val="22"/>
        </w:rPr>
        <w:t>rental</w:t>
      </w:r>
      <w:r>
        <w:rPr>
          <w:spacing w:val="-9"/>
          <w:sz w:val="22"/>
        </w:rPr>
        <w:t> </w:t>
      </w:r>
      <w:r>
        <w:rPr>
          <w:sz w:val="22"/>
        </w:rPr>
        <w:t>housing</w:t>
      </w:r>
      <w:r>
        <w:rPr>
          <w:spacing w:val="-9"/>
          <w:sz w:val="22"/>
        </w:rPr>
        <w:t> </w:t>
      </w:r>
      <w:r>
        <w:rPr>
          <w:sz w:val="22"/>
        </w:rPr>
        <w:t>unit</w:t>
      </w:r>
      <w:r>
        <w:rPr>
          <w:spacing w:val="-7"/>
          <w:sz w:val="22"/>
        </w:rPr>
        <w:t> </w:t>
      </w:r>
      <w:r>
        <w:rPr>
          <w:sz w:val="22"/>
        </w:rPr>
        <w:t>into</w:t>
      </w:r>
      <w:r>
        <w:rPr>
          <w:spacing w:val="-11"/>
          <w:sz w:val="22"/>
        </w:rPr>
        <w:t> </w:t>
      </w:r>
      <w:r>
        <w:rPr>
          <w:sz w:val="22"/>
        </w:rPr>
        <w:t>full</w:t>
      </w:r>
      <w:r>
        <w:rPr>
          <w:spacing w:val="-9"/>
          <w:sz w:val="22"/>
        </w:rPr>
        <w:t> </w:t>
      </w:r>
      <w:r>
        <w:rPr>
          <w:sz w:val="22"/>
        </w:rPr>
        <w:t>compliance</w:t>
      </w:r>
      <w:r>
        <w:rPr>
          <w:spacing w:val="-9"/>
          <w:sz w:val="22"/>
        </w:rPr>
        <w:t> </w:t>
      </w:r>
      <w:r>
        <w:rPr>
          <w:sz w:val="22"/>
        </w:rPr>
        <w:t>with the Minimum Housing Standards codified in Chapter 27 of the Dallas City Code, as amended, including repairs that make the housing unit water/weather-tight. After completion</w:t>
      </w:r>
      <w:r>
        <w:rPr>
          <w:spacing w:val="-16"/>
          <w:sz w:val="22"/>
        </w:rPr>
        <w:t> </w:t>
      </w:r>
      <w:r>
        <w:rPr>
          <w:sz w:val="22"/>
        </w:rPr>
        <w:t>of</w:t>
      </w:r>
      <w:r>
        <w:rPr>
          <w:spacing w:val="-14"/>
          <w:sz w:val="22"/>
        </w:rPr>
        <w:t> </w:t>
      </w:r>
      <w:r>
        <w:rPr>
          <w:sz w:val="22"/>
        </w:rPr>
        <w:t>repairs,</w:t>
      </w:r>
      <w:r>
        <w:rPr>
          <w:spacing w:val="-15"/>
          <w:sz w:val="22"/>
        </w:rPr>
        <w:t> </w:t>
      </w:r>
      <w:r>
        <w:rPr>
          <w:sz w:val="22"/>
        </w:rPr>
        <w:t>major</w:t>
      </w:r>
      <w:r>
        <w:rPr>
          <w:spacing w:val="-15"/>
          <w:sz w:val="22"/>
        </w:rPr>
        <w:t> </w:t>
      </w:r>
      <w:r>
        <w:rPr>
          <w:sz w:val="22"/>
        </w:rPr>
        <w:t>systems</w:t>
      </w:r>
      <w:r>
        <w:rPr>
          <w:spacing w:val="-16"/>
          <w:sz w:val="22"/>
        </w:rPr>
        <w:t> </w:t>
      </w:r>
      <w:r>
        <w:rPr>
          <w:sz w:val="22"/>
        </w:rPr>
        <w:t>such</w:t>
      </w:r>
      <w:r>
        <w:rPr>
          <w:spacing w:val="-14"/>
          <w:sz w:val="22"/>
        </w:rPr>
        <w:t> </w:t>
      </w:r>
      <w:r>
        <w:rPr>
          <w:sz w:val="22"/>
        </w:rPr>
        <w:t>as</w:t>
      </w:r>
      <w:r>
        <w:rPr>
          <w:spacing w:val="-14"/>
          <w:sz w:val="22"/>
        </w:rPr>
        <w:t> </w:t>
      </w:r>
      <w:r>
        <w:rPr>
          <w:sz w:val="22"/>
        </w:rPr>
        <w:t>roofing,</w:t>
      </w:r>
      <w:r>
        <w:rPr>
          <w:spacing w:val="-13"/>
          <w:sz w:val="22"/>
        </w:rPr>
        <w:t> </w:t>
      </w:r>
      <w:r>
        <w:rPr>
          <w:sz w:val="22"/>
        </w:rPr>
        <w:t>electrical,</w:t>
      </w:r>
      <w:r>
        <w:rPr>
          <w:spacing w:val="-13"/>
          <w:sz w:val="22"/>
        </w:rPr>
        <w:t> </w:t>
      </w:r>
      <w:r>
        <w:rPr>
          <w:sz w:val="22"/>
        </w:rPr>
        <w:t>HVAC</w:t>
      </w:r>
      <w:r>
        <w:rPr>
          <w:spacing w:val="-15"/>
          <w:sz w:val="22"/>
        </w:rPr>
        <w:t> </w:t>
      </w:r>
      <w:r>
        <w:rPr>
          <w:sz w:val="22"/>
        </w:rPr>
        <w:t>and</w:t>
      </w:r>
      <w:r>
        <w:rPr>
          <w:spacing w:val="-16"/>
          <w:sz w:val="22"/>
        </w:rPr>
        <w:t> </w:t>
      </w:r>
      <w:r>
        <w:rPr>
          <w:sz w:val="22"/>
        </w:rPr>
        <w:t>plumbing</w:t>
      </w:r>
      <w:r>
        <w:rPr>
          <w:spacing w:val="-14"/>
          <w:sz w:val="22"/>
        </w:rPr>
        <w:t> </w:t>
      </w:r>
      <w:r>
        <w:rPr>
          <w:sz w:val="22"/>
        </w:rPr>
        <w:t>must have a useful life of at least 5-10 years, depending on the system. For the development grant,</w:t>
      </w:r>
      <w:r>
        <w:rPr>
          <w:spacing w:val="-6"/>
          <w:sz w:val="22"/>
        </w:rPr>
        <w:t> </w:t>
      </w:r>
      <w:r>
        <w:rPr>
          <w:sz w:val="22"/>
        </w:rPr>
        <w:t>the</w:t>
      </w:r>
      <w:r>
        <w:rPr>
          <w:spacing w:val="-8"/>
          <w:sz w:val="22"/>
        </w:rPr>
        <w:t> </w:t>
      </w:r>
      <w:r>
        <w:rPr>
          <w:sz w:val="22"/>
        </w:rPr>
        <w:t>home</w:t>
      </w:r>
      <w:r>
        <w:rPr>
          <w:spacing w:val="-10"/>
          <w:sz w:val="22"/>
        </w:rPr>
        <w:t> </w:t>
      </w:r>
      <w:r>
        <w:rPr>
          <w:sz w:val="22"/>
        </w:rPr>
        <w:t>must</w:t>
      </w:r>
      <w:r>
        <w:rPr>
          <w:spacing w:val="-6"/>
          <w:sz w:val="22"/>
        </w:rPr>
        <w:t> </w:t>
      </w:r>
      <w:r>
        <w:rPr>
          <w:sz w:val="22"/>
        </w:rPr>
        <w:t>be</w:t>
      </w:r>
      <w:r>
        <w:rPr>
          <w:spacing w:val="-13"/>
          <w:sz w:val="22"/>
        </w:rPr>
        <w:t> </w:t>
      </w:r>
      <w:r>
        <w:rPr>
          <w:sz w:val="22"/>
        </w:rPr>
        <w:t>rented</w:t>
      </w:r>
      <w:r>
        <w:rPr>
          <w:spacing w:val="-10"/>
          <w:sz w:val="22"/>
        </w:rPr>
        <w:t> </w:t>
      </w:r>
      <w:r>
        <w:rPr>
          <w:sz w:val="22"/>
        </w:rPr>
        <w:t>to</w:t>
      </w:r>
      <w:r>
        <w:rPr>
          <w:spacing w:val="-8"/>
          <w:sz w:val="22"/>
        </w:rPr>
        <w:t> </w:t>
      </w:r>
      <w:r>
        <w:rPr>
          <w:sz w:val="22"/>
        </w:rPr>
        <w:t>an</w:t>
      </w:r>
      <w:r>
        <w:rPr>
          <w:spacing w:val="-8"/>
          <w:sz w:val="22"/>
        </w:rPr>
        <w:t> </w:t>
      </w:r>
      <w:r>
        <w:rPr>
          <w:sz w:val="22"/>
        </w:rPr>
        <w:t>eligible</w:t>
      </w:r>
      <w:r>
        <w:rPr>
          <w:spacing w:val="-8"/>
          <w:sz w:val="22"/>
        </w:rPr>
        <w:t> </w:t>
      </w:r>
      <w:r>
        <w:rPr>
          <w:sz w:val="22"/>
        </w:rPr>
        <w:t>household</w:t>
      </w:r>
      <w:r>
        <w:rPr>
          <w:spacing w:val="-8"/>
          <w:sz w:val="22"/>
        </w:rPr>
        <w:t> </w:t>
      </w:r>
      <w:r>
        <w:rPr>
          <w:sz w:val="22"/>
        </w:rPr>
        <w:t>for</w:t>
      </w:r>
      <w:r>
        <w:rPr>
          <w:spacing w:val="-7"/>
          <w:sz w:val="22"/>
        </w:rPr>
        <w:t> </w:t>
      </w:r>
      <w:r>
        <w:rPr>
          <w:sz w:val="22"/>
        </w:rPr>
        <w:t>a</w:t>
      </w:r>
      <w:r>
        <w:rPr>
          <w:spacing w:val="-10"/>
          <w:sz w:val="22"/>
        </w:rPr>
        <w:t> </w:t>
      </w:r>
      <w:r>
        <w:rPr>
          <w:sz w:val="22"/>
        </w:rPr>
        <w:t>minimum</w:t>
      </w:r>
      <w:r>
        <w:rPr>
          <w:spacing w:val="-7"/>
          <w:sz w:val="22"/>
        </w:rPr>
        <w:t> </w:t>
      </w:r>
      <w:r>
        <w:rPr>
          <w:sz w:val="22"/>
        </w:rPr>
        <w:t>of</w:t>
      </w:r>
      <w:r>
        <w:rPr>
          <w:spacing w:val="-6"/>
          <w:sz w:val="22"/>
        </w:rPr>
        <w:t> </w:t>
      </w:r>
      <w:r>
        <w:rPr>
          <w:sz w:val="22"/>
        </w:rPr>
        <w:t>5</w:t>
      </w:r>
      <w:r>
        <w:rPr>
          <w:spacing w:val="-10"/>
          <w:sz w:val="22"/>
        </w:rPr>
        <w:t> </w:t>
      </w:r>
      <w:r>
        <w:rPr>
          <w:sz w:val="22"/>
        </w:rPr>
        <w:t>years.</w:t>
      </w:r>
      <w:r>
        <w:rPr>
          <w:spacing w:val="-6"/>
          <w:sz w:val="22"/>
        </w:rPr>
        <w:t> </w:t>
      </w:r>
      <w:r>
        <w:rPr>
          <w:sz w:val="22"/>
        </w:rPr>
        <w:t>For</w:t>
      </w:r>
      <w:r>
        <w:rPr>
          <w:spacing w:val="-9"/>
          <w:sz w:val="22"/>
        </w:rPr>
        <w:t> </w:t>
      </w:r>
      <w:r>
        <w:rPr>
          <w:sz w:val="22"/>
        </w:rPr>
        <w:t>the abatement,</w:t>
      </w:r>
      <w:r>
        <w:rPr>
          <w:spacing w:val="-5"/>
          <w:sz w:val="22"/>
        </w:rPr>
        <w:t> </w:t>
      </w:r>
      <w:r>
        <w:rPr>
          <w:sz w:val="22"/>
        </w:rPr>
        <w:t>the</w:t>
      </w:r>
      <w:r>
        <w:rPr>
          <w:spacing w:val="-6"/>
          <w:sz w:val="22"/>
        </w:rPr>
        <w:t> </w:t>
      </w:r>
      <w:r>
        <w:rPr>
          <w:sz w:val="22"/>
        </w:rPr>
        <w:t>home</w:t>
      </w:r>
      <w:r>
        <w:rPr>
          <w:spacing w:val="-9"/>
          <w:sz w:val="22"/>
        </w:rPr>
        <w:t> </w:t>
      </w:r>
      <w:r>
        <w:rPr>
          <w:sz w:val="22"/>
        </w:rPr>
        <w:t>must</w:t>
      </w:r>
      <w:r>
        <w:rPr>
          <w:spacing w:val="-3"/>
          <w:sz w:val="22"/>
        </w:rPr>
        <w:t> </w:t>
      </w:r>
      <w:r>
        <w:rPr>
          <w:sz w:val="22"/>
        </w:rPr>
        <w:t>be</w:t>
      </w:r>
      <w:r>
        <w:rPr>
          <w:spacing w:val="-6"/>
          <w:sz w:val="22"/>
        </w:rPr>
        <w:t> </w:t>
      </w:r>
      <w:r>
        <w:rPr>
          <w:sz w:val="22"/>
        </w:rPr>
        <w:t>occupied</w:t>
      </w:r>
      <w:r>
        <w:rPr>
          <w:spacing w:val="-4"/>
          <w:sz w:val="22"/>
        </w:rPr>
        <w:t> </w:t>
      </w:r>
      <w:r>
        <w:rPr>
          <w:sz w:val="22"/>
        </w:rPr>
        <w:t>by</w:t>
      </w:r>
      <w:r>
        <w:rPr>
          <w:spacing w:val="-6"/>
          <w:sz w:val="22"/>
        </w:rPr>
        <w:t> </w:t>
      </w:r>
      <w:r>
        <w:rPr>
          <w:sz w:val="22"/>
        </w:rPr>
        <w:t>an</w:t>
      </w:r>
      <w:r>
        <w:rPr>
          <w:spacing w:val="-4"/>
          <w:sz w:val="22"/>
        </w:rPr>
        <w:t> </w:t>
      </w:r>
      <w:r>
        <w:rPr>
          <w:sz w:val="22"/>
        </w:rPr>
        <w:t>Eligible</w:t>
      </w:r>
      <w:r>
        <w:rPr>
          <w:spacing w:val="-4"/>
          <w:sz w:val="22"/>
        </w:rPr>
        <w:t> </w:t>
      </w:r>
      <w:r>
        <w:rPr>
          <w:sz w:val="22"/>
        </w:rPr>
        <w:t>Household</w:t>
      </w:r>
      <w:r>
        <w:rPr>
          <w:spacing w:val="-4"/>
          <w:sz w:val="22"/>
        </w:rPr>
        <w:t> </w:t>
      </w:r>
      <w:r>
        <w:rPr>
          <w:sz w:val="22"/>
        </w:rPr>
        <w:t>during</w:t>
      </w:r>
      <w:r>
        <w:rPr>
          <w:spacing w:val="-4"/>
          <w:sz w:val="22"/>
        </w:rPr>
        <w:t> </w:t>
      </w:r>
      <w:r>
        <w:rPr>
          <w:sz w:val="22"/>
        </w:rPr>
        <w:t>the</w:t>
      </w:r>
      <w:r>
        <w:rPr>
          <w:spacing w:val="-4"/>
          <w:sz w:val="22"/>
        </w:rPr>
        <w:t> </w:t>
      </w:r>
      <w:r>
        <w:rPr>
          <w:sz w:val="22"/>
        </w:rPr>
        <w:t>period</w:t>
      </w:r>
      <w:r>
        <w:rPr>
          <w:spacing w:val="-4"/>
          <w:sz w:val="22"/>
        </w:rPr>
        <w:t> </w:t>
      </w:r>
      <w:r>
        <w:rPr>
          <w:sz w:val="22"/>
        </w:rPr>
        <w:t>of</w:t>
      </w:r>
      <w:r>
        <w:rPr>
          <w:spacing w:val="-5"/>
          <w:sz w:val="22"/>
        </w:rPr>
        <w:t> </w:t>
      </w:r>
      <w:r>
        <w:rPr>
          <w:sz w:val="22"/>
        </w:rPr>
        <w:t>the abatement. Minimum investment amount: $10,000.</w:t>
      </w:r>
    </w:p>
    <w:p>
      <w:pPr>
        <w:pStyle w:val="BodyText"/>
        <w:spacing w:before="7"/>
        <w:rPr>
          <w:sz w:val="21"/>
        </w:rPr>
      </w:pPr>
    </w:p>
    <w:p>
      <w:pPr>
        <w:pStyle w:val="Heading5"/>
      </w:pPr>
      <w:r>
        <w:rPr/>
        <w:t>Eligible</w:t>
      </w:r>
      <w:r>
        <w:rPr>
          <w:spacing w:val="-3"/>
        </w:rPr>
        <w:t> </w:t>
      </w:r>
      <w:r>
        <w:rPr>
          <w:spacing w:val="-2"/>
        </w:rPr>
        <w:t>Properties</w:t>
      </w:r>
    </w:p>
    <w:p>
      <w:pPr>
        <w:pStyle w:val="ListParagraph"/>
        <w:numPr>
          <w:ilvl w:val="0"/>
          <w:numId w:val="29"/>
        </w:numPr>
        <w:tabs>
          <w:tab w:pos="841" w:val="left" w:leader="none"/>
        </w:tabs>
        <w:spacing w:line="237" w:lineRule="auto" w:before="56" w:after="0"/>
        <w:ind w:left="840" w:right="154" w:hanging="361"/>
        <w:jc w:val="both"/>
        <w:rPr>
          <w:sz w:val="22"/>
        </w:rPr>
      </w:pPr>
      <w:r>
        <w:rPr>
          <w:sz w:val="22"/>
        </w:rPr>
        <w:t>The property must be a single-family home, duplex, or owner-occupied multifamily unit located within the city limits of Dallas, Texas.</w:t>
      </w:r>
    </w:p>
    <w:p>
      <w:pPr>
        <w:pStyle w:val="ListParagraph"/>
        <w:numPr>
          <w:ilvl w:val="0"/>
          <w:numId w:val="29"/>
        </w:numPr>
        <w:tabs>
          <w:tab w:pos="841" w:val="left" w:leader="none"/>
        </w:tabs>
        <w:spacing w:line="240" w:lineRule="auto" w:before="1" w:after="0"/>
        <w:ind w:left="840" w:right="158" w:hanging="361"/>
        <w:jc w:val="both"/>
        <w:rPr>
          <w:sz w:val="22"/>
        </w:rPr>
      </w:pPr>
      <w:r>
        <w:rPr>
          <w:sz w:val="22"/>
        </w:rPr>
        <w:t>Property</w:t>
      </w:r>
      <w:r>
        <w:rPr>
          <w:spacing w:val="-9"/>
          <w:sz w:val="22"/>
        </w:rPr>
        <w:t> </w:t>
      </w:r>
      <w:r>
        <w:rPr>
          <w:sz w:val="22"/>
        </w:rPr>
        <w:t>taxes</w:t>
      </w:r>
      <w:r>
        <w:rPr>
          <w:spacing w:val="-9"/>
          <w:sz w:val="22"/>
        </w:rPr>
        <w:t> </w:t>
      </w:r>
      <w:r>
        <w:rPr>
          <w:sz w:val="22"/>
        </w:rPr>
        <w:t>for</w:t>
      </w:r>
      <w:r>
        <w:rPr>
          <w:spacing w:val="-11"/>
          <w:sz w:val="22"/>
        </w:rPr>
        <w:t> </w:t>
      </w:r>
      <w:r>
        <w:rPr>
          <w:sz w:val="22"/>
        </w:rPr>
        <w:t>the</w:t>
      </w:r>
      <w:r>
        <w:rPr>
          <w:spacing w:val="-7"/>
          <w:sz w:val="22"/>
        </w:rPr>
        <w:t> </w:t>
      </w:r>
      <w:r>
        <w:rPr>
          <w:sz w:val="22"/>
        </w:rPr>
        <w:t>property</w:t>
      </w:r>
      <w:r>
        <w:rPr>
          <w:spacing w:val="-9"/>
          <w:sz w:val="22"/>
        </w:rPr>
        <w:t> </w:t>
      </w:r>
      <w:r>
        <w:rPr>
          <w:sz w:val="22"/>
        </w:rPr>
        <w:t>must</w:t>
      </w:r>
      <w:r>
        <w:rPr>
          <w:spacing w:val="-8"/>
          <w:sz w:val="22"/>
        </w:rPr>
        <w:t> </w:t>
      </w:r>
      <w:r>
        <w:rPr>
          <w:sz w:val="22"/>
        </w:rPr>
        <w:t>be</w:t>
      </w:r>
      <w:r>
        <w:rPr>
          <w:spacing w:val="-7"/>
          <w:sz w:val="22"/>
        </w:rPr>
        <w:t> </w:t>
      </w:r>
      <w:r>
        <w:rPr>
          <w:sz w:val="22"/>
        </w:rPr>
        <w:t>current.</w:t>
      </w:r>
      <w:r>
        <w:rPr>
          <w:spacing w:val="-8"/>
          <w:sz w:val="22"/>
        </w:rPr>
        <w:t> </w:t>
      </w:r>
      <w:r>
        <w:rPr>
          <w:sz w:val="22"/>
        </w:rPr>
        <w:t>Property</w:t>
      </w:r>
      <w:r>
        <w:rPr>
          <w:spacing w:val="-9"/>
          <w:sz w:val="22"/>
        </w:rPr>
        <w:t> </w:t>
      </w:r>
      <w:r>
        <w:rPr>
          <w:sz w:val="22"/>
        </w:rPr>
        <w:t>taxes</w:t>
      </w:r>
      <w:r>
        <w:rPr>
          <w:spacing w:val="-9"/>
          <w:sz w:val="22"/>
        </w:rPr>
        <w:t> </w:t>
      </w:r>
      <w:r>
        <w:rPr>
          <w:sz w:val="22"/>
        </w:rPr>
        <w:t>must</w:t>
      </w:r>
      <w:r>
        <w:rPr>
          <w:spacing w:val="-6"/>
          <w:sz w:val="22"/>
        </w:rPr>
        <w:t> </w:t>
      </w:r>
      <w:r>
        <w:rPr>
          <w:sz w:val="22"/>
        </w:rPr>
        <w:t>not</w:t>
      </w:r>
      <w:r>
        <w:rPr>
          <w:spacing w:val="-8"/>
          <w:sz w:val="22"/>
        </w:rPr>
        <w:t> </w:t>
      </w:r>
      <w:r>
        <w:rPr>
          <w:sz w:val="22"/>
        </w:rPr>
        <w:t>be</w:t>
      </w:r>
      <w:r>
        <w:rPr>
          <w:spacing w:val="-7"/>
          <w:sz w:val="22"/>
        </w:rPr>
        <w:t> </w:t>
      </w:r>
      <w:r>
        <w:rPr>
          <w:sz w:val="22"/>
        </w:rPr>
        <w:t>delinquent</w:t>
      </w:r>
      <w:r>
        <w:rPr>
          <w:spacing w:val="-6"/>
          <w:sz w:val="22"/>
        </w:rPr>
        <w:t> </w:t>
      </w:r>
      <w:r>
        <w:rPr>
          <w:sz w:val="22"/>
        </w:rPr>
        <w:t>for any tax year unless the applicant has entered into a written agreement with the taxing authority outlining a payment plan for delinquent taxes and is abiding by the written agreement. Legal, current deferrals for over 65 or disabled are not, on their own, </w:t>
      </w:r>
      <w:r>
        <w:rPr>
          <w:spacing w:val="-2"/>
          <w:sz w:val="22"/>
        </w:rPr>
        <w:t>disqualifying.</w:t>
      </w:r>
    </w:p>
    <w:p>
      <w:pPr>
        <w:pStyle w:val="BodyText"/>
        <w:spacing w:before="8"/>
        <w:rPr>
          <w:sz w:val="21"/>
        </w:rPr>
      </w:pPr>
    </w:p>
    <w:p>
      <w:pPr>
        <w:pStyle w:val="Heading5"/>
      </w:pPr>
      <w:r>
        <w:rPr/>
        <w:t>Eligible</w:t>
      </w:r>
      <w:r>
        <w:rPr>
          <w:spacing w:val="-3"/>
        </w:rPr>
        <w:t> </w:t>
      </w:r>
      <w:r>
        <w:rPr>
          <w:spacing w:val="-2"/>
        </w:rPr>
        <w:t>Applicants</w:t>
      </w:r>
    </w:p>
    <w:p>
      <w:pPr>
        <w:pStyle w:val="ListParagraph"/>
        <w:numPr>
          <w:ilvl w:val="0"/>
          <w:numId w:val="29"/>
        </w:numPr>
        <w:tabs>
          <w:tab w:pos="841" w:val="left" w:leader="none"/>
        </w:tabs>
        <w:spacing w:line="237" w:lineRule="auto" w:before="54" w:after="0"/>
        <w:ind w:left="840" w:right="153" w:hanging="361"/>
        <w:jc w:val="both"/>
        <w:rPr>
          <w:sz w:val="22"/>
        </w:rPr>
      </w:pPr>
      <w:r>
        <w:rPr>
          <w:sz w:val="22"/>
        </w:rPr>
        <w:t>An Applicant who will be developing a new housing unit or repairing an existing housing unit</w:t>
      </w:r>
      <w:r>
        <w:rPr>
          <w:spacing w:val="-1"/>
          <w:sz w:val="22"/>
        </w:rPr>
        <w:t> </w:t>
      </w:r>
      <w:r>
        <w:rPr>
          <w:sz w:val="22"/>
        </w:rPr>
        <w:t>must</w:t>
      </w:r>
      <w:r>
        <w:rPr>
          <w:spacing w:val="-1"/>
          <w:sz w:val="22"/>
        </w:rPr>
        <w:t> </w:t>
      </w:r>
      <w:r>
        <w:rPr>
          <w:sz w:val="22"/>
        </w:rPr>
        <w:t>be</w:t>
      </w:r>
      <w:r>
        <w:rPr>
          <w:spacing w:val="-4"/>
          <w:sz w:val="22"/>
        </w:rPr>
        <w:t> </w:t>
      </w:r>
      <w:r>
        <w:rPr>
          <w:sz w:val="22"/>
        </w:rPr>
        <w:t>the</w:t>
      </w:r>
      <w:r>
        <w:rPr>
          <w:spacing w:val="-4"/>
          <w:sz w:val="22"/>
        </w:rPr>
        <w:t> </w:t>
      </w:r>
      <w:r>
        <w:rPr>
          <w:sz w:val="22"/>
        </w:rPr>
        <w:t>owner</w:t>
      </w:r>
      <w:r>
        <w:rPr>
          <w:spacing w:val="-1"/>
          <w:sz w:val="22"/>
        </w:rPr>
        <w:t> </w:t>
      </w:r>
      <w:r>
        <w:rPr>
          <w:sz w:val="22"/>
        </w:rPr>
        <w:t>of</w:t>
      </w:r>
      <w:r>
        <w:rPr>
          <w:spacing w:val="-1"/>
          <w:sz w:val="22"/>
        </w:rPr>
        <w:t> </w:t>
      </w:r>
      <w:r>
        <w:rPr>
          <w:sz w:val="22"/>
        </w:rPr>
        <w:t>the</w:t>
      </w:r>
      <w:r>
        <w:rPr>
          <w:spacing w:val="-4"/>
          <w:sz w:val="22"/>
        </w:rPr>
        <w:t> </w:t>
      </w:r>
      <w:r>
        <w:rPr>
          <w:sz w:val="22"/>
        </w:rPr>
        <w:t>property</w:t>
      </w:r>
      <w:r>
        <w:rPr>
          <w:spacing w:val="-4"/>
          <w:sz w:val="22"/>
        </w:rPr>
        <w:t> </w:t>
      </w:r>
      <w:r>
        <w:rPr>
          <w:sz w:val="22"/>
        </w:rPr>
        <w:t>and</w:t>
      </w:r>
      <w:r>
        <w:rPr>
          <w:spacing w:val="-4"/>
          <w:sz w:val="22"/>
        </w:rPr>
        <w:t> </w:t>
      </w:r>
      <w:r>
        <w:rPr>
          <w:sz w:val="22"/>
        </w:rPr>
        <w:t>must</w:t>
      </w:r>
      <w:r>
        <w:rPr>
          <w:spacing w:val="-1"/>
          <w:sz w:val="22"/>
        </w:rPr>
        <w:t> </w:t>
      </w:r>
      <w:r>
        <w:rPr>
          <w:sz w:val="22"/>
        </w:rPr>
        <w:t>submit</w:t>
      </w:r>
      <w:r>
        <w:rPr>
          <w:spacing w:val="-1"/>
          <w:sz w:val="22"/>
        </w:rPr>
        <w:t> </w:t>
      </w:r>
      <w:r>
        <w:rPr>
          <w:sz w:val="22"/>
        </w:rPr>
        <w:t>a</w:t>
      </w:r>
      <w:r>
        <w:rPr>
          <w:spacing w:val="-4"/>
          <w:sz w:val="22"/>
        </w:rPr>
        <w:t> </w:t>
      </w:r>
      <w:r>
        <w:rPr>
          <w:sz w:val="22"/>
        </w:rPr>
        <w:t>deed,</w:t>
      </w:r>
      <w:r>
        <w:rPr>
          <w:spacing w:val="-1"/>
          <w:sz w:val="22"/>
        </w:rPr>
        <w:t> </w:t>
      </w:r>
      <w:r>
        <w:rPr>
          <w:sz w:val="22"/>
        </w:rPr>
        <w:t>or</w:t>
      </w:r>
      <w:r>
        <w:rPr>
          <w:spacing w:val="-1"/>
          <w:sz w:val="22"/>
        </w:rPr>
        <w:t> </w:t>
      </w:r>
      <w:r>
        <w:rPr>
          <w:sz w:val="22"/>
        </w:rPr>
        <w:t>similar</w:t>
      </w:r>
      <w:r>
        <w:rPr>
          <w:spacing w:val="-3"/>
          <w:sz w:val="22"/>
        </w:rPr>
        <w:t> </w:t>
      </w:r>
      <w:r>
        <w:rPr>
          <w:sz w:val="22"/>
        </w:rPr>
        <w:t>documentation acceptable to the City, in its sole discretion, that proves that the Applicant owns the property in fee simple.</w:t>
      </w:r>
    </w:p>
    <w:p>
      <w:pPr>
        <w:pStyle w:val="ListParagraph"/>
        <w:numPr>
          <w:ilvl w:val="0"/>
          <w:numId w:val="29"/>
        </w:numPr>
        <w:tabs>
          <w:tab w:pos="841" w:val="left" w:leader="none"/>
        </w:tabs>
        <w:spacing w:line="240" w:lineRule="auto" w:before="4" w:after="0"/>
        <w:ind w:left="840" w:right="155" w:hanging="361"/>
        <w:jc w:val="both"/>
        <w:rPr>
          <w:sz w:val="22"/>
        </w:rPr>
      </w:pPr>
      <w:r>
        <w:rPr>
          <w:sz w:val="22"/>
        </w:rPr>
        <w:t>An eligible household who will be investing in repairs to his/her/their owner-occupied housing unit does not have to have marketable title, but must submit documentation acceptable to the City, in its sole discretion, that proves the eligible household has an ownership interest in the property.</w:t>
      </w:r>
    </w:p>
    <w:p>
      <w:pPr>
        <w:spacing w:after="0" w:line="240" w:lineRule="auto"/>
        <w:jc w:val="both"/>
        <w:rPr>
          <w:sz w:val="22"/>
        </w:rPr>
        <w:sectPr>
          <w:pgSz w:w="12240" w:h="15840"/>
          <w:pgMar w:header="0" w:footer="1176" w:top="1360" w:bottom="1420" w:left="1320" w:right="1280"/>
        </w:sectPr>
      </w:pPr>
    </w:p>
    <w:p>
      <w:pPr>
        <w:pStyle w:val="ListParagraph"/>
        <w:numPr>
          <w:ilvl w:val="0"/>
          <w:numId w:val="29"/>
        </w:numPr>
        <w:tabs>
          <w:tab w:pos="841" w:val="left" w:leader="none"/>
        </w:tabs>
        <w:spacing w:line="237" w:lineRule="auto" w:before="84" w:after="0"/>
        <w:ind w:left="840" w:right="158" w:hanging="361"/>
        <w:jc w:val="both"/>
        <w:rPr>
          <w:sz w:val="22"/>
        </w:rPr>
      </w:pPr>
      <w:r>
        <w:rPr>
          <w:sz w:val="22"/>
        </w:rPr>
        <w:t>An Applicant who</w:t>
      </w:r>
      <w:r>
        <w:rPr>
          <w:spacing w:val="-3"/>
          <w:sz w:val="22"/>
        </w:rPr>
        <w:t> </w:t>
      </w:r>
      <w:r>
        <w:rPr>
          <w:sz w:val="22"/>
        </w:rPr>
        <w:t>will</w:t>
      </w:r>
      <w:r>
        <w:rPr>
          <w:spacing w:val="-1"/>
          <w:sz w:val="22"/>
        </w:rPr>
        <w:t> </w:t>
      </w:r>
      <w:r>
        <w:rPr>
          <w:sz w:val="22"/>
        </w:rPr>
        <w:t>be</w:t>
      </w:r>
      <w:r>
        <w:rPr>
          <w:spacing w:val="-3"/>
          <w:sz w:val="22"/>
        </w:rPr>
        <w:t> </w:t>
      </w:r>
      <w:r>
        <w:rPr>
          <w:sz w:val="22"/>
        </w:rPr>
        <w:t>developing a new</w:t>
      </w:r>
      <w:r>
        <w:rPr>
          <w:spacing w:val="-1"/>
          <w:sz w:val="22"/>
        </w:rPr>
        <w:t> </w:t>
      </w:r>
      <w:r>
        <w:rPr>
          <w:sz w:val="22"/>
        </w:rPr>
        <w:t>housing unit</w:t>
      </w:r>
      <w:r>
        <w:rPr>
          <w:spacing w:val="-1"/>
          <w:sz w:val="22"/>
        </w:rPr>
        <w:t> </w:t>
      </w:r>
      <w:r>
        <w:rPr>
          <w:sz w:val="22"/>
        </w:rPr>
        <w:t>or</w:t>
      </w:r>
      <w:r>
        <w:rPr>
          <w:spacing w:val="-1"/>
          <w:sz w:val="22"/>
        </w:rPr>
        <w:t> </w:t>
      </w:r>
      <w:r>
        <w:rPr>
          <w:sz w:val="22"/>
        </w:rPr>
        <w:t>repairing</w:t>
      </w:r>
      <w:r>
        <w:rPr>
          <w:spacing w:val="-3"/>
          <w:sz w:val="22"/>
        </w:rPr>
        <w:t> </w:t>
      </w:r>
      <w:r>
        <w:rPr>
          <w:sz w:val="22"/>
        </w:rPr>
        <w:t>a</w:t>
      </w:r>
      <w:r>
        <w:rPr>
          <w:spacing w:val="-3"/>
          <w:sz w:val="22"/>
        </w:rPr>
        <w:t> </w:t>
      </w:r>
      <w:r>
        <w:rPr>
          <w:sz w:val="22"/>
        </w:rPr>
        <w:t>rental</w:t>
      </w:r>
      <w:r>
        <w:rPr>
          <w:spacing w:val="-1"/>
          <w:sz w:val="22"/>
        </w:rPr>
        <w:t> </w:t>
      </w:r>
      <w:r>
        <w:rPr>
          <w:sz w:val="22"/>
        </w:rPr>
        <w:t>housing unit must be current on mortgage payments and shall not be in default under the mortgage documents associated with the property or in default under any lien on the property.</w:t>
      </w:r>
    </w:p>
    <w:p>
      <w:pPr>
        <w:pStyle w:val="ListParagraph"/>
        <w:numPr>
          <w:ilvl w:val="0"/>
          <w:numId w:val="29"/>
        </w:numPr>
        <w:tabs>
          <w:tab w:pos="841" w:val="left" w:leader="none"/>
        </w:tabs>
        <w:spacing w:line="237" w:lineRule="auto" w:before="5" w:after="0"/>
        <w:ind w:left="840" w:right="154" w:hanging="361"/>
        <w:jc w:val="both"/>
        <w:rPr>
          <w:sz w:val="22"/>
        </w:rPr>
      </w:pPr>
      <w:r>
        <w:rPr>
          <w:sz w:val="22"/>
        </w:rPr>
        <w:t>Applicants</w:t>
      </w:r>
      <w:r>
        <w:rPr>
          <w:spacing w:val="-1"/>
          <w:sz w:val="22"/>
        </w:rPr>
        <w:t> </w:t>
      </w:r>
      <w:r>
        <w:rPr>
          <w:sz w:val="22"/>
        </w:rPr>
        <w:t>for owner-occupied</w:t>
      </w:r>
      <w:r>
        <w:rPr>
          <w:spacing w:val="-2"/>
          <w:sz w:val="22"/>
        </w:rPr>
        <w:t> </w:t>
      </w:r>
      <w:r>
        <w:rPr>
          <w:sz w:val="22"/>
        </w:rPr>
        <w:t>homes</w:t>
      </w:r>
      <w:r>
        <w:rPr>
          <w:spacing w:val="-6"/>
          <w:sz w:val="22"/>
        </w:rPr>
        <w:t> </w:t>
      </w:r>
      <w:r>
        <w:rPr>
          <w:sz w:val="22"/>
        </w:rPr>
        <w:t>must</w:t>
      </w:r>
      <w:r>
        <w:rPr>
          <w:spacing w:val="-2"/>
          <w:sz w:val="22"/>
        </w:rPr>
        <w:t> </w:t>
      </w:r>
      <w:r>
        <w:rPr>
          <w:sz w:val="22"/>
        </w:rPr>
        <w:t>certify</w:t>
      </w:r>
      <w:r>
        <w:rPr>
          <w:spacing w:val="-4"/>
          <w:sz w:val="22"/>
        </w:rPr>
        <w:t> </w:t>
      </w:r>
      <w:r>
        <w:rPr>
          <w:sz w:val="22"/>
        </w:rPr>
        <w:t>that</w:t>
      </w:r>
      <w:r>
        <w:rPr>
          <w:spacing w:val="-3"/>
          <w:sz w:val="22"/>
        </w:rPr>
        <w:t> </w:t>
      </w:r>
      <w:r>
        <w:rPr>
          <w:sz w:val="22"/>
        </w:rPr>
        <w:t>the</w:t>
      </w:r>
      <w:r>
        <w:rPr>
          <w:spacing w:val="-4"/>
          <w:sz w:val="22"/>
        </w:rPr>
        <w:t> </w:t>
      </w:r>
      <w:r>
        <w:rPr>
          <w:sz w:val="22"/>
        </w:rPr>
        <w:t>home</w:t>
      </w:r>
      <w:r>
        <w:rPr>
          <w:spacing w:val="-4"/>
          <w:sz w:val="22"/>
        </w:rPr>
        <w:t> </w:t>
      </w:r>
      <w:r>
        <w:rPr>
          <w:sz w:val="22"/>
        </w:rPr>
        <w:t>is</w:t>
      </w:r>
      <w:r>
        <w:rPr>
          <w:spacing w:val="-4"/>
          <w:sz w:val="22"/>
        </w:rPr>
        <w:t> </w:t>
      </w:r>
      <w:r>
        <w:rPr>
          <w:sz w:val="22"/>
        </w:rPr>
        <w:t>not</w:t>
      </w:r>
      <w:r>
        <w:rPr>
          <w:spacing w:val="-3"/>
          <w:sz w:val="22"/>
        </w:rPr>
        <w:t> </w:t>
      </w:r>
      <w:r>
        <w:rPr>
          <w:sz w:val="22"/>
        </w:rPr>
        <w:t>for</w:t>
      </w:r>
      <w:r>
        <w:rPr>
          <w:spacing w:val="-3"/>
          <w:sz w:val="22"/>
        </w:rPr>
        <w:t> </w:t>
      </w:r>
      <w:r>
        <w:rPr>
          <w:sz w:val="22"/>
        </w:rPr>
        <w:t>sale</w:t>
      </w:r>
      <w:r>
        <w:rPr>
          <w:spacing w:val="-2"/>
          <w:sz w:val="22"/>
        </w:rPr>
        <w:t> </w:t>
      </w:r>
      <w:r>
        <w:rPr>
          <w:sz w:val="22"/>
        </w:rPr>
        <w:t>and</w:t>
      </w:r>
      <w:r>
        <w:rPr>
          <w:spacing w:val="-2"/>
          <w:sz w:val="22"/>
        </w:rPr>
        <w:t> </w:t>
      </w:r>
      <w:r>
        <w:rPr>
          <w:sz w:val="22"/>
        </w:rPr>
        <w:t>is</w:t>
      </w:r>
      <w:r>
        <w:rPr>
          <w:spacing w:val="-4"/>
          <w:sz w:val="22"/>
        </w:rPr>
        <w:t> </w:t>
      </w:r>
      <w:r>
        <w:rPr>
          <w:sz w:val="22"/>
        </w:rPr>
        <w:t>the primary residence of Applicant.</w:t>
      </w:r>
    </w:p>
    <w:p>
      <w:pPr>
        <w:pStyle w:val="ListParagraph"/>
        <w:numPr>
          <w:ilvl w:val="0"/>
          <w:numId w:val="29"/>
        </w:numPr>
        <w:tabs>
          <w:tab w:pos="841" w:val="left" w:leader="none"/>
        </w:tabs>
        <w:spacing w:line="240" w:lineRule="auto" w:before="1" w:after="0"/>
        <w:ind w:left="840" w:right="156" w:hanging="361"/>
        <w:jc w:val="both"/>
        <w:rPr>
          <w:sz w:val="22"/>
        </w:rPr>
      </w:pPr>
      <w:r>
        <w:rPr/>
        <w:pict>
          <v:shape style="position:absolute;margin-left:90.065002pt;margin-top:49.753586pt;width:395.3pt;height:419pt;mso-position-horizontal-relative:page;mso-position-vertical-relative:paragraph;z-index:-17672192" id="docshape142" coordorigin="1801,995" coordsize="7906,8380" path="m4498,8259l4492,8185,4477,8107,4455,8024,4432,7955,4403,7883,4367,7808,4325,7730,4276,7650,4237,7591,4200,7540,4200,8225,4197,8282,4186,8339,4167,8396,4138,8456,4097,8518,4044,8585,3979,8654,3674,8959,2216,7502,2517,7201,2598,7125,2672,7065,2740,7021,2801,6995,2868,6980,2941,6976,3020,6983,3105,7001,3195,7030,3255,7056,3317,7088,3380,7127,3446,7172,3514,7223,3584,7281,3656,7346,3729,7417,3789,7479,3845,7539,3896,7598,3943,7656,3986,7713,4025,7768,4059,7822,4101,7896,4136,7969,4163,8038,4183,8105,4196,8169,4200,8225,4200,7540,4194,7531,4148,7471,4098,7410,4045,7349,3989,7288,3929,7226,3865,7164,3801,7106,3737,7051,3673,6999,3643,6976,3609,6951,3546,6907,3482,6865,3419,6827,3346,6790,3274,6757,3203,6730,3132,6708,3062,6691,2992,6679,2923,6672,2850,6670,2779,6677,2709,6692,2642,6715,2577,6745,2528,6774,2476,6811,2420,6856,2359,6910,2294,6973,1801,7466,3710,9374,4124,8959,4226,8858,4287,8793,4341,8727,4386,8661,4424,8595,4454,8528,4476,8462,4491,8395,4498,8327,4498,8259xm6418,6666l6056,6538,5650,6395,5561,6366,5475,6342,5393,6323,5365,6318,5314,6309,5239,6299,5193,6297,5143,6300,5089,6307,5030,6318,5073,6248,5109,6179,5136,6109,5154,6041,5164,5972,5165,5904,5157,5836,5139,5758,5111,5682,5075,5607,5030,5535,4976,5464,4956,5441,4913,5395,4872,5357,4872,5914,4868,5970,4854,6025,4830,6081,4794,6140,4747,6201,4687,6264,4280,6671,3649,6040,4102,5587,4166,5530,4229,5487,4293,5458,4358,5442,4422,5441,4501,5456,4577,5486,4649,5531,4718,5590,4761,5638,4797,5689,4827,5742,4851,5799,4867,5857,4872,5914,4872,5357,4849,5336,4782,5283,4713,5238,4641,5199,4566,5167,4474,5139,4386,5126,4303,5128,4225,5144,4163,5169,4098,5205,4030,5254,3958,5313,3883,5384,3248,6019,5157,7927,5346,7738,4499,6890,4718,6671,4753,6637,4783,6610,4810,6589,4833,6574,4863,6561,4896,6550,4932,6542,4971,6538,5014,6538,5066,6543,5125,6554,5194,6570,5256,6587,5328,6608,5407,6633,5496,6662,6180,6904,6418,6666xm7780,5303l7415,5108,6555,4654,6555,4961,6070,5446,6030,5375,5989,5303,5748,4873,5708,4801,5668,4729,5629,4664,5590,4599,5550,4535,5509,4472,5467,4410,5424,4349,5380,4288,5436,4324,5498,4361,5564,4401,5635,4443,5792,4534,6555,4961,6555,4654,5862,4288,5286,3981,5082,4185,5277,4536,5316,4606,5701,5303,6207,6222,6441,6643,6642,6442,6565,6308,6298,5840,6221,5707,6481,5446,6820,5108,7173,5303,7565,5519,7780,5303xm8131,4953l7264,4086,7936,3414,7711,3189,7039,3861,6448,3270,7224,2494,6999,2268,6033,3234,7941,5142,8131,4953xm9707,3377l8024,1694,8497,1220,8272,995,7138,2130,7363,2355,7834,1883,9517,3566,9707,3377xe" filled="true" fillcolor="#c0c0c0" stroked="false">
            <v:path arrowok="t"/>
            <v:fill opacity="32896f" type="solid"/>
            <w10:wrap type="none"/>
          </v:shape>
        </w:pict>
      </w:r>
      <w:r>
        <w:rPr>
          <w:sz w:val="22"/>
        </w:rPr>
        <w:t>City Council members, Department of Housing and Neighborhood Revitalization employees, and any employee, official, or agent of the City who exercises any policy or program decision-making function in connection with the Program are ineligible for assistance under the program.</w:t>
      </w:r>
    </w:p>
    <w:p>
      <w:pPr>
        <w:pStyle w:val="ListParagraph"/>
        <w:numPr>
          <w:ilvl w:val="0"/>
          <w:numId w:val="29"/>
        </w:numPr>
        <w:tabs>
          <w:tab w:pos="841" w:val="left" w:leader="none"/>
        </w:tabs>
        <w:spacing w:line="268" w:lineRule="exact" w:before="0" w:after="0"/>
        <w:ind w:left="840" w:right="0" w:hanging="361"/>
        <w:jc w:val="both"/>
        <w:rPr>
          <w:sz w:val="22"/>
        </w:rPr>
      </w:pPr>
      <w:r>
        <w:rPr>
          <w:sz w:val="22"/>
        </w:rPr>
        <w:t>Applicants</w:t>
      </w:r>
      <w:r>
        <w:rPr>
          <w:spacing w:val="-6"/>
          <w:sz w:val="22"/>
        </w:rPr>
        <w:t> </w:t>
      </w:r>
      <w:r>
        <w:rPr>
          <w:sz w:val="22"/>
        </w:rPr>
        <w:t>must</w:t>
      </w:r>
      <w:r>
        <w:rPr>
          <w:spacing w:val="-3"/>
          <w:sz w:val="22"/>
        </w:rPr>
        <w:t> </w:t>
      </w:r>
      <w:r>
        <w:rPr>
          <w:sz w:val="22"/>
        </w:rPr>
        <w:t>execute</w:t>
      </w:r>
      <w:r>
        <w:rPr>
          <w:spacing w:val="-8"/>
          <w:sz w:val="22"/>
        </w:rPr>
        <w:t> </w:t>
      </w:r>
      <w:r>
        <w:rPr>
          <w:sz w:val="22"/>
        </w:rPr>
        <w:t>agreements</w:t>
      </w:r>
      <w:r>
        <w:rPr>
          <w:spacing w:val="-4"/>
          <w:sz w:val="22"/>
        </w:rPr>
        <w:t> </w:t>
      </w:r>
      <w:r>
        <w:rPr>
          <w:sz w:val="22"/>
        </w:rPr>
        <w:t>as</w:t>
      </w:r>
      <w:r>
        <w:rPr>
          <w:spacing w:val="-6"/>
          <w:sz w:val="22"/>
        </w:rPr>
        <w:t> </w:t>
      </w:r>
      <w:r>
        <w:rPr>
          <w:sz w:val="22"/>
        </w:rPr>
        <w:t>required</w:t>
      </w:r>
      <w:r>
        <w:rPr>
          <w:spacing w:val="-6"/>
          <w:sz w:val="22"/>
        </w:rPr>
        <w:t> </w:t>
      </w:r>
      <w:r>
        <w:rPr>
          <w:sz w:val="22"/>
        </w:rPr>
        <w:t>by</w:t>
      </w:r>
      <w:r>
        <w:rPr>
          <w:spacing w:val="-4"/>
          <w:sz w:val="22"/>
        </w:rPr>
        <w:t> </w:t>
      </w:r>
      <w:r>
        <w:rPr>
          <w:sz w:val="22"/>
        </w:rPr>
        <w:t>the</w:t>
      </w:r>
      <w:r>
        <w:rPr>
          <w:spacing w:val="-6"/>
          <w:sz w:val="22"/>
        </w:rPr>
        <w:t> </w:t>
      </w:r>
      <w:r>
        <w:rPr>
          <w:spacing w:val="-2"/>
          <w:sz w:val="22"/>
        </w:rPr>
        <w:t>program.</w:t>
      </w:r>
    </w:p>
    <w:p>
      <w:pPr>
        <w:pStyle w:val="BodyText"/>
        <w:spacing w:before="7"/>
        <w:rPr>
          <w:sz w:val="21"/>
        </w:rPr>
      </w:pPr>
    </w:p>
    <w:p>
      <w:pPr>
        <w:pStyle w:val="Heading5"/>
        <w:spacing w:before="1"/>
      </w:pPr>
      <w:r>
        <w:rPr/>
        <w:t>Eligible</w:t>
      </w:r>
      <w:r>
        <w:rPr>
          <w:spacing w:val="-5"/>
        </w:rPr>
        <w:t> </w:t>
      </w:r>
      <w:r>
        <w:rPr>
          <w:spacing w:val="-2"/>
        </w:rPr>
        <w:t>Repairs</w:t>
      </w:r>
    </w:p>
    <w:p>
      <w:pPr>
        <w:pStyle w:val="BodyText"/>
        <w:spacing w:before="51"/>
        <w:ind w:left="121" w:right="155" w:hanging="1"/>
        <w:jc w:val="both"/>
      </w:pPr>
      <w:r>
        <w:rPr/>
        <w:t>Eligible</w:t>
      </w:r>
      <w:r>
        <w:rPr>
          <w:spacing w:val="-5"/>
        </w:rPr>
        <w:t> </w:t>
      </w:r>
      <w:r>
        <w:rPr/>
        <w:t>repairs</w:t>
      </w:r>
      <w:r>
        <w:rPr>
          <w:spacing w:val="-5"/>
        </w:rPr>
        <w:t> </w:t>
      </w:r>
      <w:r>
        <w:rPr/>
        <w:t>for</w:t>
      </w:r>
      <w:r>
        <w:rPr>
          <w:spacing w:val="-4"/>
        </w:rPr>
        <w:t> </w:t>
      </w:r>
      <w:r>
        <w:rPr/>
        <w:t>owner-occupied</w:t>
      </w:r>
      <w:r>
        <w:rPr>
          <w:spacing w:val="-5"/>
        </w:rPr>
        <w:t> </w:t>
      </w:r>
      <w:r>
        <w:rPr/>
        <w:t>housing</w:t>
      </w:r>
      <w:r>
        <w:rPr>
          <w:spacing w:val="-5"/>
        </w:rPr>
        <w:t> </w:t>
      </w:r>
      <w:r>
        <w:rPr/>
        <w:t>units</w:t>
      </w:r>
      <w:r>
        <w:rPr>
          <w:spacing w:val="-7"/>
        </w:rPr>
        <w:t> </w:t>
      </w:r>
      <w:r>
        <w:rPr/>
        <w:t>and</w:t>
      </w:r>
      <w:r>
        <w:rPr>
          <w:spacing w:val="-5"/>
        </w:rPr>
        <w:t> </w:t>
      </w:r>
      <w:r>
        <w:rPr/>
        <w:t>single-family</w:t>
      </w:r>
      <w:r>
        <w:rPr>
          <w:spacing w:val="-5"/>
        </w:rPr>
        <w:t> </w:t>
      </w:r>
      <w:r>
        <w:rPr/>
        <w:t>or</w:t>
      </w:r>
      <w:r>
        <w:rPr>
          <w:spacing w:val="-4"/>
        </w:rPr>
        <w:t> </w:t>
      </w:r>
      <w:r>
        <w:rPr/>
        <w:t>duplex</w:t>
      </w:r>
      <w:r>
        <w:rPr>
          <w:spacing w:val="-5"/>
        </w:rPr>
        <w:t> </w:t>
      </w:r>
      <w:r>
        <w:rPr/>
        <w:t>rental</w:t>
      </w:r>
      <w:r>
        <w:rPr>
          <w:spacing w:val="-6"/>
        </w:rPr>
        <w:t> </w:t>
      </w:r>
      <w:r>
        <w:rPr/>
        <w:t>housing</w:t>
      </w:r>
      <w:r>
        <w:rPr>
          <w:spacing w:val="-5"/>
        </w:rPr>
        <w:t> </w:t>
      </w:r>
      <w:r>
        <w:rPr/>
        <w:t>units are listed in the appendix. Applicants must document that the repairs have been completed and paid for, and all applications are subject to City inspection to ensure completion. Applicant must submit proof, acceptable to the City, in its sole discretion, that Applicant made the minimum investment</w:t>
      </w:r>
      <w:r>
        <w:rPr>
          <w:spacing w:val="-6"/>
        </w:rPr>
        <w:t> </w:t>
      </w:r>
      <w:r>
        <w:rPr/>
        <w:t>in</w:t>
      </w:r>
      <w:r>
        <w:rPr>
          <w:spacing w:val="-8"/>
        </w:rPr>
        <w:t> </w:t>
      </w:r>
      <w:r>
        <w:rPr/>
        <w:t>the</w:t>
      </w:r>
      <w:r>
        <w:rPr>
          <w:spacing w:val="-5"/>
        </w:rPr>
        <w:t> </w:t>
      </w:r>
      <w:r>
        <w:rPr/>
        <w:t>housing</w:t>
      </w:r>
      <w:r>
        <w:rPr>
          <w:spacing w:val="-5"/>
        </w:rPr>
        <w:t> </w:t>
      </w:r>
      <w:r>
        <w:rPr/>
        <w:t>unit.</w:t>
      </w:r>
      <w:r>
        <w:rPr>
          <w:spacing w:val="-4"/>
        </w:rPr>
        <w:t> </w:t>
      </w:r>
      <w:r>
        <w:rPr/>
        <w:t>Applicant</w:t>
      </w:r>
      <w:r>
        <w:rPr>
          <w:spacing w:val="-8"/>
        </w:rPr>
        <w:t> </w:t>
      </w:r>
      <w:r>
        <w:rPr/>
        <w:t>must</w:t>
      </w:r>
      <w:r>
        <w:rPr>
          <w:spacing w:val="-6"/>
        </w:rPr>
        <w:t> </w:t>
      </w:r>
      <w:r>
        <w:rPr/>
        <w:t>provide</w:t>
      </w:r>
      <w:r>
        <w:rPr>
          <w:spacing w:val="-5"/>
        </w:rPr>
        <w:t> </w:t>
      </w:r>
      <w:r>
        <w:rPr/>
        <w:t>cut</w:t>
      </w:r>
      <w:r>
        <w:rPr>
          <w:spacing w:val="-6"/>
        </w:rPr>
        <w:t> </w:t>
      </w:r>
      <w:r>
        <w:rPr/>
        <w:t>sheets</w:t>
      </w:r>
      <w:r>
        <w:rPr>
          <w:spacing w:val="-7"/>
        </w:rPr>
        <w:t> </w:t>
      </w:r>
      <w:r>
        <w:rPr/>
        <w:t>and</w:t>
      </w:r>
      <w:r>
        <w:rPr>
          <w:spacing w:val="-7"/>
        </w:rPr>
        <w:t> </w:t>
      </w:r>
      <w:r>
        <w:rPr/>
        <w:t>warranty</w:t>
      </w:r>
      <w:r>
        <w:rPr>
          <w:spacing w:val="-7"/>
        </w:rPr>
        <w:t> </w:t>
      </w:r>
      <w:r>
        <w:rPr/>
        <w:t>information</w:t>
      </w:r>
      <w:r>
        <w:rPr>
          <w:spacing w:val="-8"/>
        </w:rPr>
        <w:t> </w:t>
      </w:r>
      <w:r>
        <w:rPr/>
        <w:t>for</w:t>
      </w:r>
      <w:r>
        <w:rPr>
          <w:spacing w:val="-6"/>
        </w:rPr>
        <w:t> </w:t>
      </w:r>
      <w:r>
        <w:rPr/>
        <w:t>all mechanical, electrical, and plumbing installed.</w:t>
      </w:r>
    </w:p>
    <w:p>
      <w:pPr>
        <w:pStyle w:val="BodyText"/>
      </w:pPr>
    </w:p>
    <w:p>
      <w:pPr>
        <w:pStyle w:val="Heading5"/>
        <w:ind w:left="121"/>
      </w:pPr>
      <w:r>
        <w:rPr/>
        <w:t>Program</w:t>
      </w:r>
      <w:r>
        <w:rPr>
          <w:spacing w:val="-5"/>
        </w:rPr>
        <w:t> </w:t>
      </w:r>
      <w:r>
        <w:rPr>
          <w:spacing w:val="-2"/>
        </w:rPr>
        <w:t>Benefits</w:t>
      </w:r>
    </w:p>
    <w:p>
      <w:pPr>
        <w:pStyle w:val="ListParagraph"/>
        <w:numPr>
          <w:ilvl w:val="0"/>
          <w:numId w:val="29"/>
        </w:numPr>
        <w:tabs>
          <w:tab w:pos="842" w:val="left" w:leader="none"/>
        </w:tabs>
        <w:spacing w:line="240" w:lineRule="auto" w:before="52" w:after="0"/>
        <w:ind w:left="841" w:right="151" w:hanging="361"/>
        <w:jc w:val="both"/>
        <w:rPr>
          <w:sz w:val="22"/>
        </w:rPr>
      </w:pPr>
      <w:r>
        <w:rPr>
          <w:b/>
          <w:sz w:val="22"/>
        </w:rPr>
        <w:t>Development grants in amounts equal to eligible development fees and certain development-related costs: </w:t>
      </w:r>
      <w:r>
        <w:rPr>
          <w:sz w:val="22"/>
        </w:rPr>
        <w:t>At the </w:t>
      </w:r>
      <w:r>
        <w:rPr>
          <w:i/>
          <w:sz w:val="22"/>
        </w:rPr>
        <w:t>completion </w:t>
      </w:r>
      <w:r>
        <w:rPr>
          <w:sz w:val="22"/>
        </w:rPr>
        <w:t>of construction/repairs and </w:t>
      </w:r>
      <w:r>
        <w:rPr>
          <w:i/>
          <w:sz w:val="22"/>
        </w:rPr>
        <w:t>after</w:t>
      </w:r>
      <w:r>
        <w:rPr>
          <w:i/>
          <w:sz w:val="22"/>
        </w:rPr>
        <w:t> compliance with all Program requirements and submission of required paperwork</w:t>
      </w:r>
      <w:r>
        <w:rPr>
          <w:sz w:val="22"/>
        </w:rPr>
        <w:t>, including filing the restrictive covenant, Applicant will receive a grant equal to the eligible fees paid in association with the development and construction of, or repair to, housing units</w:t>
      </w:r>
      <w:r>
        <w:rPr>
          <w:spacing w:val="-16"/>
          <w:sz w:val="22"/>
        </w:rPr>
        <w:t> </w:t>
      </w:r>
      <w:r>
        <w:rPr>
          <w:sz w:val="22"/>
        </w:rPr>
        <w:t>associated</w:t>
      </w:r>
      <w:r>
        <w:rPr>
          <w:spacing w:val="-15"/>
          <w:sz w:val="22"/>
        </w:rPr>
        <w:t> </w:t>
      </w:r>
      <w:r>
        <w:rPr>
          <w:sz w:val="22"/>
        </w:rPr>
        <w:t>with</w:t>
      </w:r>
      <w:r>
        <w:rPr>
          <w:spacing w:val="-15"/>
          <w:sz w:val="22"/>
        </w:rPr>
        <w:t> </w:t>
      </w:r>
      <w:r>
        <w:rPr>
          <w:sz w:val="22"/>
        </w:rPr>
        <w:t>the</w:t>
      </w:r>
      <w:r>
        <w:rPr>
          <w:spacing w:val="-16"/>
          <w:sz w:val="22"/>
        </w:rPr>
        <w:t> </w:t>
      </w:r>
      <w:r>
        <w:rPr>
          <w:sz w:val="22"/>
        </w:rPr>
        <w:t>Program</w:t>
      </w:r>
      <w:r>
        <w:rPr>
          <w:spacing w:val="-15"/>
          <w:sz w:val="22"/>
        </w:rPr>
        <w:t> </w:t>
      </w:r>
      <w:r>
        <w:rPr>
          <w:sz w:val="22"/>
        </w:rPr>
        <w:t>as</w:t>
      </w:r>
      <w:r>
        <w:rPr>
          <w:spacing w:val="-15"/>
          <w:sz w:val="22"/>
        </w:rPr>
        <w:t> </w:t>
      </w:r>
      <w:r>
        <w:rPr>
          <w:sz w:val="22"/>
        </w:rPr>
        <w:t>well</w:t>
      </w:r>
      <w:r>
        <w:rPr>
          <w:spacing w:val="-15"/>
          <w:sz w:val="22"/>
        </w:rPr>
        <w:t> </w:t>
      </w:r>
      <w:r>
        <w:rPr>
          <w:sz w:val="22"/>
        </w:rPr>
        <w:t>as</w:t>
      </w:r>
      <w:r>
        <w:rPr>
          <w:spacing w:val="-16"/>
          <w:sz w:val="22"/>
        </w:rPr>
        <w:t> </w:t>
      </w:r>
      <w:r>
        <w:rPr>
          <w:sz w:val="22"/>
        </w:rPr>
        <w:t>certain</w:t>
      </w:r>
      <w:r>
        <w:rPr>
          <w:spacing w:val="-15"/>
          <w:sz w:val="22"/>
        </w:rPr>
        <w:t> </w:t>
      </w:r>
      <w:r>
        <w:rPr>
          <w:sz w:val="22"/>
        </w:rPr>
        <w:t>development-related</w:t>
      </w:r>
      <w:r>
        <w:rPr>
          <w:spacing w:val="-15"/>
          <w:sz w:val="22"/>
        </w:rPr>
        <w:t> </w:t>
      </w:r>
      <w:r>
        <w:rPr>
          <w:sz w:val="22"/>
        </w:rPr>
        <w:t>costs</w:t>
      </w:r>
      <w:r>
        <w:rPr>
          <w:spacing w:val="-16"/>
          <w:sz w:val="22"/>
        </w:rPr>
        <w:t> </w:t>
      </w:r>
      <w:r>
        <w:rPr>
          <w:sz w:val="22"/>
        </w:rPr>
        <w:t>as</w:t>
      </w:r>
      <w:r>
        <w:rPr>
          <w:spacing w:val="-15"/>
          <w:sz w:val="22"/>
        </w:rPr>
        <w:t> </w:t>
      </w:r>
      <w:r>
        <w:rPr>
          <w:sz w:val="22"/>
        </w:rPr>
        <w:t>detailed in the appendix and below. Developments consisting of more than one housing unit will be eligible for reimbursement of a pro rata share of the eligible development fees and development-related costs based on the percentage of units reserved for eligible </w:t>
      </w:r>
      <w:r>
        <w:rPr>
          <w:spacing w:val="-2"/>
          <w:sz w:val="22"/>
        </w:rPr>
        <w:t>households.</w:t>
      </w:r>
    </w:p>
    <w:p>
      <w:pPr>
        <w:pStyle w:val="ListParagraph"/>
        <w:numPr>
          <w:ilvl w:val="0"/>
          <w:numId w:val="29"/>
        </w:numPr>
        <w:tabs>
          <w:tab w:pos="842" w:val="left" w:leader="none"/>
        </w:tabs>
        <w:spacing w:line="240" w:lineRule="auto" w:before="0" w:after="0"/>
        <w:ind w:left="841" w:right="153" w:hanging="361"/>
        <w:jc w:val="both"/>
        <w:rPr>
          <w:sz w:val="22"/>
        </w:rPr>
      </w:pPr>
      <w:r>
        <w:rPr>
          <w:b/>
          <w:sz w:val="22"/>
        </w:rPr>
        <w:t>Ten Year Tax Abatement: </w:t>
      </w:r>
      <w:r>
        <w:rPr>
          <w:sz w:val="22"/>
        </w:rPr>
        <w:t>Upon the completion of construction/repairs and after compliance with all Program requirements and submission of required paperwork, including signing all tax abatement agreements and filing the restrictive covenant, the property may receive a 100% municipal tax abatement each year on the value for that year that exceeds the value for the year in which the agreement is executed for a period not to exceed 10 years. To continue to be eligible, the Applicant or Eligible Household must apply to renew the tax abatement each year during the tax abatement period and must</w:t>
      </w:r>
      <w:r>
        <w:rPr>
          <w:spacing w:val="-7"/>
          <w:sz w:val="22"/>
        </w:rPr>
        <w:t> </w:t>
      </w:r>
      <w:r>
        <w:rPr>
          <w:sz w:val="22"/>
        </w:rPr>
        <w:t>document</w:t>
      </w:r>
      <w:r>
        <w:rPr>
          <w:spacing w:val="-7"/>
          <w:sz w:val="22"/>
        </w:rPr>
        <w:t> </w:t>
      </w:r>
      <w:r>
        <w:rPr>
          <w:sz w:val="22"/>
        </w:rPr>
        <w:t>that</w:t>
      </w:r>
      <w:r>
        <w:rPr>
          <w:spacing w:val="-7"/>
          <w:sz w:val="22"/>
        </w:rPr>
        <w:t> </w:t>
      </w:r>
      <w:r>
        <w:rPr>
          <w:sz w:val="22"/>
        </w:rPr>
        <w:t>the</w:t>
      </w:r>
      <w:r>
        <w:rPr>
          <w:spacing w:val="-9"/>
          <w:sz w:val="22"/>
        </w:rPr>
        <w:t> </w:t>
      </w:r>
      <w:r>
        <w:rPr>
          <w:sz w:val="22"/>
        </w:rPr>
        <w:t>property</w:t>
      </w:r>
      <w:r>
        <w:rPr>
          <w:spacing w:val="-6"/>
          <w:sz w:val="22"/>
        </w:rPr>
        <w:t> </w:t>
      </w:r>
      <w:r>
        <w:rPr>
          <w:sz w:val="22"/>
        </w:rPr>
        <w:t>is</w:t>
      </w:r>
      <w:r>
        <w:rPr>
          <w:spacing w:val="-6"/>
          <w:sz w:val="22"/>
        </w:rPr>
        <w:t> </w:t>
      </w:r>
      <w:r>
        <w:rPr>
          <w:sz w:val="22"/>
        </w:rPr>
        <w:t>in</w:t>
      </w:r>
      <w:r>
        <w:rPr>
          <w:spacing w:val="-6"/>
          <w:sz w:val="22"/>
        </w:rPr>
        <w:t> </w:t>
      </w:r>
      <w:r>
        <w:rPr>
          <w:sz w:val="22"/>
        </w:rPr>
        <w:t>compliance</w:t>
      </w:r>
      <w:r>
        <w:rPr>
          <w:spacing w:val="-9"/>
          <w:sz w:val="22"/>
        </w:rPr>
        <w:t> </w:t>
      </w:r>
      <w:r>
        <w:rPr>
          <w:sz w:val="22"/>
        </w:rPr>
        <w:t>with</w:t>
      </w:r>
      <w:r>
        <w:rPr>
          <w:spacing w:val="-6"/>
          <w:sz w:val="22"/>
        </w:rPr>
        <w:t> </w:t>
      </w:r>
      <w:r>
        <w:rPr>
          <w:sz w:val="22"/>
        </w:rPr>
        <w:t>the</w:t>
      </w:r>
      <w:r>
        <w:rPr>
          <w:spacing w:val="-6"/>
          <w:sz w:val="22"/>
        </w:rPr>
        <w:t> </w:t>
      </w:r>
      <w:r>
        <w:rPr>
          <w:sz w:val="22"/>
        </w:rPr>
        <w:t>Program,</w:t>
      </w:r>
      <w:r>
        <w:rPr>
          <w:spacing w:val="-5"/>
          <w:sz w:val="22"/>
        </w:rPr>
        <w:t> </w:t>
      </w:r>
      <w:r>
        <w:rPr>
          <w:sz w:val="22"/>
        </w:rPr>
        <w:t>as</w:t>
      </w:r>
      <w:r>
        <w:rPr>
          <w:spacing w:val="-6"/>
          <w:sz w:val="22"/>
        </w:rPr>
        <w:t> </w:t>
      </w:r>
      <w:r>
        <w:rPr>
          <w:sz w:val="22"/>
        </w:rPr>
        <w:t>determined</w:t>
      </w:r>
      <w:r>
        <w:rPr>
          <w:spacing w:val="-6"/>
          <w:sz w:val="22"/>
        </w:rPr>
        <w:t> </w:t>
      </w:r>
      <w:r>
        <w:rPr>
          <w:sz w:val="22"/>
        </w:rPr>
        <w:t>by</w:t>
      </w:r>
      <w:r>
        <w:rPr>
          <w:spacing w:val="-8"/>
          <w:sz w:val="22"/>
        </w:rPr>
        <w:t> </w:t>
      </w:r>
      <w:r>
        <w:rPr>
          <w:sz w:val="22"/>
        </w:rPr>
        <w:t>the City,</w:t>
      </w:r>
      <w:r>
        <w:rPr>
          <w:spacing w:val="-13"/>
          <w:sz w:val="22"/>
        </w:rPr>
        <w:t> </w:t>
      </w:r>
      <w:r>
        <w:rPr>
          <w:sz w:val="22"/>
        </w:rPr>
        <w:t>in</w:t>
      </w:r>
      <w:r>
        <w:rPr>
          <w:spacing w:val="-12"/>
          <w:sz w:val="22"/>
        </w:rPr>
        <w:t> </w:t>
      </w:r>
      <w:r>
        <w:rPr>
          <w:sz w:val="22"/>
        </w:rPr>
        <w:t>its</w:t>
      </w:r>
      <w:r>
        <w:rPr>
          <w:spacing w:val="-14"/>
          <w:sz w:val="22"/>
        </w:rPr>
        <w:t> </w:t>
      </w:r>
      <w:r>
        <w:rPr>
          <w:sz w:val="22"/>
        </w:rPr>
        <w:t>sole</w:t>
      </w:r>
      <w:r>
        <w:rPr>
          <w:spacing w:val="-12"/>
          <w:sz w:val="22"/>
        </w:rPr>
        <w:t> </w:t>
      </w:r>
      <w:r>
        <w:rPr>
          <w:sz w:val="22"/>
        </w:rPr>
        <w:t>discretion.</w:t>
      </w:r>
      <w:r>
        <w:rPr>
          <w:spacing w:val="-13"/>
          <w:sz w:val="22"/>
        </w:rPr>
        <w:t> </w:t>
      </w:r>
      <w:r>
        <w:rPr>
          <w:sz w:val="22"/>
        </w:rPr>
        <w:t>Tax</w:t>
      </w:r>
      <w:r>
        <w:rPr>
          <w:spacing w:val="-12"/>
          <w:sz w:val="22"/>
        </w:rPr>
        <w:t> </w:t>
      </w:r>
      <w:r>
        <w:rPr>
          <w:sz w:val="22"/>
        </w:rPr>
        <w:t>abatements</w:t>
      </w:r>
      <w:r>
        <w:rPr>
          <w:spacing w:val="-14"/>
          <w:sz w:val="22"/>
        </w:rPr>
        <w:t> </w:t>
      </w:r>
      <w:r>
        <w:rPr>
          <w:sz w:val="22"/>
        </w:rPr>
        <w:t>from</w:t>
      </w:r>
      <w:r>
        <w:rPr>
          <w:spacing w:val="-11"/>
          <w:sz w:val="22"/>
        </w:rPr>
        <w:t> </w:t>
      </w:r>
      <w:r>
        <w:rPr>
          <w:sz w:val="22"/>
        </w:rPr>
        <w:t>other</w:t>
      </w:r>
      <w:r>
        <w:rPr>
          <w:spacing w:val="-13"/>
          <w:sz w:val="22"/>
        </w:rPr>
        <w:t> </w:t>
      </w:r>
      <w:r>
        <w:rPr>
          <w:sz w:val="22"/>
        </w:rPr>
        <w:t>jurisdictions,</w:t>
      </w:r>
      <w:r>
        <w:rPr>
          <w:spacing w:val="-11"/>
          <w:sz w:val="22"/>
        </w:rPr>
        <w:t> </w:t>
      </w:r>
      <w:r>
        <w:rPr>
          <w:sz w:val="22"/>
        </w:rPr>
        <w:t>such</w:t>
      </w:r>
      <w:r>
        <w:rPr>
          <w:spacing w:val="-12"/>
          <w:sz w:val="22"/>
        </w:rPr>
        <w:t> </w:t>
      </w:r>
      <w:r>
        <w:rPr>
          <w:sz w:val="22"/>
        </w:rPr>
        <w:t>as</w:t>
      </w:r>
      <w:r>
        <w:rPr>
          <w:spacing w:val="-16"/>
          <w:sz w:val="22"/>
        </w:rPr>
        <w:t> </w:t>
      </w:r>
      <w:r>
        <w:rPr>
          <w:sz w:val="22"/>
        </w:rPr>
        <w:t>Dallas</w:t>
      </w:r>
      <w:r>
        <w:rPr>
          <w:spacing w:val="-12"/>
          <w:sz w:val="22"/>
        </w:rPr>
        <w:t> </w:t>
      </w:r>
      <w:r>
        <w:rPr>
          <w:sz w:val="22"/>
        </w:rPr>
        <w:t>County, are subject to separate action by the governing body of the relevant jurisdiction.</w:t>
      </w:r>
    </w:p>
    <w:p>
      <w:pPr>
        <w:pStyle w:val="BodyText"/>
        <w:spacing w:before="5"/>
        <w:rPr>
          <w:sz w:val="21"/>
        </w:rPr>
      </w:pPr>
    </w:p>
    <w:p>
      <w:pPr>
        <w:pStyle w:val="Heading5"/>
        <w:ind w:left="122"/>
      </w:pPr>
      <w:r>
        <w:rPr/>
        <w:t>Affordability</w:t>
      </w:r>
      <w:r>
        <w:rPr>
          <w:spacing w:val="-8"/>
        </w:rPr>
        <w:t> </w:t>
      </w:r>
      <w:r>
        <w:rPr/>
        <w:t>Period</w:t>
      </w:r>
      <w:r>
        <w:rPr>
          <w:spacing w:val="-7"/>
        </w:rPr>
        <w:t> </w:t>
      </w:r>
      <w:r>
        <w:rPr/>
        <w:t>Related</w:t>
      </w:r>
      <w:r>
        <w:rPr>
          <w:spacing w:val="-8"/>
        </w:rPr>
        <w:t> </w:t>
      </w:r>
      <w:r>
        <w:rPr/>
        <w:t>to</w:t>
      </w:r>
      <w:r>
        <w:rPr>
          <w:spacing w:val="-4"/>
        </w:rPr>
        <w:t> </w:t>
      </w:r>
      <w:r>
        <w:rPr/>
        <w:t>Development</w:t>
      </w:r>
      <w:r>
        <w:rPr>
          <w:spacing w:val="-8"/>
        </w:rPr>
        <w:t> </w:t>
      </w:r>
      <w:r>
        <w:rPr>
          <w:spacing w:val="-2"/>
        </w:rPr>
        <w:t>Grants</w:t>
      </w:r>
    </w:p>
    <w:p>
      <w:pPr>
        <w:pStyle w:val="BodyText"/>
        <w:spacing w:before="49"/>
        <w:ind w:left="122" w:right="153"/>
        <w:jc w:val="both"/>
      </w:pPr>
      <w:r>
        <w:rPr/>
        <w:t>The</w:t>
      </w:r>
      <w:r>
        <w:rPr>
          <w:spacing w:val="-6"/>
        </w:rPr>
        <w:t> </w:t>
      </w:r>
      <w:r>
        <w:rPr/>
        <w:t>housing</w:t>
      </w:r>
      <w:r>
        <w:rPr>
          <w:spacing w:val="-6"/>
        </w:rPr>
        <w:t> </w:t>
      </w:r>
      <w:r>
        <w:rPr/>
        <w:t>unit</w:t>
      </w:r>
      <w:r>
        <w:rPr>
          <w:spacing w:val="-7"/>
        </w:rPr>
        <w:t> </w:t>
      </w:r>
      <w:r>
        <w:rPr/>
        <w:t>must</w:t>
      </w:r>
      <w:r>
        <w:rPr>
          <w:spacing w:val="-7"/>
        </w:rPr>
        <w:t> </w:t>
      </w:r>
      <w:r>
        <w:rPr/>
        <w:t>be</w:t>
      </w:r>
      <w:r>
        <w:rPr>
          <w:spacing w:val="-9"/>
        </w:rPr>
        <w:t> </w:t>
      </w:r>
      <w:r>
        <w:rPr/>
        <w:t>occupied</w:t>
      </w:r>
      <w:r>
        <w:rPr>
          <w:spacing w:val="-6"/>
        </w:rPr>
        <w:t> </w:t>
      </w:r>
      <w:r>
        <w:rPr/>
        <w:t>by</w:t>
      </w:r>
      <w:r>
        <w:rPr>
          <w:spacing w:val="-8"/>
        </w:rPr>
        <w:t> </w:t>
      </w:r>
      <w:r>
        <w:rPr/>
        <w:t>an</w:t>
      </w:r>
      <w:r>
        <w:rPr>
          <w:spacing w:val="-6"/>
        </w:rPr>
        <w:t> </w:t>
      </w:r>
      <w:r>
        <w:rPr/>
        <w:t>eligible</w:t>
      </w:r>
      <w:r>
        <w:rPr>
          <w:spacing w:val="-6"/>
        </w:rPr>
        <w:t> </w:t>
      </w:r>
      <w:r>
        <w:rPr/>
        <w:t>household</w:t>
      </w:r>
      <w:r>
        <w:rPr>
          <w:spacing w:val="-6"/>
        </w:rPr>
        <w:t> </w:t>
      </w:r>
      <w:r>
        <w:rPr/>
        <w:t>for</w:t>
      </w:r>
      <w:r>
        <w:rPr>
          <w:spacing w:val="-8"/>
        </w:rPr>
        <w:t> </w:t>
      </w:r>
      <w:r>
        <w:rPr/>
        <w:t>five</w:t>
      </w:r>
      <w:r>
        <w:rPr>
          <w:spacing w:val="-9"/>
        </w:rPr>
        <w:t> </w:t>
      </w:r>
      <w:r>
        <w:rPr/>
        <w:t>years</w:t>
      </w:r>
      <w:r>
        <w:rPr>
          <w:spacing w:val="-8"/>
        </w:rPr>
        <w:t> </w:t>
      </w:r>
      <w:r>
        <w:rPr/>
        <w:t>from</w:t>
      </w:r>
      <w:r>
        <w:rPr>
          <w:spacing w:val="-8"/>
        </w:rPr>
        <w:t> </w:t>
      </w:r>
      <w:r>
        <w:rPr/>
        <w:t>the</w:t>
      </w:r>
      <w:r>
        <w:rPr>
          <w:spacing w:val="-6"/>
        </w:rPr>
        <w:t> </w:t>
      </w:r>
      <w:r>
        <w:rPr/>
        <w:t>date</w:t>
      </w:r>
      <w:r>
        <w:rPr>
          <w:spacing w:val="-9"/>
        </w:rPr>
        <w:t> </w:t>
      </w:r>
      <w:r>
        <w:rPr/>
        <w:t>the</w:t>
      </w:r>
      <w:r>
        <w:rPr>
          <w:spacing w:val="-7"/>
        </w:rPr>
        <w:t> </w:t>
      </w:r>
      <w:r>
        <w:rPr/>
        <w:t>grant payment is made. Failure to maintain the affordability period will be considered default of the agreement, and an amount equal to the development agreement amount and the taxes abated during the required five-year affordability period will be due upon sale of the property.</w:t>
      </w:r>
    </w:p>
    <w:p>
      <w:pPr>
        <w:pStyle w:val="BodyText"/>
      </w:pPr>
    </w:p>
    <w:p>
      <w:pPr>
        <w:pStyle w:val="Heading5"/>
        <w:ind w:left="122"/>
      </w:pPr>
      <w:r>
        <w:rPr/>
        <w:t>Affordability</w:t>
      </w:r>
      <w:r>
        <w:rPr>
          <w:spacing w:val="-6"/>
        </w:rPr>
        <w:t> </w:t>
      </w:r>
      <w:r>
        <w:rPr/>
        <w:t>Period</w:t>
      </w:r>
      <w:r>
        <w:rPr>
          <w:spacing w:val="-6"/>
        </w:rPr>
        <w:t> </w:t>
      </w:r>
      <w:r>
        <w:rPr/>
        <w:t>Related</w:t>
      </w:r>
      <w:r>
        <w:rPr>
          <w:spacing w:val="-5"/>
        </w:rPr>
        <w:t> </w:t>
      </w:r>
      <w:r>
        <w:rPr/>
        <w:t>to</w:t>
      </w:r>
      <w:r>
        <w:rPr>
          <w:spacing w:val="-4"/>
        </w:rPr>
        <w:t> </w:t>
      </w:r>
      <w:r>
        <w:rPr/>
        <w:t>Property</w:t>
      </w:r>
      <w:r>
        <w:rPr>
          <w:spacing w:val="-8"/>
        </w:rPr>
        <w:t> </w:t>
      </w:r>
      <w:r>
        <w:rPr/>
        <w:t>Tax</w:t>
      </w:r>
      <w:r>
        <w:rPr>
          <w:spacing w:val="-5"/>
        </w:rPr>
        <w:t> </w:t>
      </w:r>
      <w:r>
        <w:rPr>
          <w:spacing w:val="-2"/>
        </w:rPr>
        <w:t>Abatement</w:t>
      </w:r>
    </w:p>
    <w:p>
      <w:pPr>
        <w:spacing w:after="0"/>
        <w:sectPr>
          <w:pgSz w:w="12240" w:h="15840"/>
          <w:pgMar w:header="0" w:footer="1176" w:top="1360" w:bottom="1420" w:left="1320" w:right="1280"/>
        </w:sectPr>
      </w:pPr>
    </w:p>
    <w:p>
      <w:pPr>
        <w:pStyle w:val="BodyText"/>
        <w:spacing w:before="80"/>
        <w:ind w:left="119" w:right="157"/>
        <w:jc w:val="both"/>
      </w:pPr>
      <w:r>
        <w:rPr/>
        <w:t>A rental housing unit must be occupied by an eligible household during each year that a tax abatement</w:t>
      </w:r>
      <w:r>
        <w:rPr>
          <w:spacing w:val="-4"/>
        </w:rPr>
        <w:t> </w:t>
      </w:r>
      <w:r>
        <w:rPr/>
        <w:t>is</w:t>
      </w:r>
      <w:r>
        <w:rPr>
          <w:spacing w:val="-5"/>
        </w:rPr>
        <w:t> </w:t>
      </w:r>
      <w:r>
        <w:rPr/>
        <w:t>requested.</w:t>
      </w:r>
      <w:r>
        <w:rPr>
          <w:spacing w:val="-5"/>
        </w:rPr>
        <w:t> </w:t>
      </w:r>
      <w:r>
        <w:rPr/>
        <w:t>An</w:t>
      </w:r>
      <w:r>
        <w:rPr>
          <w:spacing w:val="-5"/>
        </w:rPr>
        <w:t> </w:t>
      </w:r>
      <w:r>
        <w:rPr/>
        <w:t>owner-occupied</w:t>
      </w:r>
      <w:r>
        <w:rPr>
          <w:spacing w:val="-5"/>
        </w:rPr>
        <w:t> </w:t>
      </w:r>
      <w:r>
        <w:rPr/>
        <w:t>housing</w:t>
      </w:r>
      <w:r>
        <w:rPr>
          <w:spacing w:val="-5"/>
        </w:rPr>
        <w:t> </w:t>
      </w:r>
      <w:r>
        <w:rPr/>
        <w:t>unit</w:t>
      </w:r>
      <w:r>
        <w:rPr>
          <w:spacing w:val="-4"/>
        </w:rPr>
        <w:t> </w:t>
      </w:r>
      <w:r>
        <w:rPr/>
        <w:t>may</w:t>
      </w:r>
      <w:r>
        <w:rPr>
          <w:spacing w:val="-5"/>
        </w:rPr>
        <w:t> </w:t>
      </w:r>
      <w:r>
        <w:rPr/>
        <w:t>be</w:t>
      </w:r>
      <w:r>
        <w:rPr>
          <w:spacing w:val="-5"/>
        </w:rPr>
        <w:t> </w:t>
      </w:r>
      <w:r>
        <w:rPr/>
        <w:t>sold</w:t>
      </w:r>
      <w:r>
        <w:rPr>
          <w:spacing w:val="-5"/>
        </w:rPr>
        <w:t> </w:t>
      </w:r>
      <w:r>
        <w:rPr/>
        <w:t>subject</w:t>
      </w:r>
      <w:r>
        <w:rPr>
          <w:spacing w:val="-4"/>
        </w:rPr>
        <w:t> </w:t>
      </w:r>
      <w:r>
        <w:rPr/>
        <w:t>to</w:t>
      </w:r>
      <w:r>
        <w:rPr>
          <w:spacing w:val="-6"/>
        </w:rPr>
        <w:t> </w:t>
      </w:r>
      <w:r>
        <w:rPr/>
        <w:t>the</w:t>
      </w:r>
      <w:r>
        <w:rPr>
          <w:spacing w:val="-5"/>
        </w:rPr>
        <w:t> </w:t>
      </w:r>
      <w:r>
        <w:rPr/>
        <w:t>home</w:t>
      </w:r>
      <w:r>
        <w:rPr>
          <w:spacing w:val="-5"/>
        </w:rPr>
        <w:t> </w:t>
      </w:r>
      <w:r>
        <w:rPr/>
        <w:t>being purchased by a new eligible household.</w:t>
      </w:r>
    </w:p>
    <w:p>
      <w:pPr>
        <w:pStyle w:val="BodyText"/>
        <w:spacing w:before="4"/>
        <w:rPr>
          <w:sz w:val="26"/>
        </w:rPr>
      </w:pPr>
    </w:p>
    <w:p>
      <w:pPr>
        <w:pStyle w:val="Heading5"/>
        <w:spacing w:before="1"/>
        <w:ind w:left="119"/>
      </w:pPr>
      <w:r>
        <w:rPr/>
        <w:t>Additional</w:t>
      </w:r>
      <w:r>
        <w:rPr>
          <w:spacing w:val="-5"/>
        </w:rPr>
        <w:t> </w:t>
      </w:r>
      <w:r>
        <w:rPr>
          <w:spacing w:val="-2"/>
        </w:rPr>
        <w:t>Requirements</w:t>
      </w:r>
    </w:p>
    <w:p>
      <w:pPr>
        <w:pStyle w:val="ListParagraph"/>
        <w:numPr>
          <w:ilvl w:val="0"/>
          <w:numId w:val="29"/>
        </w:numPr>
        <w:tabs>
          <w:tab w:pos="840" w:val="left" w:leader="none"/>
        </w:tabs>
        <w:spacing w:line="240" w:lineRule="auto" w:before="51" w:after="0"/>
        <w:ind w:left="839" w:right="156" w:hanging="361"/>
        <w:jc w:val="both"/>
        <w:rPr>
          <w:sz w:val="22"/>
        </w:rPr>
      </w:pPr>
      <w:r>
        <w:rPr/>
        <w:pict>
          <v:shape style="position:absolute;margin-left:90.065002pt;margin-top:48.643478pt;width:395.3pt;height:419pt;mso-position-horizontal-relative:page;mso-position-vertical-relative:paragraph;z-index:-17671680" id="docshape143" coordorigin="1801,973" coordsize="7906,8380" path="m4498,8237l4492,8163,4477,8085,4455,8002,4432,7933,4403,7861,4367,7786,4325,7708,4276,7627,4237,7568,4200,7518,4200,8203,4197,8260,4186,8316,4167,8374,4138,8434,4097,8496,4044,8562,3979,8632,3674,8937,2216,7479,2517,7179,2598,7103,2672,7043,2740,6999,2801,6973,2868,6958,2941,6954,3020,6961,3105,6979,3195,7008,3255,7034,3317,7066,3380,7104,3446,7149,3514,7201,3584,7259,3656,7324,3729,7395,3789,7457,3845,7517,3896,7576,3943,7634,3986,7690,4025,7746,4059,7800,4101,7874,4136,7946,4163,8016,4183,8083,4196,8147,4200,8203,4200,7518,4194,7509,4148,7449,4098,7388,4045,7327,3989,7266,3929,7204,3865,7142,3801,7083,3737,7028,3673,6977,3643,6954,3609,6929,3546,6884,3482,6843,3419,6805,3346,6768,3274,6735,3203,6708,3132,6686,3062,6669,2992,6657,2923,6650,2850,6648,2779,6655,2709,6670,2642,6693,2577,6723,2528,6751,2476,6788,2420,6834,2359,6888,2294,6951,1801,7444,3710,9352,4124,8937,4226,8835,4287,8770,4341,8705,4386,8639,4424,8572,4454,8506,4476,8440,4491,8373,4498,8305,4498,8237xm6418,6643l6056,6516,5650,6373,5561,6344,5475,6320,5393,6301,5365,6296,5314,6286,5239,6276,5193,6275,5143,6278,5089,6285,5030,6296,5073,6226,5109,6156,5136,6087,5154,6018,5164,5950,5165,5882,5157,5814,5139,5736,5111,5660,5075,5585,5030,5512,4976,5442,4956,5419,4913,5373,4872,5335,4872,5892,4868,5948,4854,6003,4830,6059,4794,6117,4747,6178,4687,6242,4280,6649,3649,6018,4102,5565,4166,5508,4229,5465,4293,5435,4358,5420,4422,5419,4501,5434,4577,5464,4649,5508,4718,5568,4761,5616,4797,5666,4827,5720,4851,5777,4867,5835,4872,5892,4872,5335,4849,5313,4782,5261,4713,5216,4641,5177,4566,5145,4474,5117,4386,5104,4303,5106,4225,5122,4163,5147,4098,5183,4030,5231,3958,5291,3883,5362,3248,5997,5157,7905,5346,7715,4499,6868,4718,6649,4753,6615,4783,6587,4810,6566,4833,6552,4863,6538,4896,6528,4932,6520,4971,6516,5014,6516,5066,6521,5125,6531,5194,6548,5256,6565,5328,6586,5407,6611,5496,6640,6180,6882,6418,6643xm7780,5281l7415,5086,6555,4632,6555,4939,6070,5424,6030,5353,5989,5281,5748,4850,5708,4779,5668,4707,5629,4642,5590,4577,5550,4513,5509,4450,5467,4388,5424,4326,5380,4266,5436,4301,5498,4339,5564,4379,5635,4421,5792,4511,6555,4939,6555,4632,5862,4266,5286,3959,5082,4163,5277,4513,5316,4584,5701,5281,6207,6200,6441,6621,6642,6420,6565,6286,6298,5818,6221,5685,6481,5424,6820,5086,7173,5281,7565,5497,7780,5281xm8131,4931l7264,4064,7936,3392,7711,3167,7039,3839,6448,3248,7224,2471,6999,2246,6033,3212,7941,5120,8131,4931xm9707,3355l8024,1672,8497,1198,8272,973,7138,2107,7363,2333,7834,1861,9517,3544,9707,3355xe" filled="true" fillcolor="#c0c0c0" stroked="false">
            <v:path arrowok="t"/>
            <v:fill opacity="32896f" type="solid"/>
            <w10:wrap type="none"/>
          </v:shape>
        </w:pict>
      </w:r>
      <w:r>
        <w:rPr>
          <w:sz w:val="22"/>
        </w:rPr>
        <w:t>While participating in the Program, an Applicant who will be developing a new housing unit</w:t>
      </w:r>
      <w:r>
        <w:rPr>
          <w:spacing w:val="-7"/>
          <w:sz w:val="22"/>
        </w:rPr>
        <w:t> </w:t>
      </w:r>
      <w:r>
        <w:rPr>
          <w:sz w:val="22"/>
        </w:rPr>
        <w:t>or</w:t>
      </w:r>
      <w:r>
        <w:rPr>
          <w:spacing w:val="-9"/>
          <w:sz w:val="22"/>
        </w:rPr>
        <w:t> </w:t>
      </w:r>
      <w:r>
        <w:rPr>
          <w:sz w:val="22"/>
        </w:rPr>
        <w:t>repairing</w:t>
      </w:r>
      <w:r>
        <w:rPr>
          <w:spacing w:val="-7"/>
          <w:sz w:val="22"/>
        </w:rPr>
        <w:t> </w:t>
      </w:r>
      <w:r>
        <w:rPr>
          <w:sz w:val="22"/>
        </w:rPr>
        <w:t>a</w:t>
      </w:r>
      <w:r>
        <w:rPr>
          <w:spacing w:val="-10"/>
          <w:sz w:val="22"/>
        </w:rPr>
        <w:t> </w:t>
      </w:r>
      <w:r>
        <w:rPr>
          <w:sz w:val="22"/>
        </w:rPr>
        <w:t>single-family</w:t>
      </w:r>
      <w:r>
        <w:rPr>
          <w:spacing w:val="-7"/>
          <w:sz w:val="22"/>
        </w:rPr>
        <w:t> </w:t>
      </w:r>
      <w:r>
        <w:rPr>
          <w:sz w:val="22"/>
        </w:rPr>
        <w:t>or</w:t>
      </w:r>
      <w:r>
        <w:rPr>
          <w:spacing w:val="-7"/>
          <w:sz w:val="22"/>
        </w:rPr>
        <w:t> </w:t>
      </w:r>
      <w:r>
        <w:rPr>
          <w:sz w:val="22"/>
        </w:rPr>
        <w:t>duplex</w:t>
      </w:r>
      <w:r>
        <w:rPr>
          <w:spacing w:val="-9"/>
          <w:sz w:val="22"/>
        </w:rPr>
        <w:t> </w:t>
      </w:r>
      <w:r>
        <w:rPr>
          <w:sz w:val="22"/>
        </w:rPr>
        <w:t>rental</w:t>
      </w:r>
      <w:r>
        <w:rPr>
          <w:spacing w:val="-8"/>
          <w:sz w:val="22"/>
        </w:rPr>
        <w:t> </w:t>
      </w:r>
      <w:r>
        <w:rPr>
          <w:sz w:val="22"/>
        </w:rPr>
        <w:t>housing</w:t>
      </w:r>
      <w:r>
        <w:rPr>
          <w:spacing w:val="-7"/>
          <w:sz w:val="22"/>
        </w:rPr>
        <w:t> </w:t>
      </w:r>
      <w:r>
        <w:rPr>
          <w:sz w:val="22"/>
        </w:rPr>
        <w:t>unit</w:t>
      </w:r>
      <w:r>
        <w:rPr>
          <w:spacing w:val="-8"/>
          <w:sz w:val="22"/>
        </w:rPr>
        <w:t> </w:t>
      </w:r>
      <w:r>
        <w:rPr>
          <w:sz w:val="22"/>
        </w:rPr>
        <w:t>shall</w:t>
      </w:r>
      <w:r>
        <w:rPr>
          <w:spacing w:val="-8"/>
          <w:sz w:val="22"/>
        </w:rPr>
        <w:t> </w:t>
      </w:r>
      <w:r>
        <w:rPr>
          <w:sz w:val="22"/>
        </w:rPr>
        <w:t>not</w:t>
      </w:r>
      <w:r>
        <w:rPr>
          <w:spacing w:val="-8"/>
          <w:sz w:val="22"/>
        </w:rPr>
        <w:t> </w:t>
      </w:r>
      <w:r>
        <w:rPr>
          <w:sz w:val="22"/>
        </w:rPr>
        <w:t>discriminate</w:t>
      </w:r>
      <w:r>
        <w:rPr>
          <w:spacing w:val="-10"/>
          <w:sz w:val="22"/>
        </w:rPr>
        <w:t> </w:t>
      </w:r>
      <w:r>
        <w:rPr>
          <w:sz w:val="22"/>
        </w:rPr>
        <w:t>against holders</w:t>
      </w:r>
      <w:r>
        <w:rPr>
          <w:spacing w:val="-14"/>
          <w:sz w:val="22"/>
        </w:rPr>
        <w:t> </w:t>
      </w:r>
      <w:r>
        <w:rPr>
          <w:sz w:val="22"/>
        </w:rPr>
        <w:t>of</w:t>
      </w:r>
      <w:r>
        <w:rPr>
          <w:spacing w:val="-13"/>
          <w:sz w:val="22"/>
        </w:rPr>
        <w:t> </w:t>
      </w:r>
      <w:r>
        <w:rPr>
          <w:sz w:val="22"/>
        </w:rPr>
        <w:t>housing</w:t>
      </w:r>
      <w:r>
        <w:rPr>
          <w:spacing w:val="-15"/>
          <w:sz w:val="22"/>
        </w:rPr>
        <w:t> </w:t>
      </w:r>
      <w:r>
        <w:rPr>
          <w:sz w:val="22"/>
        </w:rPr>
        <w:t>vouchers,</w:t>
      </w:r>
      <w:r>
        <w:rPr>
          <w:spacing w:val="-13"/>
          <w:sz w:val="22"/>
        </w:rPr>
        <w:t> </w:t>
      </w:r>
      <w:r>
        <w:rPr>
          <w:sz w:val="22"/>
        </w:rPr>
        <w:t>including</w:t>
      </w:r>
      <w:r>
        <w:rPr>
          <w:spacing w:val="-12"/>
          <w:sz w:val="22"/>
        </w:rPr>
        <w:t> </w:t>
      </w:r>
      <w:r>
        <w:rPr>
          <w:sz w:val="22"/>
        </w:rPr>
        <w:t>vouchers</w:t>
      </w:r>
      <w:r>
        <w:rPr>
          <w:spacing w:val="-14"/>
          <w:sz w:val="22"/>
        </w:rPr>
        <w:t> </w:t>
      </w:r>
      <w:r>
        <w:rPr>
          <w:sz w:val="22"/>
        </w:rPr>
        <w:t>directly</w:t>
      </w:r>
      <w:r>
        <w:rPr>
          <w:spacing w:val="-14"/>
          <w:sz w:val="22"/>
        </w:rPr>
        <w:t> </w:t>
      </w:r>
      <w:r>
        <w:rPr>
          <w:sz w:val="22"/>
        </w:rPr>
        <w:t>or</w:t>
      </w:r>
      <w:r>
        <w:rPr>
          <w:spacing w:val="-13"/>
          <w:sz w:val="22"/>
        </w:rPr>
        <w:t> </w:t>
      </w:r>
      <w:r>
        <w:rPr>
          <w:sz w:val="22"/>
        </w:rPr>
        <w:t>indirectly</w:t>
      </w:r>
      <w:r>
        <w:rPr>
          <w:spacing w:val="-14"/>
          <w:sz w:val="22"/>
        </w:rPr>
        <w:t> </w:t>
      </w:r>
      <w:r>
        <w:rPr>
          <w:sz w:val="22"/>
        </w:rPr>
        <w:t>funded</w:t>
      </w:r>
      <w:r>
        <w:rPr>
          <w:spacing w:val="-15"/>
          <w:sz w:val="22"/>
        </w:rPr>
        <w:t> </w:t>
      </w:r>
      <w:r>
        <w:rPr>
          <w:sz w:val="22"/>
        </w:rPr>
        <w:t>by</w:t>
      </w:r>
      <w:r>
        <w:rPr>
          <w:spacing w:val="-16"/>
          <w:sz w:val="22"/>
        </w:rPr>
        <w:t> </w:t>
      </w:r>
      <w:r>
        <w:rPr>
          <w:sz w:val="22"/>
        </w:rPr>
        <w:t>the</w:t>
      </w:r>
      <w:r>
        <w:rPr>
          <w:spacing w:val="-14"/>
          <w:sz w:val="22"/>
        </w:rPr>
        <w:t> </w:t>
      </w:r>
      <w:r>
        <w:rPr>
          <w:sz w:val="22"/>
        </w:rPr>
        <w:t>federal </w:t>
      </w:r>
      <w:r>
        <w:rPr>
          <w:spacing w:val="-2"/>
          <w:sz w:val="22"/>
        </w:rPr>
        <w:t>government.</w:t>
      </w:r>
    </w:p>
    <w:p>
      <w:pPr>
        <w:pStyle w:val="ListParagraph"/>
        <w:numPr>
          <w:ilvl w:val="0"/>
          <w:numId w:val="29"/>
        </w:numPr>
        <w:tabs>
          <w:tab w:pos="841" w:val="left" w:leader="none"/>
        </w:tabs>
        <w:spacing w:line="237" w:lineRule="auto" w:before="1" w:after="0"/>
        <w:ind w:left="840" w:right="157" w:hanging="361"/>
        <w:jc w:val="both"/>
        <w:rPr>
          <w:sz w:val="22"/>
        </w:rPr>
      </w:pPr>
      <w:r>
        <w:rPr>
          <w:sz w:val="22"/>
        </w:rPr>
        <w:t>Applicants constructing new housing units to be sold to eligible households must submit proof</w:t>
      </w:r>
      <w:r>
        <w:rPr>
          <w:spacing w:val="-9"/>
          <w:sz w:val="22"/>
        </w:rPr>
        <w:t> </w:t>
      </w:r>
      <w:r>
        <w:rPr>
          <w:sz w:val="22"/>
        </w:rPr>
        <w:t>that</w:t>
      </w:r>
      <w:r>
        <w:rPr>
          <w:spacing w:val="-9"/>
          <w:sz w:val="22"/>
        </w:rPr>
        <w:t> </w:t>
      </w:r>
      <w:r>
        <w:rPr>
          <w:sz w:val="22"/>
        </w:rPr>
        <w:t>information</w:t>
      </w:r>
      <w:r>
        <w:rPr>
          <w:spacing w:val="-8"/>
          <w:sz w:val="22"/>
        </w:rPr>
        <w:t> </w:t>
      </w:r>
      <w:r>
        <w:rPr>
          <w:sz w:val="22"/>
        </w:rPr>
        <w:t>about</w:t>
      </w:r>
      <w:r>
        <w:rPr>
          <w:spacing w:val="-7"/>
          <w:sz w:val="22"/>
        </w:rPr>
        <w:t> </w:t>
      </w:r>
      <w:r>
        <w:rPr>
          <w:sz w:val="22"/>
        </w:rPr>
        <w:t>the</w:t>
      </w:r>
      <w:r>
        <w:rPr>
          <w:spacing w:val="-11"/>
          <w:sz w:val="22"/>
        </w:rPr>
        <w:t> </w:t>
      </w:r>
      <w:r>
        <w:rPr>
          <w:sz w:val="22"/>
        </w:rPr>
        <w:t>availability</w:t>
      </w:r>
      <w:r>
        <w:rPr>
          <w:spacing w:val="-8"/>
          <w:sz w:val="22"/>
        </w:rPr>
        <w:t> </w:t>
      </w:r>
      <w:r>
        <w:rPr>
          <w:sz w:val="22"/>
        </w:rPr>
        <w:t>of</w:t>
      </w:r>
      <w:r>
        <w:rPr>
          <w:spacing w:val="-7"/>
          <w:sz w:val="22"/>
        </w:rPr>
        <w:t> </w:t>
      </w:r>
      <w:r>
        <w:rPr>
          <w:sz w:val="22"/>
        </w:rPr>
        <w:t>Housing</w:t>
      </w:r>
      <w:r>
        <w:rPr>
          <w:spacing w:val="-8"/>
          <w:sz w:val="22"/>
        </w:rPr>
        <w:t> </w:t>
      </w:r>
      <w:r>
        <w:rPr>
          <w:sz w:val="22"/>
        </w:rPr>
        <w:t>and</w:t>
      </w:r>
      <w:r>
        <w:rPr>
          <w:spacing w:val="-8"/>
          <w:sz w:val="22"/>
        </w:rPr>
        <w:t> </w:t>
      </w:r>
      <w:r>
        <w:rPr>
          <w:sz w:val="22"/>
        </w:rPr>
        <w:t>Urban</w:t>
      </w:r>
      <w:r>
        <w:rPr>
          <w:spacing w:val="-8"/>
          <w:sz w:val="22"/>
        </w:rPr>
        <w:t> </w:t>
      </w:r>
      <w:r>
        <w:rPr>
          <w:sz w:val="22"/>
        </w:rPr>
        <w:t>Development-approved homebuyer education courses was provided to the homebuyer at the time of loan </w:t>
      </w:r>
      <w:r>
        <w:rPr>
          <w:spacing w:val="-2"/>
          <w:sz w:val="22"/>
        </w:rPr>
        <w:t>application.</w:t>
      </w:r>
    </w:p>
    <w:p>
      <w:pPr>
        <w:pStyle w:val="ListParagraph"/>
        <w:numPr>
          <w:ilvl w:val="0"/>
          <w:numId w:val="29"/>
        </w:numPr>
        <w:tabs>
          <w:tab w:pos="841" w:val="left" w:leader="none"/>
        </w:tabs>
        <w:spacing w:line="240" w:lineRule="auto" w:before="4" w:after="0"/>
        <w:ind w:left="840" w:right="157" w:hanging="361"/>
        <w:jc w:val="both"/>
        <w:rPr>
          <w:sz w:val="22"/>
        </w:rPr>
      </w:pPr>
      <w:r>
        <w:rPr>
          <w:sz w:val="22"/>
        </w:rPr>
        <w:t>If</w:t>
      </w:r>
      <w:r>
        <w:rPr>
          <w:spacing w:val="-6"/>
          <w:sz w:val="22"/>
        </w:rPr>
        <w:t> </w:t>
      </w:r>
      <w:r>
        <w:rPr>
          <w:sz w:val="22"/>
        </w:rPr>
        <w:t>an</w:t>
      </w:r>
      <w:r>
        <w:rPr>
          <w:spacing w:val="-10"/>
          <w:sz w:val="22"/>
        </w:rPr>
        <w:t> </w:t>
      </w:r>
      <w:r>
        <w:rPr>
          <w:sz w:val="22"/>
        </w:rPr>
        <w:t>Applicant</w:t>
      </w:r>
      <w:r>
        <w:rPr>
          <w:spacing w:val="-6"/>
          <w:sz w:val="22"/>
        </w:rPr>
        <w:t> </w:t>
      </w:r>
      <w:r>
        <w:rPr>
          <w:sz w:val="22"/>
        </w:rPr>
        <w:t>who</w:t>
      </w:r>
      <w:r>
        <w:rPr>
          <w:spacing w:val="-7"/>
          <w:sz w:val="22"/>
        </w:rPr>
        <w:t> </w:t>
      </w:r>
      <w:r>
        <w:rPr>
          <w:sz w:val="22"/>
        </w:rPr>
        <w:t>will</w:t>
      </w:r>
      <w:r>
        <w:rPr>
          <w:spacing w:val="-8"/>
          <w:sz w:val="22"/>
        </w:rPr>
        <w:t> </w:t>
      </w:r>
      <w:r>
        <w:rPr>
          <w:sz w:val="22"/>
        </w:rPr>
        <w:t>be</w:t>
      </w:r>
      <w:r>
        <w:rPr>
          <w:spacing w:val="-7"/>
          <w:sz w:val="22"/>
        </w:rPr>
        <w:t> </w:t>
      </w:r>
      <w:r>
        <w:rPr>
          <w:sz w:val="22"/>
        </w:rPr>
        <w:t>repairing</w:t>
      </w:r>
      <w:r>
        <w:rPr>
          <w:spacing w:val="-7"/>
          <w:sz w:val="22"/>
        </w:rPr>
        <w:t> </w:t>
      </w:r>
      <w:r>
        <w:rPr>
          <w:sz w:val="22"/>
        </w:rPr>
        <w:t>a</w:t>
      </w:r>
      <w:r>
        <w:rPr>
          <w:spacing w:val="-7"/>
          <w:sz w:val="22"/>
        </w:rPr>
        <w:t> </w:t>
      </w:r>
      <w:r>
        <w:rPr>
          <w:sz w:val="22"/>
        </w:rPr>
        <w:t>single</w:t>
      </w:r>
      <w:r>
        <w:rPr>
          <w:spacing w:val="-7"/>
          <w:sz w:val="22"/>
        </w:rPr>
        <w:t> </w:t>
      </w:r>
      <w:r>
        <w:rPr>
          <w:sz w:val="22"/>
        </w:rPr>
        <w:t>family</w:t>
      </w:r>
      <w:r>
        <w:rPr>
          <w:spacing w:val="-7"/>
          <w:sz w:val="22"/>
        </w:rPr>
        <w:t> </w:t>
      </w:r>
      <w:r>
        <w:rPr>
          <w:sz w:val="22"/>
        </w:rPr>
        <w:t>or</w:t>
      </w:r>
      <w:r>
        <w:rPr>
          <w:spacing w:val="-6"/>
          <w:sz w:val="22"/>
        </w:rPr>
        <w:t> </w:t>
      </w:r>
      <w:r>
        <w:rPr>
          <w:sz w:val="22"/>
        </w:rPr>
        <w:t>duplex</w:t>
      </w:r>
      <w:r>
        <w:rPr>
          <w:spacing w:val="-9"/>
          <w:sz w:val="22"/>
        </w:rPr>
        <w:t> </w:t>
      </w:r>
      <w:r>
        <w:rPr>
          <w:sz w:val="22"/>
        </w:rPr>
        <w:t>rental</w:t>
      </w:r>
      <w:r>
        <w:rPr>
          <w:spacing w:val="-8"/>
          <w:sz w:val="22"/>
        </w:rPr>
        <w:t> </w:t>
      </w:r>
      <w:r>
        <w:rPr>
          <w:sz w:val="22"/>
        </w:rPr>
        <w:t>housing</w:t>
      </w:r>
      <w:r>
        <w:rPr>
          <w:spacing w:val="-7"/>
          <w:sz w:val="22"/>
        </w:rPr>
        <w:t> </w:t>
      </w:r>
      <w:r>
        <w:rPr>
          <w:sz w:val="22"/>
        </w:rPr>
        <w:t>unit</w:t>
      </w:r>
      <w:r>
        <w:rPr>
          <w:spacing w:val="-6"/>
          <w:sz w:val="22"/>
        </w:rPr>
        <w:t> </w:t>
      </w:r>
      <w:r>
        <w:rPr>
          <w:sz w:val="22"/>
        </w:rPr>
        <w:t>is</w:t>
      </w:r>
      <w:r>
        <w:rPr>
          <w:spacing w:val="-7"/>
          <w:sz w:val="22"/>
        </w:rPr>
        <w:t> </w:t>
      </w:r>
      <w:r>
        <w:rPr>
          <w:sz w:val="22"/>
        </w:rPr>
        <w:t>leasing to an eligible household at the time of applying for the Program, the Applicant may not evict or decline to renew</w:t>
      </w:r>
      <w:r>
        <w:rPr>
          <w:spacing w:val="-2"/>
          <w:sz w:val="22"/>
        </w:rPr>
        <w:t> </w:t>
      </w:r>
      <w:r>
        <w:rPr>
          <w:sz w:val="22"/>
        </w:rPr>
        <w:t>the lease of the eligible household for at least one</w:t>
      </w:r>
      <w:r>
        <w:rPr>
          <w:spacing w:val="-2"/>
          <w:sz w:val="22"/>
        </w:rPr>
        <w:t> </w:t>
      </w:r>
      <w:r>
        <w:rPr>
          <w:sz w:val="22"/>
        </w:rPr>
        <w:t>year, so</w:t>
      </w:r>
      <w:r>
        <w:rPr>
          <w:spacing w:val="-2"/>
          <w:sz w:val="22"/>
        </w:rPr>
        <w:t> </w:t>
      </w:r>
      <w:r>
        <w:rPr>
          <w:sz w:val="22"/>
        </w:rPr>
        <w:t>long as the eligible household is in compliance with the lease. Further, the Applicant must schedule repair work to minimize disruption to the eligible household.</w:t>
      </w:r>
    </w:p>
    <w:p>
      <w:pPr>
        <w:pStyle w:val="ListParagraph"/>
        <w:numPr>
          <w:ilvl w:val="0"/>
          <w:numId w:val="29"/>
        </w:numPr>
        <w:tabs>
          <w:tab w:pos="841" w:val="left" w:leader="none"/>
        </w:tabs>
        <w:spacing w:line="237" w:lineRule="auto" w:before="2" w:after="0"/>
        <w:ind w:left="840" w:right="157" w:hanging="361"/>
        <w:jc w:val="both"/>
        <w:rPr>
          <w:sz w:val="22"/>
        </w:rPr>
      </w:pPr>
      <w:r>
        <w:rPr>
          <w:sz w:val="22"/>
        </w:rPr>
        <w:t>Applicants shall document development fees associated with the investment and follow processes as published by the Department.</w:t>
      </w:r>
    </w:p>
    <w:p>
      <w:pPr>
        <w:pStyle w:val="ListParagraph"/>
        <w:numPr>
          <w:ilvl w:val="0"/>
          <w:numId w:val="29"/>
        </w:numPr>
        <w:tabs>
          <w:tab w:pos="841" w:val="left" w:leader="none"/>
        </w:tabs>
        <w:spacing w:line="237" w:lineRule="auto" w:before="3" w:after="0"/>
        <w:ind w:left="840" w:right="156" w:hanging="361"/>
        <w:jc w:val="both"/>
        <w:rPr>
          <w:sz w:val="22"/>
        </w:rPr>
      </w:pPr>
      <w:r>
        <w:rPr>
          <w:sz w:val="22"/>
        </w:rPr>
        <w:t>The city will draft the required agreements and restrictive covenant. To receive the abatement, the applicant must sign the agreement and execute and file the restrictive covenant on the deed records of the county.</w:t>
      </w:r>
    </w:p>
    <w:p>
      <w:pPr>
        <w:pStyle w:val="ListParagraph"/>
        <w:numPr>
          <w:ilvl w:val="0"/>
          <w:numId w:val="29"/>
        </w:numPr>
        <w:tabs>
          <w:tab w:pos="841" w:val="left" w:leader="none"/>
        </w:tabs>
        <w:spacing w:line="237" w:lineRule="auto" w:before="5" w:after="0"/>
        <w:ind w:left="840" w:right="159" w:hanging="361"/>
        <w:jc w:val="both"/>
        <w:rPr>
          <w:sz w:val="22"/>
        </w:rPr>
      </w:pPr>
      <w:r>
        <w:rPr>
          <w:spacing w:val="-2"/>
          <w:sz w:val="22"/>
        </w:rPr>
        <w:t>The</w:t>
      </w:r>
      <w:r>
        <w:rPr>
          <w:spacing w:val="-6"/>
          <w:sz w:val="22"/>
        </w:rPr>
        <w:t> </w:t>
      </w:r>
      <w:r>
        <w:rPr>
          <w:spacing w:val="-2"/>
          <w:sz w:val="22"/>
        </w:rPr>
        <w:t>abatement</w:t>
      </w:r>
      <w:r>
        <w:rPr>
          <w:spacing w:val="-5"/>
          <w:sz w:val="22"/>
        </w:rPr>
        <w:t> </w:t>
      </w:r>
      <w:r>
        <w:rPr>
          <w:spacing w:val="-2"/>
          <w:sz w:val="22"/>
        </w:rPr>
        <w:t>requires</w:t>
      </w:r>
      <w:r>
        <w:rPr>
          <w:spacing w:val="-8"/>
          <w:sz w:val="22"/>
        </w:rPr>
        <w:t> </w:t>
      </w:r>
      <w:r>
        <w:rPr>
          <w:spacing w:val="-2"/>
          <w:sz w:val="22"/>
        </w:rPr>
        <w:t>an</w:t>
      </w:r>
      <w:r>
        <w:rPr>
          <w:spacing w:val="-6"/>
          <w:sz w:val="22"/>
        </w:rPr>
        <w:t> </w:t>
      </w:r>
      <w:r>
        <w:rPr>
          <w:spacing w:val="-2"/>
          <w:sz w:val="22"/>
        </w:rPr>
        <w:t>annual</w:t>
      </w:r>
      <w:r>
        <w:rPr>
          <w:spacing w:val="-7"/>
          <w:sz w:val="22"/>
        </w:rPr>
        <w:t> </w:t>
      </w:r>
      <w:r>
        <w:rPr>
          <w:spacing w:val="-2"/>
          <w:sz w:val="22"/>
        </w:rPr>
        <w:t>application</w:t>
      </w:r>
      <w:r>
        <w:rPr>
          <w:spacing w:val="-6"/>
          <w:sz w:val="22"/>
        </w:rPr>
        <w:t> </w:t>
      </w:r>
      <w:r>
        <w:rPr>
          <w:spacing w:val="-2"/>
          <w:sz w:val="22"/>
        </w:rPr>
        <w:t>and</w:t>
      </w:r>
      <w:r>
        <w:rPr>
          <w:spacing w:val="-4"/>
          <w:sz w:val="22"/>
        </w:rPr>
        <w:t> </w:t>
      </w:r>
      <w:r>
        <w:rPr>
          <w:spacing w:val="-2"/>
          <w:sz w:val="22"/>
        </w:rPr>
        <w:t>compliance</w:t>
      </w:r>
      <w:r>
        <w:rPr>
          <w:spacing w:val="-6"/>
          <w:sz w:val="22"/>
        </w:rPr>
        <w:t> </w:t>
      </w:r>
      <w:r>
        <w:rPr>
          <w:spacing w:val="-2"/>
          <w:sz w:val="22"/>
        </w:rPr>
        <w:t>review</w:t>
      </w:r>
      <w:r>
        <w:rPr>
          <w:spacing w:val="-7"/>
          <w:sz w:val="22"/>
        </w:rPr>
        <w:t> </w:t>
      </w:r>
      <w:r>
        <w:rPr>
          <w:spacing w:val="-2"/>
          <w:sz w:val="22"/>
        </w:rPr>
        <w:t>process</w:t>
      </w:r>
      <w:r>
        <w:rPr>
          <w:spacing w:val="-6"/>
          <w:sz w:val="22"/>
        </w:rPr>
        <w:t> </w:t>
      </w:r>
      <w:r>
        <w:rPr>
          <w:spacing w:val="-2"/>
          <w:sz w:val="22"/>
        </w:rPr>
        <w:t>and</w:t>
      </w:r>
      <w:r>
        <w:rPr>
          <w:spacing w:val="-6"/>
          <w:sz w:val="22"/>
        </w:rPr>
        <w:t> </w:t>
      </w:r>
      <w:r>
        <w:rPr>
          <w:spacing w:val="-2"/>
          <w:sz w:val="22"/>
        </w:rPr>
        <w:t>may</w:t>
      </w:r>
      <w:r>
        <w:rPr>
          <w:spacing w:val="-8"/>
          <w:sz w:val="22"/>
        </w:rPr>
        <w:t> </w:t>
      </w:r>
      <w:r>
        <w:rPr>
          <w:spacing w:val="-2"/>
          <w:sz w:val="22"/>
        </w:rPr>
        <w:t>be denied</w:t>
      </w:r>
      <w:r>
        <w:rPr>
          <w:spacing w:val="-10"/>
          <w:sz w:val="22"/>
        </w:rPr>
        <w:t> </w:t>
      </w:r>
      <w:r>
        <w:rPr>
          <w:spacing w:val="-2"/>
          <w:sz w:val="22"/>
        </w:rPr>
        <w:t>for</w:t>
      </w:r>
      <w:r>
        <w:rPr>
          <w:spacing w:val="-9"/>
          <w:sz w:val="22"/>
        </w:rPr>
        <w:t> </w:t>
      </w:r>
      <w:r>
        <w:rPr>
          <w:spacing w:val="-2"/>
          <w:sz w:val="22"/>
        </w:rPr>
        <w:t>any</w:t>
      </w:r>
      <w:r>
        <w:rPr>
          <w:spacing w:val="-10"/>
          <w:sz w:val="22"/>
        </w:rPr>
        <w:t> </w:t>
      </w:r>
      <w:r>
        <w:rPr>
          <w:spacing w:val="-2"/>
          <w:sz w:val="22"/>
        </w:rPr>
        <w:t>year</w:t>
      </w:r>
      <w:r>
        <w:rPr>
          <w:spacing w:val="-9"/>
          <w:sz w:val="22"/>
        </w:rPr>
        <w:t> </w:t>
      </w:r>
      <w:r>
        <w:rPr>
          <w:spacing w:val="-2"/>
          <w:sz w:val="22"/>
        </w:rPr>
        <w:t>in</w:t>
      </w:r>
      <w:r>
        <w:rPr>
          <w:spacing w:val="-10"/>
          <w:sz w:val="22"/>
        </w:rPr>
        <w:t> </w:t>
      </w:r>
      <w:r>
        <w:rPr>
          <w:spacing w:val="-2"/>
          <w:sz w:val="22"/>
        </w:rPr>
        <w:t>which</w:t>
      </w:r>
      <w:r>
        <w:rPr>
          <w:spacing w:val="-10"/>
          <w:sz w:val="22"/>
        </w:rPr>
        <w:t> </w:t>
      </w:r>
      <w:r>
        <w:rPr>
          <w:spacing w:val="-2"/>
          <w:sz w:val="22"/>
        </w:rPr>
        <w:t>the</w:t>
      </w:r>
      <w:r>
        <w:rPr>
          <w:spacing w:val="-10"/>
          <w:sz w:val="22"/>
        </w:rPr>
        <w:t> </w:t>
      </w:r>
      <w:r>
        <w:rPr>
          <w:spacing w:val="-2"/>
          <w:sz w:val="22"/>
        </w:rPr>
        <w:t>reserved</w:t>
      </w:r>
      <w:r>
        <w:rPr>
          <w:spacing w:val="-13"/>
          <w:sz w:val="22"/>
        </w:rPr>
        <w:t> </w:t>
      </w:r>
      <w:r>
        <w:rPr>
          <w:spacing w:val="-2"/>
          <w:sz w:val="22"/>
        </w:rPr>
        <w:t>dwelling</w:t>
      </w:r>
      <w:r>
        <w:rPr>
          <w:spacing w:val="-10"/>
          <w:sz w:val="22"/>
        </w:rPr>
        <w:t> </w:t>
      </w:r>
      <w:r>
        <w:rPr>
          <w:spacing w:val="-2"/>
          <w:sz w:val="22"/>
        </w:rPr>
        <w:t>is</w:t>
      </w:r>
      <w:r>
        <w:rPr>
          <w:spacing w:val="-10"/>
          <w:sz w:val="22"/>
        </w:rPr>
        <w:t> </w:t>
      </w:r>
      <w:r>
        <w:rPr>
          <w:spacing w:val="-2"/>
          <w:sz w:val="22"/>
        </w:rPr>
        <w:t>not</w:t>
      </w:r>
      <w:r>
        <w:rPr>
          <w:spacing w:val="-9"/>
          <w:sz w:val="22"/>
        </w:rPr>
        <w:t> </w:t>
      </w:r>
      <w:r>
        <w:rPr>
          <w:spacing w:val="-2"/>
          <w:sz w:val="22"/>
        </w:rPr>
        <w:t>occupied</w:t>
      </w:r>
      <w:r>
        <w:rPr>
          <w:spacing w:val="-10"/>
          <w:sz w:val="22"/>
        </w:rPr>
        <w:t> </w:t>
      </w:r>
      <w:r>
        <w:rPr>
          <w:spacing w:val="-2"/>
          <w:sz w:val="22"/>
        </w:rPr>
        <w:t>by</w:t>
      </w:r>
      <w:r>
        <w:rPr>
          <w:spacing w:val="-10"/>
          <w:sz w:val="22"/>
        </w:rPr>
        <w:t> </w:t>
      </w:r>
      <w:r>
        <w:rPr>
          <w:spacing w:val="-2"/>
          <w:sz w:val="22"/>
        </w:rPr>
        <w:t>a</w:t>
      </w:r>
      <w:r>
        <w:rPr>
          <w:spacing w:val="-10"/>
          <w:sz w:val="22"/>
        </w:rPr>
        <w:t> </w:t>
      </w:r>
      <w:r>
        <w:rPr>
          <w:spacing w:val="-2"/>
          <w:sz w:val="22"/>
        </w:rPr>
        <w:t>qualified</w:t>
      </w:r>
      <w:r>
        <w:rPr>
          <w:spacing w:val="-10"/>
          <w:sz w:val="22"/>
        </w:rPr>
        <w:t> </w:t>
      </w:r>
      <w:r>
        <w:rPr>
          <w:spacing w:val="-2"/>
          <w:sz w:val="22"/>
        </w:rPr>
        <w:t>household.</w:t>
      </w:r>
    </w:p>
    <w:p>
      <w:pPr>
        <w:pStyle w:val="ListParagraph"/>
        <w:numPr>
          <w:ilvl w:val="0"/>
          <w:numId w:val="29"/>
        </w:numPr>
        <w:tabs>
          <w:tab w:pos="841" w:val="left" w:leader="none"/>
        </w:tabs>
        <w:spacing w:line="237" w:lineRule="auto" w:before="4" w:after="0"/>
        <w:ind w:left="840" w:right="156" w:hanging="361"/>
        <w:jc w:val="both"/>
        <w:rPr>
          <w:sz w:val="22"/>
        </w:rPr>
      </w:pPr>
      <w:r>
        <w:rPr>
          <w:sz w:val="22"/>
        </w:rPr>
        <w:t>The Department may impose additional eligibility and compliance criteria that are consistent with the Program and state statute.</w:t>
      </w:r>
    </w:p>
    <w:p>
      <w:pPr>
        <w:pStyle w:val="ListParagraph"/>
        <w:numPr>
          <w:ilvl w:val="0"/>
          <w:numId w:val="29"/>
        </w:numPr>
        <w:tabs>
          <w:tab w:pos="841" w:val="left" w:leader="none"/>
        </w:tabs>
        <w:spacing w:line="237" w:lineRule="auto" w:before="3" w:after="0"/>
        <w:ind w:left="840" w:right="156" w:hanging="361"/>
        <w:jc w:val="both"/>
        <w:rPr>
          <w:sz w:val="22"/>
        </w:rPr>
      </w:pPr>
      <w:r>
        <w:rPr>
          <w:sz w:val="22"/>
        </w:rPr>
        <w:t>After</w:t>
      </w:r>
      <w:r>
        <w:rPr>
          <w:spacing w:val="-16"/>
          <w:sz w:val="22"/>
        </w:rPr>
        <w:t> </w:t>
      </w:r>
      <w:r>
        <w:rPr>
          <w:sz w:val="22"/>
        </w:rPr>
        <w:t>the</w:t>
      </w:r>
      <w:r>
        <w:rPr>
          <w:spacing w:val="-15"/>
          <w:sz w:val="22"/>
        </w:rPr>
        <w:t> </w:t>
      </w:r>
      <w:r>
        <w:rPr>
          <w:sz w:val="22"/>
        </w:rPr>
        <w:t>initial</w:t>
      </w:r>
      <w:r>
        <w:rPr>
          <w:spacing w:val="-15"/>
          <w:sz w:val="22"/>
        </w:rPr>
        <w:t> </w:t>
      </w:r>
      <w:r>
        <w:rPr>
          <w:sz w:val="22"/>
        </w:rPr>
        <w:t>period</w:t>
      </w:r>
      <w:r>
        <w:rPr>
          <w:spacing w:val="-14"/>
          <w:sz w:val="22"/>
        </w:rPr>
        <w:t> </w:t>
      </w:r>
      <w:r>
        <w:rPr>
          <w:sz w:val="22"/>
        </w:rPr>
        <w:t>of</w:t>
      </w:r>
      <w:r>
        <w:rPr>
          <w:spacing w:val="-15"/>
          <w:sz w:val="22"/>
        </w:rPr>
        <w:t> </w:t>
      </w:r>
      <w:r>
        <w:rPr>
          <w:sz w:val="22"/>
        </w:rPr>
        <w:t>abatement,</w:t>
      </w:r>
      <w:r>
        <w:rPr>
          <w:spacing w:val="-15"/>
          <w:sz w:val="22"/>
        </w:rPr>
        <w:t> </w:t>
      </w:r>
      <w:r>
        <w:rPr>
          <w:sz w:val="22"/>
        </w:rPr>
        <w:t>and</w:t>
      </w:r>
      <w:r>
        <w:rPr>
          <w:spacing w:val="-14"/>
          <w:sz w:val="22"/>
        </w:rPr>
        <w:t> </w:t>
      </w:r>
      <w:r>
        <w:rPr>
          <w:sz w:val="22"/>
        </w:rPr>
        <w:t>subject</w:t>
      </w:r>
      <w:r>
        <w:rPr>
          <w:spacing w:val="-15"/>
          <w:sz w:val="22"/>
        </w:rPr>
        <w:t> </w:t>
      </w:r>
      <w:r>
        <w:rPr>
          <w:sz w:val="22"/>
        </w:rPr>
        <w:t>to</w:t>
      </w:r>
      <w:r>
        <w:rPr>
          <w:spacing w:val="-16"/>
          <w:sz w:val="22"/>
        </w:rPr>
        <w:t> </w:t>
      </w:r>
      <w:r>
        <w:rPr>
          <w:sz w:val="22"/>
        </w:rPr>
        <w:t>program</w:t>
      </w:r>
      <w:r>
        <w:rPr>
          <w:spacing w:val="-15"/>
          <w:sz w:val="22"/>
        </w:rPr>
        <w:t> </w:t>
      </w:r>
      <w:r>
        <w:rPr>
          <w:sz w:val="22"/>
        </w:rPr>
        <w:t>renewal,</w:t>
      </w:r>
      <w:r>
        <w:rPr>
          <w:spacing w:val="-12"/>
          <w:sz w:val="22"/>
        </w:rPr>
        <w:t> </w:t>
      </w:r>
      <w:r>
        <w:rPr>
          <w:sz w:val="22"/>
        </w:rPr>
        <w:t>property</w:t>
      </w:r>
      <w:r>
        <w:rPr>
          <w:spacing w:val="-13"/>
          <w:sz w:val="22"/>
        </w:rPr>
        <w:t> </w:t>
      </w:r>
      <w:r>
        <w:rPr>
          <w:sz w:val="22"/>
        </w:rPr>
        <w:t>owners</w:t>
      </w:r>
      <w:r>
        <w:rPr>
          <w:spacing w:val="-16"/>
          <w:sz w:val="22"/>
        </w:rPr>
        <w:t> </w:t>
      </w:r>
      <w:r>
        <w:rPr>
          <w:sz w:val="22"/>
        </w:rPr>
        <w:t>may apply for an additional period of abatement, subject to all additional investment and program requirements in place at that time.</w:t>
      </w:r>
    </w:p>
    <w:p>
      <w:pPr>
        <w:pStyle w:val="ListParagraph"/>
        <w:numPr>
          <w:ilvl w:val="0"/>
          <w:numId w:val="29"/>
        </w:numPr>
        <w:tabs>
          <w:tab w:pos="842" w:val="left" w:leader="none"/>
        </w:tabs>
        <w:spacing w:line="240" w:lineRule="auto" w:before="3" w:after="0"/>
        <w:ind w:left="841" w:right="156" w:hanging="361"/>
        <w:jc w:val="both"/>
        <w:rPr>
          <w:sz w:val="22"/>
        </w:rPr>
      </w:pPr>
      <w:r>
        <w:rPr>
          <w:sz w:val="22"/>
        </w:rPr>
        <w:t>All grants and tax abatements are subject to full compliance with city regulations for development. In particular, unauthorized tree removal and construction initiation without required authorizations may, at the Director’s discretion, trigger default proceedings.</w:t>
      </w:r>
    </w:p>
    <w:p>
      <w:pPr>
        <w:pStyle w:val="BodyText"/>
        <w:spacing w:before="3"/>
        <w:rPr>
          <w:sz w:val="26"/>
        </w:rPr>
      </w:pPr>
    </w:p>
    <w:p>
      <w:pPr>
        <w:pStyle w:val="Heading5"/>
        <w:ind w:left="121"/>
      </w:pPr>
      <w:r>
        <w:rPr/>
        <w:t>Termination</w:t>
      </w:r>
      <w:r>
        <w:rPr>
          <w:spacing w:val="-6"/>
        </w:rPr>
        <w:t> </w:t>
      </w:r>
      <w:r>
        <w:rPr/>
        <w:t>and</w:t>
      </w:r>
      <w:r>
        <w:rPr>
          <w:spacing w:val="-3"/>
        </w:rPr>
        <w:t> </w:t>
      </w:r>
      <w:r>
        <w:rPr>
          <w:spacing w:val="-2"/>
        </w:rPr>
        <w:t>amendments</w:t>
      </w:r>
    </w:p>
    <w:p>
      <w:pPr>
        <w:pStyle w:val="ListParagraph"/>
        <w:numPr>
          <w:ilvl w:val="0"/>
          <w:numId w:val="29"/>
        </w:numPr>
        <w:tabs>
          <w:tab w:pos="842" w:val="left" w:leader="none"/>
        </w:tabs>
        <w:spacing w:line="237" w:lineRule="auto" w:before="54" w:after="0"/>
        <w:ind w:left="841" w:right="153" w:hanging="361"/>
        <w:jc w:val="both"/>
        <w:rPr>
          <w:sz w:val="22"/>
        </w:rPr>
      </w:pPr>
      <w:r>
        <w:rPr>
          <w:sz w:val="22"/>
        </w:rPr>
        <w:t>City Council may amend program details and NEZ boundaries or may terminate NEZ districts. Executed development agreements and tax abatements survive NEZ amendments or termination.</w:t>
      </w:r>
    </w:p>
    <w:p>
      <w:pPr>
        <w:pStyle w:val="ListParagraph"/>
        <w:numPr>
          <w:ilvl w:val="0"/>
          <w:numId w:val="29"/>
        </w:numPr>
        <w:tabs>
          <w:tab w:pos="842" w:val="left" w:leader="none"/>
        </w:tabs>
        <w:spacing w:line="240" w:lineRule="auto" w:before="2" w:after="0"/>
        <w:ind w:left="841" w:right="155" w:hanging="361"/>
        <w:jc w:val="both"/>
        <w:rPr>
          <w:sz w:val="22"/>
        </w:rPr>
      </w:pPr>
      <w:r>
        <w:rPr>
          <w:sz w:val="22"/>
        </w:rPr>
        <w:t>Tax abatement and development agreements may be terminated two years after execution if work has not begun, as evidenced by a building permit issuance, foundation poured,</w:t>
      </w:r>
      <w:r>
        <w:rPr>
          <w:spacing w:val="-11"/>
          <w:sz w:val="22"/>
        </w:rPr>
        <w:t> </w:t>
      </w:r>
      <w:r>
        <w:rPr>
          <w:sz w:val="22"/>
        </w:rPr>
        <w:t>or</w:t>
      </w:r>
      <w:r>
        <w:rPr>
          <w:spacing w:val="-11"/>
          <w:sz w:val="22"/>
        </w:rPr>
        <w:t> </w:t>
      </w:r>
      <w:r>
        <w:rPr>
          <w:sz w:val="22"/>
        </w:rPr>
        <w:t>other</w:t>
      </w:r>
      <w:r>
        <w:rPr>
          <w:spacing w:val="-9"/>
          <w:sz w:val="22"/>
        </w:rPr>
        <w:t> </w:t>
      </w:r>
      <w:r>
        <w:rPr>
          <w:sz w:val="22"/>
        </w:rPr>
        <w:t>evidence</w:t>
      </w:r>
      <w:r>
        <w:rPr>
          <w:spacing w:val="-10"/>
          <w:sz w:val="22"/>
        </w:rPr>
        <w:t> </w:t>
      </w:r>
      <w:r>
        <w:rPr>
          <w:sz w:val="22"/>
        </w:rPr>
        <w:t>of</w:t>
      </w:r>
      <w:r>
        <w:rPr>
          <w:spacing w:val="-11"/>
          <w:sz w:val="22"/>
        </w:rPr>
        <w:t> </w:t>
      </w:r>
      <w:r>
        <w:rPr>
          <w:sz w:val="22"/>
        </w:rPr>
        <w:t>work</w:t>
      </w:r>
      <w:r>
        <w:rPr>
          <w:spacing w:val="-12"/>
          <w:sz w:val="22"/>
        </w:rPr>
        <w:t> </w:t>
      </w:r>
      <w:r>
        <w:rPr>
          <w:sz w:val="22"/>
        </w:rPr>
        <w:t>acceptable</w:t>
      </w:r>
      <w:r>
        <w:rPr>
          <w:spacing w:val="-12"/>
          <w:sz w:val="22"/>
        </w:rPr>
        <w:t> </w:t>
      </w:r>
      <w:r>
        <w:rPr>
          <w:sz w:val="22"/>
        </w:rPr>
        <w:t>to</w:t>
      </w:r>
      <w:r>
        <w:rPr>
          <w:spacing w:val="-12"/>
          <w:sz w:val="22"/>
        </w:rPr>
        <w:t> </w:t>
      </w:r>
      <w:r>
        <w:rPr>
          <w:sz w:val="22"/>
        </w:rPr>
        <w:t>the</w:t>
      </w:r>
      <w:r>
        <w:rPr>
          <w:spacing w:val="-10"/>
          <w:sz w:val="22"/>
        </w:rPr>
        <w:t> </w:t>
      </w:r>
      <w:r>
        <w:rPr>
          <w:sz w:val="22"/>
        </w:rPr>
        <w:t>City,</w:t>
      </w:r>
      <w:r>
        <w:rPr>
          <w:spacing w:val="-11"/>
          <w:sz w:val="22"/>
        </w:rPr>
        <w:t> </w:t>
      </w:r>
      <w:r>
        <w:rPr>
          <w:sz w:val="22"/>
        </w:rPr>
        <w:t>unless</w:t>
      </w:r>
      <w:r>
        <w:rPr>
          <w:spacing w:val="-12"/>
          <w:sz w:val="22"/>
        </w:rPr>
        <w:t> </w:t>
      </w:r>
      <w:r>
        <w:rPr>
          <w:sz w:val="22"/>
        </w:rPr>
        <w:t>otherwise</w:t>
      </w:r>
      <w:r>
        <w:rPr>
          <w:spacing w:val="-10"/>
          <w:sz w:val="22"/>
        </w:rPr>
        <w:t> </w:t>
      </w:r>
      <w:r>
        <w:rPr>
          <w:sz w:val="22"/>
        </w:rPr>
        <w:t>specified</w:t>
      </w:r>
      <w:r>
        <w:rPr>
          <w:spacing w:val="-10"/>
          <w:sz w:val="22"/>
        </w:rPr>
        <w:t> </w:t>
      </w:r>
      <w:r>
        <w:rPr>
          <w:sz w:val="22"/>
        </w:rPr>
        <w:t>in</w:t>
      </w:r>
      <w:r>
        <w:rPr>
          <w:spacing w:val="-12"/>
          <w:sz w:val="22"/>
        </w:rPr>
        <w:t> </w:t>
      </w:r>
      <w:r>
        <w:rPr>
          <w:sz w:val="22"/>
        </w:rPr>
        <w:t>the </w:t>
      </w:r>
      <w:r>
        <w:rPr>
          <w:spacing w:val="-2"/>
          <w:sz w:val="22"/>
        </w:rPr>
        <w:t>agreement.</w:t>
      </w:r>
    </w:p>
    <w:p>
      <w:pPr>
        <w:pStyle w:val="BodyText"/>
        <w:spacing w:before="10"/>
        <w:rPr>
          <w:sz w:val="21"/>
        </w:rPr>
      </w:pPr>
    </w:p>
    <w:p>
      <w:pPr>
        <w:pStyle w:val="Heading5"/>
        <w:ind w:left="121"/>
      </w:pPr>
      <w:r>
        <w:rPr/>
        <w:t>Program</w:t>
      </w:r>
      <w:r>
        <w:rPr>
          <w:spacing w:val="-5"/>
        </w:rPr>
        <w:t> </w:t>
      </w:r>
      <w:r>
        <w:rPr>
          <w:spacing w:val="-2"/>
        </w:rPr>
        <w:t>Integration</w:t>
      </w:r>
    </w:p>
    <w:p>
      <w:pPr>
        <w:pStyle w:val="BodyText"/>
        <w:spacing w:before="49"/>
        <w:ind w:left="121" w:right="153"/>
        <w:jc w:val="both"/>
      </w:pPr>
      <w:r>
        <w:rPr/>
        <w:t>The Program</w:t>
      </w:r>
      <w:r>
        <w:rPr>
          <w:spacing w:val="-1"/>
        </w:rPr>
        <w:t> </w:t>
      </w:r>
      <w:r>
        <w:rPr/>
        <w:t>is designed</w:t>
      </w:r>
      <w:r>
        <w:rPr>
          <w:spacing w:val="-3"/>
        </w:rPr>
        <w:t> </w:t>
      </w:r>
      <w:r>
        <w:rPr/>
        <w:t>to</w:t>
      </w:r>
      <w:r>
        <w:rPr>
          <w:spacing w:val="-3"/>
        </w:rPr>
        <w:t> </w:t>
      </w:r>
      <w:r>
        <w:rPr/>
        <w:t>work</w:t>
      </w:r>
      <w:r>
        <w:rPr>
          <w:spacing w:val="-2"/>
        </w:rPr>
        <w:t> </w:t>
      </w:r>
      <w:r>
        <w:rPr/>
        <w:t>in</w:t>
      </w:r>
      <w:r>
        <w:rPr>
          <w:spacing w:val="-3"/>
        </w:rPr>
        <w:t> </w:t>
      </w:r>
      <w:r>
        <w:rPr/>
        <w:t>conjunction</w:t>
      </w:r>
      <w:r>
        <w:rPr>
          <w:spacing w:val="-5"/>
        </w:rPr>
        <w:t> </w:t>
      </w:r>
      <w:r>
        <w:rPr/>
        <w:t>with other</w:t>
      </w:r>
      <w:r>
        <w:rPr>
          <w:spacing w:val="-1"/>
        </w:rPr>
        <w:t> </w:t>
      </w:r>
      <w:r>
        <w:rPr/>
        <w:t>City</w:t>
      </w:r>
      <w:r>
        <w:rPr>
          <w:spacing w:val="-2"/>
        </w:rPr>
        <w:t> </w:t>
      </w:r>
      <w:r>
        <w:rPr/>
        <w:t>programs.</w:t>
      </w:r>
      <w:r>
        <w:rPr>
          <w:spacing w:val="-1"/>
        </w:rPr>
        <w:t> </w:t>
      </w:r>
      <w:r>
        <w:rPr/>
        <w:t>Applicants</w:t>
      </w:r>
      <w:r>
        <w:rPr>
          <w:spacing w:val="-2"/>
        </w:rPr>
        <w:t> </w:t>
      </w:r>
      <w:r>
        <w:rPr/>
        <w:t>who</w:t>
      </w:r>
      <w:r>
        <w:rPr>
          <w:spacing w:val="-3"/>
        </w:rPr>
        <w:t> </w:t>
      </w:r>
      <w:r>
        <w:rPr/>
        <w:t>obtain funding for home repairs through the Home Improvement and Preservation Program (HIPP) or receive mortgage assistance through the Dallas Homebuyer Assistance Program (DHAP) may also participate in this NEZ Program, provided that they meet all requirements of this Program, and</w:t>
      </w:r>
      <w:r>
        <w:rPr>
          <w:spacing w:val="-9"/>
        </w:rPr>
        <w:t> </w:t>
      </w:r>
      <w:r>
        <w:rPr/>
        <w:t>subject</w:t>
      </w:r>
      <w:r>
        <w:rPr>
          <w:spacing w:val="-10"/>
        </w:rPr>
        <w:t> </w:t>
      </w:r>
      <w:r>
        <w:rPr/>
        <w:t>to</w:t>
      </w:r>
      <w:r>
        <w:rPr>
          <w:spacing w:val="-11"/>
        </w:rPr>
        <w:t> </w:t>
      </w:r>
      <w:r>
        <w:rPr/>
        <w:t>Federal</w:t>
      </w:r>
      <w:r>
        <w:rPr>
          <w:spacing w:val="-9"/>
        </w:rPr>
        <w:t> </w:t>
      </w:r>
      <w:r>
        <w:rPr/>
        <w:t>limitations.</w:t>
      </w:r>
      <w:r>
        <w:rPr>
          <w:spacing w:val="-10"/>
        </w:rPr>
        <w:t> </w:t>
      </w:r>
      <w:r>
        <w:rPr/>
        <w:t>In</w:t>
      </w:r>
      <w:r>
        <w:rPr>
          <w:spacing w:val="-11"/>
        </w:rPr>
        <w:t> </w:t>
      </w:r>
      <w:r>
        <w:rPr/>
        <w:t>addition,</w:t>
      </w:r>
      <w:r>
        <w:rPr>
          <w:spacing w:val="-10"/>
        </w:rPr>
        <w:t> </w:t>
      </w:r>
      <w:r>
        <w:rPr/>
        <w:t>developers</w:t>
      </w:r>
      <w:r>
        <w:rPr>
          <w:spacing w:val="-8"/>
        </w:rPr>
        <w:t> </w:t>
      </w:r>
      <w:r>
        <w:rPr/>
        <w:t>who</w:t>
      </w:r>
      <w:r>
        <w:rPr>
          <w:spacing w:val="-11"/>
        </w:rPr>
        <w:t> </w:t>
      </w:r>
      <w:r>
        <w:rPr/>
        <w:t>receive</w:t>
      </w:r>
      <w:r>
        <w:rPr>
          <w:spacing w:val="-11"/>
        </w:rPr>
        <w:t> </w:t>
      </w:r>
      <w:r>
        <w:rPr/>
        <w:t>gap</w:t>
      </w:r>
      <w:r>
        <w:rPr>
          <w:spacing w:val="-9"/>
        </w:rPr>
        <w:t> </w:t>
      </w:r>
      <w:r>
        <w:rPr/>
        <w:t>financing</w:t>
      </w:r>
      <w:r>
        <w:rPr>
          <w:spacing w:val="-11"/>
        </w:rPr>
        <w:t> </w:t>
      </w:r>
      <w:r>
        <w:rPr/>
        <w:t>from</w:t>
      </w:r>
      <w:r>
        <w:rPr>
          <w:spacing w:val="-10"/>
        </w:rPr>
        <w:t> </w:t>
      </w:r>
      <w:r>
        <w:rPr/>
        <w:t>the</w:t>
      </w:r>
      <w:r>
        <w:rPr>
          <w:spacing w:val="-11"/>
        </w:rPr>
        <w:t> </w:t>
      </w:r>
      <w:r>
        <w:rPr/>
        <w:t>City</w:t>
      </w:r>
    </w:p>
    <w:p>
      <w:pPr>
        <w:spacing w:after="0"/>
        <w:jc w:val="both"/>
        <w:sectPr>
          <w:pgSz w:w="12240" w:h="15840"/>
          <w:pgMar w:header="0" w:footer="1176" w:top="1360" w:bottom="1420" w:left="1320" w:right="1280"/>
        </w:sectPr>
      </w:pPr>
    </w:p>
    <w:p>
      <w:pPr>
        <w:pStyle w:val="BodyText"/>
        <w:spacing w:before="80"/>
        <w:ind w:left="119" w:right="156"/>
        <w:jc w:val="both"/>
      </w:pPr>
      <w:r>
        <w:rPr/>
        <w:t>or</w:t>
      </w:r>
      <w:r>
        <w:rPr>
          <w:spacing w:val="-3"/>
        </w:rPr>
        <w:t> </w:t>
      </w:r>
      <w:r>
        <w:rPr/>
        <w:t>who</w:t>
      </w:r>
      <w:r>
        <w:rPr>
          <w:spacing w:val="-4"/>
        </w:rPr>
        <w:t> </w:t>
      </w:r>
      <w:r>
        <w:rPr/>
        <w:t>purchase</w:t>
      </w:r>
      <w:r>
        <w:rPr>
          <w:spacing w:val="-4"/>
        </w:rPr>
        <w:t> </w:t>
      </w:r>
      <w:r>
        <w:rPr/>
        <w:t>land</w:t>
      </w:r>
      <w:r>
        <w:rPr>
          <w:spacing w:val="-7"/>
        </w:rPr>
        <w:t> </w:t>
      </w:r>
      <w:r>
        <w:rPr/>
        <w:t>through</w:t>
      </w:r>
      <w:r>
        <w:rPr>
          <w:spacing w:val="-4"/>
        </w:rPr>
        <w:t> </w:t>
      </w:r>
      <w:r>
        <w:rPr/>
        <w:t>a</w:t>
      </w:r>
      <w:r>
        <w:rPr>
          <w:spacing w:val="-4"/>
        </w:rPr>
        <w:t> </w:t>
      </w:r>
      <w:r>
        <w:rPr/>
        <w:t>City</w:t>
      </w:r>
      <w:r>
        <w:rPr>
          <w:spacing w:val="-4"/>
        </w:rPr>
        <w:t> </w:t>
      </w:r>
      <w:r>
        <w:rPr/>
        <w:t>program</w:t>
      </w:r>
      <w:r>
        <w:rPr>
          <w:spacing w:val="-5"/>
        </w:rPr>
        <w:t> </w:t>
      </w:r>
      <w:r>
        <w:rPr/>
        <w:t>may</w:t>
      </w:r>
      <w:r>
        <w:rPr>
          <w:spacing w:val="-4"/>
        </w:rPr>
        <w:t> </w:t>
      </w:r>
      <w:r>
        <w:rPr/>
        <w:t>participate</w:t>
      </w:r>
      <w:r>
        <w:rPr>
          <w:spacing w:val="-4"/>
        </w:rPr>
        <w:t> </w:t>
      </w:r>
      <w:r>
        <w:rPr/>
        <w:t>in</w:t>
      </w:r>
      <w:r>
        <w:rPr>
          <w:spacing w:val="-7"/>
        </w:rPr>
        <w:t> </w:t>
      </w:r>
      <w:r>
        <w:rPr/>
        <w:t>this</w:t>
      </w:r>
      <w:r>
        <w:rPr>
          <w:spacing w:val="-4"/>
        </w:rPr>
        <w:t> </w:t>
      </w:r>
      <w:r>
        <w:rPr/>
        <w:t>Program,</w:t>
      </w:r>
      <w:r>
        <w:rPr>
          <w:spacing w:val="-3"/>
        </w:rPr>
        <w:t> </w:t>
      </w:r>
      <w:r>
        <w:rPr/>
        <w:t>provided</w:t>
      </w:r>
      <w:r>
        <w:rPr>
          <w:spacing w:val="-4"/>
        </w:rPr>
        <w:t> </w:t>
      </w:r>
      <w:r>
        <w:rPr/>
        <w:t>that</w:t>
      </w:r>
      <w:r>
        <w:rPr>
          <w:spacing w:val="-3"/>
        </w:rPr>
        <w:t> </w:t>
      </w:r>
      <w:r>
        <w:rPr/>
        <w:t>they meet all requirements of this Program, and subject to Federal limitations. Additional program integration may also be eligible at the discretion of the Director.</w:t>
      </w:r>
    </w:p>
    <w:p>
      <w:pPr>
        <w:pStyle w:val="BodyText"/>
      </w:pPr>
    </w:p>
    <w:p>
      <w:pPr>
        <w:pStyle w:val="BodyText"/>
        <w:ind w:left="119" w:right="156"/>
        <w:jc w:val="both"/>
      </w:pPr>
      <w:r>
        <w:rPr/>
        <w:pict>
          <v:shape style="position:absolute;margin-left:90.065002pt;margin-top:63.833225pt;width:395.3pt;height:419pt;mso-position-horizontal-relative:page;mso-position-vertical-relative:paragraph;z-index:-17671168" id="docshape144" coordorigin="1801,1277" coordsize="7906,8380" path="m4498,8540l4492,8467,4477,8389,4455,8306,4432,8237,4403,8165,4367,8090,4325,8012,4276,7931,4237,7872,4200,7821,4200,8507,4197,8563,4186,8620,4167,8678,4138,8737,4097,8800,4044,8866,3979,8935,3674,9241,2216,7783,2517,7483,2598,7406,2672,7346,2740,7303,2801,7276,2868,7262,2941,7258,3020,7265,3105,7282,3195,7312,3255,7337,3317,7370,3380,7408,3446,7453,3514,7505,3584,7563,3656,7628,3729,7699,3789,7760,3845,7821,3896,7880,3943,7938,3986,7994,4025,8049,4059,8103,4101,8178,4136,8250,4163,8320,4183,8387,4196,8451,4200,8507,4200,7821,4194,7813,4148,7752,4098,7692,4045,7631,3989,7570,3929,7508,3865,7446,3801,7387,3737,7332,3673,7281,3643,7258,3609,7233,3546,7188,3482,7147,3419,7109,3346,7071,3274,7039,3203,7012,3132,6990,3062,6973,2992,6961,2923,6954,2850,6952,2779,6959,2709,6974,2642,6997,2577,7027,2528,7055,2476,7092,2420,7138,2359,7192,2294,7254,1801,7748,3710,9656,4124,9241,4226,9139,4287,9074,4341,9009,4386,8943,4424,8876,4454,8810,4476,8743,4491,8677,4498,8609,4498,8540xm6418,6947l6056,6820,5650,6677,5561,6648,5475,6624,5393,6605,5365,6599,5314,6590,5239,6580,5193,6578,5143,6581,5089,6589,5030,6599,5073,6530,5109,6460,5136,6391,5154,6322,5164,6254,5165,6185,5157,6118,5139,6040,5111,5963,5075,5889,5030,5816,4976,5745,4956,5723,4913,5677,4872,5639,4872,6196,4868,6252,4854,6306,4830,6363,4794,6421,4747,6482,4687,6546,4280,6953,3649,6322,4102,5869,4166,5812,4229,5769,4293,5739,4358,5724,4422,5723,4501,5738,4577,5768,4649,5812,4718,5872,4761,5920,4797,5970,4827,6024,4851,6081,4867,6139,4872,6196,4872,5639,4849,5617,4782,5565,4713,5519,4641,5481,4566,5449,4474,5420,4386,5408,4303,5410,4225,5426,4163,5450,4098,5487,4030,5535,3958,5595,3883,5666,3248,6300,5157,8209,5346,8019,4499,7172,4718,6953,4753,6919,4783,6891,4810,6870,4833,6856,4863,6842,4896,6831,4932,6824,4971,6820,5014,6820,5066,6825,5125,6835,5194,6852,5256,6869,5328,6890,5407,6915,5496,6944,6180,7185,6418,6947xm7780,5585l7415,5390,6555,4936,6555,5243,6070,5728,6030,5657,5989,5585,5748,5154,5708,5083,5668,5011,5629,4946,5590,4881,5550,4817,5509,4754,5467,4692,5424,4630,5380,4569,5436,4605,5498,4643,5564,4683,5635,4725,5792,4815,6555,5243,6555,4936,5862,4569,5286,4263,5082,4467,5277,4817,5316,4887,5701,5585,6207,6504,6441,6925,6642,6724,6565,6590,6298,6122,6221,5988,6481,5728,6820,5390,7173,5585,7565,5801,7780,5585xm8131,5234l7264,4368,7936,3696,7711,3470,7039,4142,6448,3551,7224,2775,6999,2550,6033,3516,7941,5424,8131,5234xm9707,3659l8024,1975,8497,1502,8272,1277,7138,2411,7363,2636,7834,2165,9517,3848,9707,3659xe" filled="true" fillcolor="#c0c0c0" stroked="false">
            <v:path arrowok="t"/>
            <v:fill opacity="32896f" type="solid"/>
            <w10:wrap type="none"/>
          </v:shape>
        </w:pict>
      </w:r>
      <w:r>
        <w:rPr/>
        <w:t>Section 311.0125 of the Texas Tax Code (Chapter 311) requires that tax</w:t>
      </w:r>
      <w:r>
        <w:rPr>
          <w:spacing w:val="-1"/>
        </w:rPr>
        <w:t> </w:t>
      </w:r>
      <w:r>
        <w:rPr/>
        <w:t>abatements within TIF districts</w:t>
      </w:r>
      <w:r>
        <w:rPr>
          <w:spacing w:val="-1"/>
        </w:rPr>
        <w:t> </w:t>
      </w:r>
      <w:r>
        <w:rPr/>
        <w:t>be approved</w:t>
      </w:r>
      <w:r>
        <w:rPr>
          <w:spacing w:val="-2"/>
        </w:rPr>
        <w:t> </w:t>
      </w:r>
      <w:r>
        <w:rPr/>
        <w:t>by</w:t>
      </w:r>
      <w:r>
        <w:rPr>
          <w:spacing w:val="-1"/>
        </w:rPr>
        <w:t> </w:t>
      </w:r>
      <w:r>
        <w:rPr/>
        <w:t>the board</w:t>
      </w:r>
      <w:r>
        <w:rPr>
          <w:spacing w:val="-2"/>
        </w:rPr>
        <w:t> </w:t>
      </w:r>
      <w:r>
        <w:rPr/>
        <w:t>of directors of the TIF</w:t>
      </w:r>
      <w:r>
        <w:rPr>
          <w:spacing w:val="-2"/>
        </w:rPr>
        <w:t> </w:t>
      </w:r>
      <w:r>
        <w:rPr/>
        <w:t>district and</w:t>
      </w:r>
      <w:r>
        <w:rPr>
          <w:spacing w:val="-2"/>
        </w:rPr>
        <w:t> </w:t>
      </w:r>
      <w:r>
        <w:rPr/>
        <w:t>the governing body of each participating taxing jurisdiction. Parcels located in a Residential NEZ and in a tax increment finance</w:t>
      </w:r>
      <w:r>
        <w:rPr>
          <w:spacing w:val="-16"/>
        </w:rPr>
        <w:t> </w:t>
      </w:r>
      <w:r>
        <w:rPr/>
        <w:t>district</w:t>
      </w:r>
      <w:r>
        <w:rPr>
          <w:spacing w:val="-15"/>
        </w:rPr>
        <w:t> </w:t>
      </w:r>
      <w:r>
        <w:rPr/>
        <w:t>may</w:t>
      </w:r>
      <w:r>
        <w:rPr>
          <w:spacing w:val="-15"/>
        </w:rPr>
        <w:t> </w:t>
      </w:r>
      <w:r>
        <w:rPr/>
        <w:t>be</w:t>
      </w:r>
      <w:r>
        <w:rPr>
          <w:spacing w:val="-16"/>
        </w:rPr>
        <w:t> </w:t>
      </w:r>
      <w:r>
        <w:rPr/>
        <w:t>eligible</w:t>
      </w:r>
      <w:r>
        <w:rPr>
          <w:spacing w:val="-15"/>
        </w:rPr>
        <w:t> </w:t>
      </w:r>
      <w:r>
        <w:rPr/>
        <w:t>for</w:t>
      </w:r>
      <w:r>
        <w:rPr>
          <w:spacing w:val="-15"/>
        </w:rPr>
        <w:t> </w:t>
      </w:r>
      <w:r>
        <w:rPr/>
        <w:t>a</w:t>
      </w:r>
      <w:r>
        <w:rPr>
          <w:spacing w:val="-15"/>
        </w:rPr>
        <w:t> </w:t>
      </w:r>
      <w:r>
        <w:rPr/>
        <w:t>tax</w:t>
      </w:r>
      <w:r>
        <w:rPr>
          <w:spacing w:val="-16"/>
        </w:rPr>
        <w:t> </w:t>
      </w:r>
      <w:r>
        <w:rPr/>
        <w:t>abatement</w:t>
      </w:r>
      <w:r>
        <w:rPr>
          <w:spacing w:val="-15"/>
        </w:rPr>
        <w:t> </w:t>
      </w:r>
      <w:r>
        <w:rPr/>
        <w:t>provided</w:t>
      </w:r>
      <w:r>
        <w:rPr>
          <w:spacing w:val="-15"/>
        </w:rPr>
        <w:t> </w:t>
      </w:r>
      <w:r>
        <w:rPr/>
        <w:t>1)</w:t>
      </w:r>
      <w:r>
        <w:rPr>
          <w:spacing w:val="-16"/>
        </w:rPr>
        <w:t> </w:t>
      </w:r>
      <w:r>
        <w:rPr/>
        <w:t>the</w:t>
      </w:r>
      <w:r>
        <w:rPr>
          <w:spacing w:val="-15"/>
        </w:rPr>
        <w:t> </w:t>
      </w:r>
      <w:r>
        <w:rPr/>
        <w:t>board</w:t>
      </w:r>
      <w:r>
        <w:rPr>
          <w:spacing w:val="-15"/>
        </w:rPr>
        <w:t> </w:t>
      </w:r>
      <w:r>
        <w:rPr/>
        <w:t>of</w:t>
      </w:r>
      <w:r>
        <w:rPr>
          <w:spacing w:val="-15"/>
        </w:rPr>
        <w:t> </w:t>
      </w:r>
      <w:r>
        <w:rPr/>
        <w:t>the</w:t>
      </w:r>
      <w:r>
        <w:rPr>
          <w:spacing w:val="-16"/>
        </w:rPr>
        <w:t> </w:t>
      </w:r>
      <w:r>
        <w:rPr/>
        <w:t>relevant</w:t>
      </w:r>
      <w:r>
        <w:rPr>
          <w:spacing w:val="-15"/>
        </w:rPr>
        <w:t> </w:t>
      </w:r>
      <w:r>
        <w:rPr/>
        <w:t>TIF</w:t>
      </w:r>
      <w:r>
        <w:rPr>
          <w:spacing w:val="-15"/>
        </w:rPr>
        <w:t> </w:t>
      </w:r>
      <w:r>
        <w:rPr/>
        <w:t>district has</w:t>
      </w:r>
      <w:r>
        <w:rPr>
          <w:spacing w:val="-7"/>
        </w:rPr>
        <w:t> </w:t>
      </w:r>
      <w:r>
        <w:rPr/>
        <w:t>approved</w:t>
      </w:r>
      <w:r>
        <w:rPr>
          <w:spacing w:val="-10"/>
        </w:rPr>
        <w:t> </w:t>
      </w:r>
      <w:r>
        <w:rPr/>
        <w:t>tax</w:t>
      </w:r>
      <w:r>
        <w:rPr>
          <w:spacing w:val="-9"/>
        </w:rPr>
        <w:t> </w:t>
      </w:r>
      <w:r>
        <w:rPr/>
        <w:t>abatements</w:t>
      </w:r>
      <w:r>
        <w:rPr>
          <w:spacing w:val="-9"/>
        </w:rPr>
        <w:t> </w:t>
      </w:r>
      <w:r>
        <w:rPr/>
        <w:t>pursuant</w:t>
      </w:r>
      <w:r>
        <w:rPr>
          <w:spacing w:val="-8"/>
        </w:rPr>
        <w:t> </w:t>
      </w:r>
      <w:r>
        <w:rPr/>
        <w:t>to</w:t>
      </w:r>
      <w:r>
        <w:rPr>
          <w:spacing w:val="-10"/>
        </w:rPr>
        <w:t> </w:t>
      </w:r>
      <w:r>
        <w:rPr/>
        <w:t>this</w:t>
      </w:r>
      <w:r>
        <w:rPr>
          <w:spacing w:val="-7"/>
        </w:rPr>
        <w:t> </w:t>
      </w:r>
      <w:r>
        <w:rPr/>
        <w:t>Program,</w:t>
      </w:r>
      <w:r>
        <w:rPr>
          <w:spacing w:val="-6"/>
        </w:rPr>
        <w:t> </w:t>
      </w:r>
      <w:r>
        <w:rPr/>
        <w:t>along</w:t>
      </w:r>
      <w:r>
        <w:rPr>
          <w:spacing w:val="-7"/>
        </w:rPr>
        <w:t> </w:t>
      </w:r>
      <w:r>
        <w:rPr/>
        <w:t>with</w:t>
      </w:r>
      <w:r>
        <w:rPr>
          <w:spacing w:val="-7"/>
        </w:rPr>
        <w:t> </w:t>
      </w:r>
      <w:r>
        <w:rPr/>
        <w:t>any</w:t>
      </w:r>
      <w:r>
        <w:rPr>
          <w:spacing w:val="-7"/>
        </w:rPr>
        <w:t> </w:t>
      </w:r>
      <w:r>
        <w:rPr/>
        <w:t>applicable</w:t>
      </w:r>
      <w:r>
        <w:rPr>
          <w:spacing w:val="-7"/>
        </w:rPr>
        <w:t> </w:t>
      </w:r>
      <w:r>
        <w:rPr/>
        <w:t>amendment</w:t>
      </w:r>
      <w:r>
        <w:rPr>
          <w:spacing w:val="-8"/>
        </w:rPr>
        <w:t> </w:t>
      </w:r>
      <w:r>
        <w:rPr/>
        <w:t>to the TIF increment allocation policy, 2) the TIF district’s unallocated increment has capacity to support the abatement, and 3) any other participating jurisdictions have approved such abatements. The City Council has approved such abatements as part of the creation of this </w:t>
      </w:r>
      <w:r>
        <w:rPr>
          <w:spacing w:val="-2"/>
        </w:rPr>
        <w:t>Program.</w:t>
      </w:r>
    </w:p>
    <w:sectPr>
      <w:pgSz w:w="12240" w:h="15840"/>
      <w:pgMar w:header="0" w:footer="1176" w:top="1360" w:bottom="1420" w:left="1320" w:right="128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 w:name="Century Gothic">
    <w:altName w:val="Century Gothic"/>
    <w:charset w:val="0"/>
    <w:family w:val="auto"/>
    <w:pitch w:val="default"/>
  </w:font>
  <w:font w:name="Symbol">
    <w:altName w:val="Symbol"/>
    <w:charset w:val="2"/>
    <w:family w:val="roman"/>
    <w:pitch w:val="variable"/>
  </w:font>
  <w:font w:name="Courier New">
    <w:altName w:val="Courier New"/>
    <w:charset w:val="0"/>
    <w:family w:val="modern"/>
    <w:pitch w:val="fixed"/>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drawing>
        <wp:anchor distT="0" distB="0" distL="0" distR="0" allowOverlap="1" layoutInCell="1" locked="0" behindDoc="1" simplePos="0" relativeHeight="485568512">
          <wp:simplePos x="0" y="0"/>
          <wp:positionH relativeFrom="page">
            <wp:posOffset>914400</wp:posOffset>
          </wp:positionH>
          <wp:positionV relativeFrom="page">
            <wp:posOffset>8827198</wp:posOffset>
          </wp:positionV>
          <wp:extent cx="2674859" cy="624838"/>
          <wp:effectExtent l="0" t="0" r="0" b="0"/>
          <wp:wrapNone/>
          <wp:docPr id="25" name="image9.png"/>
          <wp:cNvGraphicFramePr>
            <a:graphicFrameLocks noChangeAspect="1"/>
          </wp:cNvGraphicFramePr>
          <a:graphic>
            <a:graphicData uri="http://schemas.openxmlformats.org/drawingml/2006/picture">
              <pic:pic>
                <pic:nvPicPr>
                  <pic:cNvPr id="26" name="image9.png"/>
                  <pic:cNvPicPr/>
                </pic:nvPicPr>
                <pic:blipFill>
                  <a:blip r:embed="rId1" cstate="print"/>
                  <a:stretch>
                    <a:fillRect/>
                  </a:stretch>
                </pic:blipFill>
                <pic:spPr>
                  <a:xfrm>
                    <a:off x="0" y="0"/>
                    <a:ext cx="2674859" cy="624838"/>
                  </a:xfrm>
                  <a:prstGeom prst="rect">
                    <a:avLst/>
                  </a:prstGeom>
                </pic:spPr>
              </pic:pic>
            </a:graphicData>
          </a:graphic>
        </wp:anchor>
      </w:drawing>
    </w:r>
    <w:r>
      <w:rPr/>
      <w:pict>
        <v:shape style="position:absolute;margin-left:290.480011pt;margin-top:697.383484pt;width:253.45pt;height:36.2pt;mso-position-horizontal-relative:page;mso-position-vertical-relative:page;z-index:-17747456" type="#_x0000_t202" id="docshape16" filled="false" stroked="false">
          <v:textbox inset="0,0,0,0">
            <w:txbxContent>
              <w:p>
                <w:pPr>
                  <w:spacing w:before="12"/>
                  <w:ind w:left="919" w:right="78" w:hanging="900"/>
                  <w:jc w:val="right"/>
                  <w:rPr>
                    <w:sz w:val="20"/>
                  </w:rPr>
                </w:pPr>
                <w:r>
                  <w:rPr>
                    <w:color w:val="808080"/>
                    <w:sz w:val="20"/>
                  </w:rPr>
                  <w:t>Programs</w:t>
                </w:r>
                <w:r>
                  <w:rPr>
                    <w:color w:val="808080"/>
                    <w:spacing w:val="-5"/>
                    <w:sz w:val="20"/>
                  </w:rPr>
                  <w:t> </w:t>
                </w:r>
                <w:r>
                  <w:rPr>
                    <w:color w:val="808080"/>
                    <w:sz w:val="20"/>
                  </w:rPr>
                  <w:t>have</w:t>
                </w:r>
                <w:r>
                  <w:rPr>
                    <w:color w:val="808080"/>
                    <w:spacing w:val="-4"/>
                    <w:sz w:val="20"/>
                  </w:rPr>
                  <w:t> </w:t>
                </w:r>
                <w:r>
                  <w:rPr>
                    <w:color w:val="808080"/>
                    <w:sz w:val="20"/>
                  </w:rPr>
                  <w:t>been</w:t>
                </w:r>
                <w:r>
                  <w:rPr>
                    <w:color w:val="808080"/>
                    <w:spacing w:val="-6"/>
                    <w:sz w:val="20"/>
                  </w:rPr>
                  <w:t> </w:t>
                </w:r>
                <w:r>
                  <w:rPr>
                    <w:color w:val="808080"/>
                    <w:sz w:val="20"/>
                  </w:rPr>
                  <w:t>adopted</w:t>
                </w:r>
                <w:r>
                  <w:rPr>
                    <w:color w:val="808080"/>
                    <w:spacing w:val="-6"/>
                    <w:sz w:val="20"/>
                  </w:rPr>
                  <w:t> </w:t>
                </w:r>
                <w:r>
                  <w:rPr>
                    <w:color w:val="808080"/>
                    <w:sz w:val="20"/>
                  </w:rPr>
                  <w:t>by</w:t>
                </w:r>
                <w:r>
                  <w:rPr>
                    <w:color w:val="808080"/>
                    <w:spacing w:val="-5"/>
                    <w:sz w:val="20"/>
                  </w:rPr>
                  <w:t> </w:t>
                </w:r>
                <w:r>
                  <w:rPr>
                    <w:color w:val="808080"/>
                    <w:sz w:val="20"/>
                  </w:rPr>
                  <w:t>the</w:t>
                </w:r>
                <w:r>
                  <w:rPr>
                    <w:color w:val="808080"/>
                    <w:spacing w:val="-6"/>
                    <w:sz w:val="20"/>
                  </w:rPr>
                  <w:t> </w:t>
                </w:r>
                <w:r>
                  <w:rPr>
                    <w:color w:val="808080"/>
                    <w:sz w:val="20"/>
                  </w:rPr>
                  <w:t>Dallas</w:t>
                </w:r>
                <w:r>
                  <w:rPr>
                    <w:color w:val="808080"/>
                    <w:spacing w:val="-5"/>
                    <w:sz w:val="20"/>
                  </w:rPr>
                  <w:t> </w:t>
                </w:r>
                <w:r>
                  <w:rPr>
                    <w:color w:val="808080"/>
                    <w:sz w:val="20"/>
                  </w:rPr>
                  <w:t>City</w:t>
                </w:r>
                <w:r>
                  <w:rPr>
                    <w:color w:val="808080"/>
                    <w:spacing w:val="-5"/>
                    <w:sz w:val="20"/>
                  </w:rPr>
                  <w:t> </w:t>
                </w:r>
                <w:r>
                  <w:rPr>
                    <w:color w:val="808080"/>
                    <w:sz w:val="20"/>
                  </w:rPr>
                  <w:t>Council Between</w:t>
                </w:r>
                <w:r>
                  <w:rPr>
                    <w:color w:val="808080"/>
                    <w:spacing w:val="-6"/>
                    <w:sz w:val="20"/>
                  </w:rPr>
                  <w:t> </w:t>
                </w:r>
                <w:r>
                  <w:rPr>
                    <w:color w:val="808080"/>
                    <w:sz w:val="20"/>
                  </w:rPr>
                  <w:t>May</w:t>
                </w:r>
                <w:r>
                  <w:rPr>
                    <w:color w:val="808080"/>
                    <w:spacing w:val="-6"/>
                    <w:sz w:val="20"/>
                  </w:rPr>
                  <w:t> </w:t>
                </w:r>
                <w:r>
                  <w:rPr>
                    <w:color w:val="808080"/>
                    <w:sz w:val="20"/>
                  </w:rPr>
                  <w:t>9,</w:t>
                </w:r>
                <w:r>
                  <w:rPr>
                    <w:color w:val="808080"/>
                    <w:spacing w:val="-7"/>
                    <w:sz w:val="20"/>
                  </w:rPr>
                  <w:t> </w:t>
                </w:r>
                <w:r>
                  <w:rPr>
                    <w:color w:val="808080"/>
                    <w:sz w:val="20"/>
                  </w:rPr>
                  <w:t>2018,</w:t>
                </w:r>
                <w:r>
                  <w:rPr>
                    <w:color w:val="808080"/>
                    <w:spacing w:val="-6"/>
                    <w:sz w:val="20"/>
                  </w:rPr>
                  <w:t> </w:t>
                </w:r>
                <w:r>
                  <w:rPr>
                    <w:color w:val="808080"/>
                    <w:sz w:val="20"/>
                  </w:rPr>
                  <w:t>and</w:t>
                </w:r>
                <w:r>
                  <w:rPr>
                    <w:color w:val="808080"/>
                    <w:spacing w:val="-2"/>
                    <w:sz w:val="20"/>
                  </w:rPr>
                  <w:t> </w:t>
                </w:r>
                <w:r>
                  <w:rPr>
                    <w:color w:val="808080"/>
                    <w:sz w:val="20"/>
                  </w:rPr>
                  <w:t>February</w:t>
                </w:r>
                <w:r>
                  <w:rPr>
                    <w:color w:val="808080"/>
                    <w:spacing w:val="-6"/>
                    <w:sz w:val="20"/>
                  </w:rPr>
                  <w:t> </w:t>
                </w:r>
                <w:r>
                  <w:rPr>
                    <w:color w:val="808080"/>
                    <w:sz w:val="20"/>
                  </w:rPr>
                  <w:t>22,</w:t>
                </w:r>
                <w:r>
                  <w:rPr>
                    <w:color w:val="808080"/>
                    <w:spacing w:val="-6"/>
                    <w:sz w:val="20"/>
                  </w:rPr>
                  <w:t> </w:t>
                </w:r>
                <w:r>
                  <w:rPr>
                    <w:color w:val="808080"/>
                    <w:spacing w:val="-4"/>
                    <w:sz w:val="20"/>
                  </w:rPr>
                  <w:t>2023</w:t>
                </w:r>
              </w:p>
              <w:p>
                <w:pPr>
                  <w:spacing w:before="1"/>
                  <w:ind w:left="0" w:right="78" w:firstLine="0"/>
                  <w:jc w:val="right"/>
                  <w:rPr>
                    <w:sz w:val="20"/>
                  </w:rPr>
                </w:pPr>
                <w:r>
                  <w:rPr>
                    <w:color w:val="808080"/>
                    <w:spacing w:val="-5"/>
                    <w:sz w:val="20"/>
                  </w:rPr>
                  <w:fldChar w:fldCharType="begin"/>
                </w:r>
                <w:r>
                  <w:rPr>
                    <w:color w:val="808080"/>
                    <w:spacing w:val="-5"/>
                    <w:sz w:val="20"/>
                  </w:rPr>
                  <w:instrText> PAGE </w:instrText>
                </w:r>
                <w:r>
                  <w:rPr>
                    <w:color w:val="808080"/>
                    <w:spacing w:val="-5"/>
                    <w:sz w:val="20"/>
                  </w:rPr>
                  <w:fldChar w:fldCharType="separate"/>
                </w:r>
                <w:r>
                  <w:rPr>
                    <w:color w:val="808080"/>
                    <w:spacing w:val="-5"/>
                    <w:sz w:val="20"/>
                  </w:rPr>
                  <w:t>21</w:t>
                </w:r>
                <w:r>
                  <w:rPr>
                    <w:color w:val="808080"/>
                    <w:spacing w:val="-5"/>
                    <w:sz w:val="20"/>
                  </w:rPr>
                  <w:fldChar w:fldCharType="end"/>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9"/>
      </w:rPr>
    </w:pPr>
    <w:r>
      <w:rPr/>
      <w:pict>
        <v:shape style="position:absolute;margin-left:293.760010pt;margin-top:719.325806pt;width:25.35pt;height:14.35pt;mso-position-horizontal-relative:page;mso-position-vertical-relative:page;z-index:-17746944" type="#_x0000_t202" id="docshape84" filled="false" stroked="false">
          <v:textbox inset="0,0,0,0">
            <w:txbxContent>
              <w:p>
                <w:pPr>
                  <w:pStyle w:val="BodyText"/>
                  <w:spacing w:before="13"/>
                  <w:ind w:left="60"/>
                </w:pPr>
                <w:r>
                  <w:rPr>
                    <w:spacing w:val="-5"/>
                  </w:rPr>
                  <w:fldChar w:fldCharType="begin"/>
                </w:r>
                <w:r>
                  <w:rPr>
                    <w:spacing w:val="-5"/>
                  </w:rPr>
                  <w:instrText> PAGE </w:instrText>
                </w:r>
                <w:r>
                  <w:rPr>
                    <w:spacing w:val="-5"/>
                  </w:rPr>
                  <w:fldChar w:fldCharType="separate"/>
                </w:r>
                <w:r>
                  <w:rPr>
                    <w:spacing w:val="-5"/>
                  </w:rPr>
                  <w:t>100</w:t>
                </w:r>
                <w:r>
                  <w:rPr>
                    <w:spacing w:val="-5"/>
                  </w:rPr>
                  <w:fldChar w:fldCharType="end"/>
                </w:r>
              </w:p>
            </w:txbxContent>
          </v:textbox>
          <w10:wrap type="none"/>
        </v:shape>
      </w:pi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8">
    <w:multiLevelType w:val="hybridMultilevel"/>
    <w:lvl w:ilvl="0">
      <w:start w:val="0"/>
      <w:numFmt w:val="bullet"/>
      <w:lvlText w:val=""/>
      <w:lvlJc w:val="left"/>
      <w:pPr>
        <w:ind w:left="839" w:hanging="361"/>
      </w:pPr>
      <w:rPr>
        <w:rFonts w:hint="default" w:ascii="Symbol" w:hAnsi="Symbol" w:eastAsia="Symbol" w:cs="Symbol"/>
        <w:b w:val="0"/>
        <w:bCs w:val="0"/>
        <w:i w:val="0"/>
        <w:iCs w:val="0"/>
        <w:w w:val="100"/>
        <w:sz w:val="22"/>
        <w:szCs w:val="22"/>
        <w:lang w:val="en-US" w:eastAsia="en-US" w:bidi="ar-SA"/>
      </w:rPr>
    </w:lvl>
    <w:lvl w:ilvl="1">
      <w:start w:val="0"/>
      <w:numFmt w:val="bullet"/>
      <w:lvlText w:val="•"/>
      <w:lvlJc w:val="left"/>
      <w:pPr>
        <w:ind w:left="1720" w:hanging="361"/>
      </w:pPr>
      <w:rPr>
        <w:rFonts w:hint="default"/>
        <w:lang w:val="en-US" w:eastAsia="en-US" w:bidi="ar-SA"/>
      </w:rPr>
    </w:lvl>
    <w:lvl w:ilvl="2">
      <w:start w:val="0"/>
      <w:numFmt w:val="bullet"/>
      <w:lvlText w:val="•"/>
      <w:lvlJc w:val="left"/>
      <w:pPr>
        <w:ind w:left="2600" w:hanging="361"/>
      </w:pPr>
      <w:rPr>
        <w:rFonts w:hint="default"/>
        <w:lang w:val="en-US" w:eastAsia="en-US" w:bidi="ar-SA"/>
      </w:rPr>
    </w:lvl>
    <w:lvl w:ilvl="3">
      <w:start w:val="0"/>
      <w:numFmt w:val="bullet"/>
      <w:lvlText w:val="•"/>
      <w:lvlJc w:val="left"/>
      <w:pPr>
        <w:ind w:left="3480" w:hanging="361"/>
      </w:pPr>
      <w:rPr>
        <w:rFonts w:hint="default"/>
        <w:lang w:val="en-US" w:eastAsia="en-US" w:bidi="ar-SA"/>
      </w:rPr>
    </w:lvl>
    <w:lvl w:ilvl="4">
      <w:start w:val="0"/>
      <w:numFmt w:val="bullet"/>
      <w:lvlText w:val="•"/>
      <w:lvlJc w:val="left"/>
      <w:pPr>
        <w:ind w:left="4360" w:hanging="361"/>
      </w:pPr>
      <w:rPr>
        <w:rFonts w:hint="default"/>
        <w:lang w:val="en-US" w:eastAsia="en-US" w:bidi="ar-SA"/>
      </w:rPr>
    </w:lvl>
    <w:lvl w:ilvl="5">
      <w:start w:val="0"/>
      <w:numFmt w:val="bullet"/>
      <w:lvlText w:val="•"/>
      <w:lvlJc w:val="left"/>
      <w:pPr>
        <w:ind w:left="5240" w:hanging="361"/>
      </w:pPr>
      <w:rPr>
        <w:rFonts w:hint="default"/>
        <w:lang w:val="en-US" w:eastAsia="en-US" w:bidi="ar-SA"/>
      </w:rPr>
    </w:lvl>
    <w:lvl w:ilvl="6">
      <w:start w:val="0"/>
      <w:numFmt w:val="bullet"/>
      <w:lvlText w:val="•"/>
      <w:lvlJc w:val="left"/>
      <w:pPr>
        <w:ind w:left="6120" w:hanging="361"/>
      </w:pPr>
      <w:rPr>
        <w:rFonts w:hint="default"/>
        <w:lang w:val="en-US" w:eastAsia="en-US" w:bidi="ar-SA"/>
      </w:rPr>
    </w:lvl>
    <w:lvl w:ilvl="7">
      <w:start w:val="0"/>
      <w:numFmt w:val="bullet"/>
      <w:lvlText w:val="•"/>
      <w:lvlJc w:val="left"/>
      <w:pPr>
        <w:ind w:left="7000" w:hanging="361"/>
      </w:pPr>
      <w:rPr>
        <w:rFonts w:hint="default"/>
        <w:lang w:val="en-US" w:eastAsia="en-US" w:bidi="ar-SA"/>
      </w:rPr>
    </w:lvl>
    <w:lvl w:ilvl="8">
      <w:start w:val="0"/>
      <w:numFmt w:val="bullet"/>
      <w:lvlText w:val="•"/>
      <w:lvlJc w:val="left"/>
      <w:pPr>
        <w:ind w:left="7880" w:hanging="361"/>
      </w:pPr>
      <w:rPr>
        <w:rFonts w:hint="default"/>
        <w:lang w:val="en-US" w:eastAsia="en-US" w:bidi="ar-SA"/>
      </w:rPr>
    </w:lvl>
  </w:abstractNum>
  <w:abstractNum w:abstractNumId="27">
    <w:multiLevelType w:val="hybridMultilevel"/>
    <w:lvl w:ilvl="0">
      <w:start w:val="0"/>
      <w:numFmt w:val="bullet"/>
      <w:lvlText w:val=""/>
      <w:lvlJc w:val="left"/>
      <w:pPr>
        <w:ind w:left="840" w:hanging="361"/>
      </w:pPr>
      <w:rPr>
        <w:rFonts w:hint="default" w:ascii="Symbol" w:hAnsi="Symbol" w:eastAsia="Symbol" w:cs="Symbol"/>
        <w:b w:val="0"/>
        <w:bCs w:val="0"/>
        <w:i w:val="0"/>
        <w:iCs w:val="0"/>
        <w:w w:val="100"/>
        <w:sz w:val="22"/>
        <w:szCs w:val="22"/>
        <w:lang w:val="en-US" w:eastAsia="en-US" w:bidi="ar-SA"/>
      </w:rPr>
    </w:lvl>
    <w:lvl w:ilvl="1">
      <w:start w:val="0"/>
      <w:numFmt w:val="bullet"/>
      <w:lvlText w:val="•"/>
      <w:lvlJc w:val="left"/>
      <w:pPr>
        <w:ind w:left="1720" w:hanging="361"/>
      </w:pPr>
      <w:rPr>
        <w:rFonts w:hint="default"/>
        <w:lang w:val="en-US" w:eastAsia="en-US" w:bidi="ar-SA"/>
      </w:rPr>
    </w:lvl>
    <w:lvl w:ilvl="2">
      <w:start w:val="0"/>
      <w:numFmt w:val="bullet"/>
      <w:lvlText w:val="•"/>
      <w:lvlJc w:val="left"/>
      <w:pPr>
        <w:ind w:left="2600" w:hanging="361"/>
      </w:pPr>
      <w:rPr>
        <w:rFonts w:hint="default"/>
        <w:lang w:val="en-US" w:eastAsia="en-US" w:bidi="ar-SA"/>
      </w:rPr>
    </w:lvl>
    <w:lvl w:ilvl="3">
      <w:start w:val="0"/>
      <w:numFmt w:val="bullet"/>
      <w:lvlText w:val="•"/>
      <w:lvlJc w:val="left"/>
      <w:pPr>
        <w:ind w:left="3480" w:hanging="361"/>
      </w:pPr>
      <w:rPr>
        <w:rFonts w:hint="default"/>
        <w:lang w:val="en-US" w:eastAsia="en-US" w:bidi="ar-SA"/>
      </w:rPr>
    </w:lvl>
    <w:lvl w:ilvl="4">
      <w:start w:val="0"/>
      <w:numFmt w:val="bullet"/>
      <w:lvlText w:val="•"/>
      <w:lvlJc w:val="left"/>
      <w:pPr>
        <w:ind w:left="4360" w:hanging="361"/>
      </w:pPr>
      <w:rPr>
        <w:rFonts w:hint="default"/>
        <w:lang w:val="en-US" w:eastAsia="en-US" w:bidi="ar-SA"/>
      </w:rPr>
    </w:lvl>
    <w:lvl w:ilvl="5">
      <w:start w:val="0"/>
      <w:numFmt w:val="bullet"/>
      <w:lvlText w:val="•"/>
      <w:lvlJc w:val="left"/>
      <w:pPr>
        <w:ind w:left="5240" w:hanging="361"/>
      </w:pPr>
      <w:rPr>
        <w:rFonts w:hint="default"/>
        <w:lang w:val="en-US" w:eastAsia="en-US" w:bidi="ar-SA"/>
      </w:rPr>
    </w:lvl>
    <w:lvl w:ilvl="6">
      <w:start w:val="0"/>
      <w:numFmt w:val="bullet"/>
      <w:lvlText w:val="•"/>
      <w:lvlJc w:val="left"/>
      <w:pPr>
        <w:ind w:left="6120" w:hanging="361"/>
      </w:pPr>
      <w:rPr>
        <w:rFonts w:hint="default"/>
        <w:lang w:val="en-US" w:eastAsia="en-US" w:bidi="ar-SA"/>
      </w:rPr>
    </w:lvl>
    <w:lvl w:ilvl="7">
      <w:start w:val="0"/>
      <w:numFmt w:val="bullet"/>
      <w:lvlText w:val="•"/>
      <w:lvlJc w:val="left"/>
      <w:pPr>
        <w:ind w:left="7000" w:hanging="361"/>
      </w:pPr>
      <w:rPr>
        <w:rFonts w:hint="default"/>
        <w:lang w:val="en-US" w:eastAsia="en-US" w:bidi="ar-SA"/>
      </w:rPr>
    </w:lvl>
    <w:lvl w:ilvl="8">
      <w:start w:val="0"/>
      <w:numFmt w:val="bullet"/>
      <w:lvlText w:val="•"/>
      <w:lvlJc w:val="left"/>
      <w:pPr>
        <w:ind w:left="7880" w:hanging="361"/>
      </w:pPr>
      <w:rPr>
        <w:rFonts w:hint="default"/>
        <w:lang w:val="en-US" w:eastAsia="en-US" w:bidi="ar-SA"/>
      </w:rPr>
    </w:lvl>
  </w:abstractNum>
  <w:abstractNum w:abstractNumId="26">
    <w:multiLevelType w:val="hybridMultilevel"/>
    <w:lvl w:ilvl="0">
      <w:start w:val="0"/>
      <w:numFmt w:val="bullet"/>
      <w:lvlText w:val=""/>
      <w:lvlJc w:val="left"/>
      <w:pPr>
        <w:ind w:left="839" w:hanging="361"/>
      </w:pPr>
      <w:rPr>
        <w:rFonts w:hint="default" w:ascii="Symbol" w:hAnsi="Symbol" w:eastAsia="Symbol" w:cs="Symbol"/>
        <w:b w:val="0"/>
        <w:bCs w:val="0"/>
        <w:i w:val="0"/>
        <w:iCs w:val="0"/>
        <w:w w:val="100"/>
        <w:sz w:val="22"/>
        <w:szCs w:val="22"/>
        <w:lang w:val="en-US" w:eastAsia="en-US" w:bidi="ar-SA"/>
      </w:rPr>
    </w:lvl>
    <w:lvl w:ilvl="1">
      <w:start w:val="0"/>
      <w:numFmt w:val="bullet"/>
      <w:lvlText w:val="•"/>
      <w:lvlJc w:val="left"/>
      <w:pPr>
        <w:ind w:left="1720" w:hanging="361"/>
      </w:pPr>
      <w:rPr>
        <w:rFonts w:hint="default"/>
        <w:lang w:val="en-US" w:eastAsia="en-US" w:bidi="ar-SA"/>
      </w:rPr>
    </w:lvl>
    <w:lvl w:ilvl="2">
      <w:start w:val="0"/>
      <w:numFmt w:val="bullet"/>
      <w:lvlText w:val="•"/>
      <w:lvlJc w:val="left"/>
      <w:pPr>
        <w:ind w:left="2600" w:hanging="361"/>
      </w:pPr>
      <w:rPr>
        <w:rFonts w:hint="default"/>
        <w:lang w:val="en-US" w:eastAsia="en-US" w:bidi="ar-SA"/>
      </w:rPr>
    </w:lvl>
    <w:lvl w:ilvl="3">
      <w:start w:val="0"/>
      <w:numFmt w:val="bullet"/>
      <w:lvlText w:val="•"/>
      <w:lvlJc w:val="left"/>
      <w:pPr>
        <w:ind w:left="3480" w:hanging="361"/>
      </w:pPr>
      <w:rPr>
        <w:rFonts w:hint="default"/>
        <w:lang w:val="en-US" w:eastAsia="en-US" w:bidi="ar-SA"/>
      </w:rPr>
    </w:lvl>
    <w:lvl w:ilvl="4">
      <w:start w:val="0"/>
      <w:numFmt w:val="bullet"/>
      <w:lvlText w:val="•"/>
      <w:lvlJc w:val="left"/>
      <w:pPr>
        <w:ind w:left="4360" w:hanging="361"/>
      </w:pPr>
      <w:rPr>
        <w:rFonts w:hint="default"/>
        <w:lang w:val="en-US" w:eastAsia="en-US" w:bidi="ar-SA"/>
      </w:rPr>
    </w:lvl>
    <w:lvl w:ilvl="5">
      <w:start w:val="0"/>
      <w:numFmt w:val="bullet"/>
      <w:lvlText w:val="•"/>
      <w:lvlJc w:val="left"/>
      <w:pPr>
        <w:ind w:left="5240" w:hanging="361"/>
      </w:pPr>
      <w:rPr>
        <w:rFonts w:hint="default"/>
        <w:lang w:val="en-US" w:eastAsia="en-US" w:bidi="ar-SA"/>
      </w:rPr>
    </w:lvl>
    <w:lvl w:ilvl="6">
      <w:start w:val="0"/>
      <w:numFmt w:val="bullet"/>
      <w:lvlText w:val="•"/>
      <w:lvlJc w:val="left"/>
      <w:pPr>
        <w:ind w:left="6120" w:hanging="361"/>
      </w:pPr>
      <w:rPr>
        <w:rFonts w:hint="default"/>
        <w:lang w:val="en-US" w:eastAsia="en-US" w:bidi="ar-SA"/>
      </w:rPr>
    </w:lvl>
    <w:lvl w:ilvl="7">
      <w:start w:val="0"/>
      <w:numFmt w:val="bullet"/>
      <w:lvlText w:val="•"/>
      <w:lvlJc w:val="left"/>
      <w:pPr>
        <w:ind w:left="7000" w:hanging="361"/>
      </w:pPr>
      <w:rPr>
        <w:rFonts w:hint="default"/>
        <w:lang w:val="en-US" w:eastAsia="en-US" w:bidi="ar-SA"/>
      </w:rPr>
    </w:lvl>
    <w:lvl w:ilvl="8">
      <w:start w:val="0"/>
      <w:numFmt w:val="bullet"/>
      <w:lvlText w:val="•"/>
      <w:lvlJc w:val="left"/>
      <w:pPr>
        <w:ind w:left="7880" w:hanging="361"/>
      </w:pPr>
      <w:rPr>
        <w:rFonts w:hint="default"/>
        <w:lang w:val="en-US" w:eastAsia="en-US" w:bidi="ar-SA"/>
      </w:rPr>
    </w:lvl>
  </w:abstractNum>
  <w:abstractNum w:abstractNumId="25">
    <w:multiLevelType w:val="hybridMultilevel"/>
    <w:lvl w:ilvl="0">
      <w:start w:val="1"/>
      <w:numFmt w:val="upperLetter"/>
      <w:lvlText w:val="%1."/>
      <w:lvlJc w:val="left"/>
      <w:pPr>
        <w:ind w:left="391" w:hanging="272"/>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840" w:hanging="361"/>
      </w:pPr>
      <w:rPr>
        <w:rFonts w:hint="default" w:ascii="Symbol" w:hAnsi="Symbol" w:eastAsia="Symbol" w:cs="Symbol"/>
        <w:b w:val="0"/>
        <w:bCs w:val="0"/>
        <w:i w:val="0"/>
        <w:iCs w:val="0"/>
        <w:w w:val="100"/>
        <w:sz w:val="22"/>
        <w:szCs w:val="22"/>
        <w:lang w:val="en-US" w:eastAsia="en-US" w:bidi="ar-SA"/>
      </w:rPr>
    </w:lvl>
    <w:lvl w:ilvl="2">
      <w:start w:val="0"/>
      <w:numFmt w:val="bullet"/>
      <w:lvlText w:val="•"/>
      <w:lvlJc w:val="left"/>
      <w:pPr>
        <w:ind w:left="1817" w:hanging="361"/>
      </w:pPr>
      <w:rPr>
        <w:rFonts w:hint="default"/>
        <w:lang w:val="en-US" w:eastAsia="en-US" w:bidi="ar-SA"/>
      </w:rPr>
    </w:lvl>
    <w:lvl w:ilvl="3">
      <w:start w:val="0"/>
      <w:numFmt w:val="bullet"/>
      <w:lvlText w:val="•"/>
      <w:lvlJc w:val="left"/>
      <w:pPr>
        <w:ind w:left="2795" w:hanging="361"/>
      </w:pPr>
      <w:rPr>
        <w:rFonts w:hint="default"/>
        <w:lang w:val="en-US" w:eastAsia="en-US" w:bidi="ar-SA"/>
      </w:rPr>
    </w:lvl>
    <w:lvl w:ilvl="4">
      <w:start w:val="0"/>
      <w:numFmt w:val="bullet"/>
      <w:lvlText w:val="•"/>
      <w:lvlJc w:val="left"/>
      <w:pPr>
        <w:ind w:left="3773" w:hanging="361"/>
      </w:pPr>
      <w:rPr>
        <w:rFonts w:hint="default"/>
        <w:lang w:val="en-US" w:eastAsia="en-US" w:bidi="ar-SA"/>
      </w:rPr>
    </w:lvl>
    <w:lvl w:ilvl="5">
      <w:start w:val="0"/>
      <w:numFmt w:val="bullet"/>
      <w:lvlText w:val="•"/>
      <w:lvlJc w:val="left"/>
      <w:pPr>
        <w:ind w:left="4751" w:hanging="361"/>
      </w:pPr>
      <w:rPr>
        <w:rFonts w:hint="default"/>
        <w:lang w:val="en-US" w:eastAsia="en-US" w:bidi="ar-SA"/>
      </w:rPr>
    </w:lvl>
    <w:lvl w:ilvl="6">
      <w:start w:val="0"/>
      <w:numFmt w:val="bullet"/>
      <w:lvlText w:val="•"/>
      <w:lvlJc w:val="left"/>
      <w:pPr>
        <w:ind w:left="5728" w:hanging="361"/>
      </w:pPr>
      <w:rPr>
        <w:rFonts w:hint="default"/>
        <w:lang w:val="en-US" w:eastAsia="en-US" w:bidi="ar-SA"/>
      </w:rPr>
    </w:lvl>
    <w:lvl w:ilvl="7">
      <w:start w:val="0"/>
      <w:numFmt w:val="bullet"/>
      <w:lvlText w:val="•"/>
      <w:lvlJc w:val="left"/>
      <w:pPr>
        <w:ind w:left="6706" w:hanging="361"/>
      </w:pPr>
      <w:rPr>
        <w:rFonts w:hint="default"/>
        <w:lang w:val="en-US" w:eastAsia="en-US" w:bidi="ar-SA"/>
      </w:rPr>
    </w:lvl>
    <w:lvl w:ilvl="8">
      <w:start w:val="0"/>
      <w:numFmt w:val="bullet"/>
      <w:lvlText w:val="•"/>
      <w:lvlJc w:val="left"/>
      <w:pPr>
        <w:ind w:left="7684" w:hanging="361"/>
      </w:pPr>
      <w:rPr>
        <w:rFonts w:hint="default"/>
        <w:lang w:val="en-US" w:eastAsia="en-US" w:bidi="ar-SA"/>
      </w:rPr>
    </w:lvl>
  </w:abstractNum>
  <w:abstractNum w:abstractNumId="24">
    <w:multiLevelType w:val="hybridMultilevel"/>
    <w:lvl w:ilvl="0">
      <w:start w:val="0"/>
      <w:numFmt w:val="bullet"/>
      <w:lvlText w:val=""/>
      <w:lvlJc w:val="left"/>
      <w:pPr>
        <w:ind w:left="840" w:hanging="361"/>
      </w:pPr>
      <w:rPr>
        <w:rFonts w:hint="default" w:ascii="Symbol" w:hAnsi="Symbol" w:eastAsia="Symbol" w:cs="Symbol"/>
        <w:w w:val="100"/>
        <w:lang w:val="en-US" w:eastAsia="en-US" w:bidi="ar-SA"/>
      </w:rPr>
    </w:lvl>
    <w:lvl w:ilvl="1">
      <w:start w:val="0"/>
      <w:numFmt w:val="bullet"/>
      <w:lvlText w:val="o"/>
      <w:lvlJc w:val="left"/>
      <w:pPr>
        <w:ind w:left="1560" w:hanging="721"/>
      </w:pPr>
      <w:rPr>
        <w:rFonts w:hint="default" w:ascii="Courier New" w:hAnsi="Courier New" w:eastAsia="Courier New" w:cs="Courier New"/>
        <w:b w:val="0"/>
        <w:bCs w:val="0"/>
        <w:i w:val="0"/>
        <w:iCs w:val="0"/>
        <w:w w:val="100"/>
        <w:sz w:val="22"/>
        <w:szCs w:val="22"/>
        <w:lang w:val="en-US" w:eastAsia="en-US" w:bidi="ar-SA"/>
      </w:rPr>
    </w:lvl>
    <w:lvl w:ilvl="2">
      <w:start w:val="0"/>
      <w:numFmt w:val="bullet"/>
      <w:lvlText w:val="•"/>
      <w:lvlJc w:val="left"/>
      <w:pPr>
        <w:ind w:left="2457" w:hanging="721"/>
      </w:pPr>
      <w:rPr>
        <w:rFonts w:hint="default"/>
        <w:lang w:val="en-US" w:eastAsia="en-US" w:bidi="ar-SA"/>
      </w:rPr>
    </w:lvl>
    <w:lvl w:ilvl="3">
      <w:start w:val="0"/>
      <w:numFmt w:val="bullet"/>
      <w:lvlText w:val="•"/>
      <w:lvlJc w:val="left"/>
      <w:pPr>
        <w:ind w:left="3355" w:hanging="721"/>
      </w:pPr>
      <w:rPr>
        <w:rFonts w:hint="default"/>
        <w:lang w:val="en-US" w:eastAsia="en-US" w:bidi="ar-SA"/>
      </w:rPr>
    </w:lvl>
    <w:lvl w:ilvl="4">
      <w:start w:val="0"/>
      <w:numFmt w:val="bullet"/>
      <w:lvlText w:val="•"/>
      <w:lvlJc w:val="left"/>
      <w:pPr>
        <w:ind w:left="4253" w:hanging="721"/>
      </w:pPr>
      <w:rPr>
        <w:rFonts w:hint="default"/>
        <w:lang w:val="en-US" w:eastAsia="en-US" w:bidi="ar-SA"/>
      </w:rPr>
    </w:lvl>
    <w:lvl w:ilvl="5">
      <w:start w:val="0"/>
      <w:numFmt w:val="bullet"/>
      <w:lvlText w:val="•"/>
      <w:lvlJc w:val="left"/>
      <w:pPr>
        <w:ind w:left="5151" w:hanging="721"/>
      </w:pPr>
      <w:rPr>
        <w:rFonts w:hint="default"/>
        <w:lang w:val="en-US" w:eastAsia="en-US" w:bidi="ar-SA"/>
      </w:rPr>
    </w:lvl>
    <w:lvl w:ilvl="6">
      <w:start w:val="0"/>
      <w:numFmt w:val="bullet"/>
      <w:lvlText w:val="•"/>
      <w:lvlJc w:val="left"/>
      <w:pPr>
        <w:ind w:left="6048" w:hanging="721"/>
      </w:pPr>
      <w:rPr>
        <w:rFonts w:hint="default"/>
        <w:lang w:val="en-US" w:eastAsia="en-US" w:bidi="ar-SA"/>
      </w:rPr>
    </w:lvl>
    <w:lvl w:ilvl="7">
      <w:start w:val="0"/>
      <w:numFmt w:val="bullet"/>
      <w:lvlText w:val="•"/>
      <w:lvlJc w:val="left"/>
      <w:pPr>
        <w:ind w:left="6946" w:hanging="721"/>
      </w:pPr>
      <w:rPr>
        <w:rFonts w:hint="default"/>
        <w:lang w:val="en-US" w:eastAsia="en-US" w:bidi="ar-SA"/>
      </w:rPr>
    </w:lvl>
    <w:lvl w:ilvl="8">
      <w:start w:val="0"/>
      <w:numFmt w:val="bullet"/>
      <w:lvlText w:val="•"/>
      <w:lvlJc w:val="left"/>
      <w:pPr>
        <w:ind w:left="7844" w:hanging="721"/>
      </w:pPr>
      <w:rPr>
        <w:rFonts w:hint="default"/>
        <w:lang w:val="en-US" w:eastAsia="en-US" w:bidi="ar-SA"/>
      </w:rPr>
    </w:lvl>
  </w:abstractNum>
  <w:abstractNum w:abstractNumId="23">
    <w:multiLevelType w:val="hybridMultilevel"/>
    <w:lvl w:ilvl="0">
      <w:start w:val="1"/>
      <w:numFmt w:val="decimal"/>
      <w:lvlText w:val="%1."/>
      <w:lvlJc w:val="left"/>
      <w:pPr>
        <w:ind w:left="840" w:hanging="360"/>
        <w:jc w:val="left"/>
      </w:pPr>
      <w:rPr>
        <w:rFonts w:hint="default" w:ascii="Arial" w:hAnsi="Arial" w:eastAsia="Arial" w:cs="Arial"/>
        <w:b w:val="0"/>
        <w:bCs w:val="0"/>
        <w:i w:val="0"/>
        <w:iCs w:val="0"/>
        <w:color w:val="222222"/>
        <w:spacing w:val="-1"/>
        <w:w w:val="100"/>
        <w:sz w:val="22"/>
        <w:szCs w:val="22"/>
        <w:lang w:val="en-US" w:eastAsia="en-US" w:bidi="ar-SA"/>
      </w:rPr>
    </w:lvl>
    <w:lvl w:ilvl="1">
      <w:start w:val="0"/>
      <w:numFmt w:val="bullet"/>
      <w:lvlText w:val=""/>
      <w:lvlJc w:val="left"/>
      <w:pPr>
        <w:ind w:left="840" w:hanging="361"/>
      </w:pPr>
      <w:rPr>
        <w:rFonts w:hint="default" w:ascii="Symbol" w:hAnsi="Symbol" w:eastAsia="Symbol" w:cs="Symbol"/>
        <w:b w:val="0"/>
        <w:bCs w:val="0"/>
        <w:i w:val="0"/>
        <w:iCs w:val="0"/>
        <w:color w:val="222222"/>
        <w:w w:val="100"/>
        <w:sz w:val="22"/>
        <w:szCs w:val="22"/>
        <w:lang w:val="en-US" w:eastAsia="en-US" w:bidi="ar-SA"/>
      </w:rPr>
    </w:lvl>
    <w:lvl w:ilvl="2">
      <w:start w:val="0"/>
      <w:numFmt w:val="bullet"/>
      <w:lvlText w:val="•"/>
      <w:lvlJc w:val="left"/>
      <w:pPr>
        <w:ind w:left="2600" w:hanging="361"/>
      </w:pPr>
      <w:rPr>
        <w:rFonts w:hint="default"/>
        <w:lang w:val="en-US" w:eastAsia="en-US" w:bidi="ar-SA"/>
      </w:rPr>
    </w:lvl>
    <w:lvl w:ilvl="3">
      <w:start w:val="0"/>
      <w:numFmt w:val="bullet"/>
      <w:lvlText w:val="•"/>
      <w:lvlJc w:val="left"/>
      <w:pPr>
        <w:ind w:left="3480" w:hanging="361"/>
      </w:pPr>
      <w:rPr>
        <w:rFonts w:hint="default"/>
        <w:lang w:val="en-US" w:eastAsia="en-US" w:bidi="ar-SA"/>
      </w:rPr>
    </w:lvl>
    <w:lvl w:ilvl="4">
      <w:start w:val="0"/>
      <w:numFmt w:val="bullet"/>
      <w:lvlText w:val="•"/>
      <w:lvlJc w:val="left"/>
      <w:pPr>
        <w:ind w:left="4360" w:hanging="361"/>
      </w:pPr>
      <w:rPr>
        <w:rFonts w:hint="default"/>
        <w:lang w:val="en-US" w:eastAsia="en-US" w:bidi="ar-SA"/>
      </w:rPr>
    </w:lvl>
    <w:lvl w:ilvl="5">
      <w:start w:val="0"/>
      <w:numFmt w:val="bullet"/>
      <w:lvlText w:val="•"/>
      <w:lvlJc w:val="left"/>
      <w:pPr>
        <w:ind w:left="5240" w:hanging="361"/>
      </w:pPr>
      <w:rPr>
        <w:rFonts w:hint="default"/>
        <w:lang w:val="en-US" w:eastAsia="en-US" w:bidi="ar-SA"/>
      </w:rPr>
    </w:lvl>
    <w:lvl w:ilvl="6">
      <w:start w:val="0"/>
      <w:numFmt w:val="bullet"/>
      <w:lvlText w:val="•"/>
      <w:lvlJc w:val="left"/>
      <w:pPr>
        <w:ind w:left="6120" w:hanging="361"/>
      </w:pPr>
      <w:rPr>
        <w:rFonts w:hint="default"/>
        <w:lang w:val="en-US" w:eastAsia="en-US" w:bidi="ar-SA"/>
      </w:rPr>
    </w:lvl>
    <w:lvl w:ilvl="7">
      <w:start w:val="0"/>
      <w:numFmt w:val="bullet"/>
      <w:lvlText w:val="•"/>
      <w:lvlJc w:val="left"/>
      <w:pPr>
        <w:ind w:left="7000" w:hanging="361"/>
      </w:pPr>
      <w:rPr>
        <w:rFonts w:hint="default"/>
        <w:lang w:val="en-US" w:eastAsia="en-US" w:bidi="ar-SA"/>
      </w:rPr>
    </w:lvl>
    <w:lvl w:ilvl="8">
      <w:start w:val="0"/>
      <w:numFmt w:val="bullet"/>
      <w:lvlText w:val="•"/>
      <w:lvlJc w:val="left"/>
      <w:pPr>
        <w:ind w:left="7880" w:hanging="361"/>
      </w:pPr>
      <w:rPr>
        <w:rFonts w:hint="default"/>
        <w:lang w:val="en-US" w:eastAsia="en-US" w:bidi="ar-SA"/>
      </w:rPr>
    </w:lvl>
  </w:abstractNum>
  <w:abstractNum w:abstractNumId="22">
    <w:multiLevelType w:val="hybridMultilevel"/>
    <w:lvl w:ilvl="0">
      <w:start w:val="1"/>
      <w:numFmt w:val="decimal"/>
      <w:lvlText w:val="(%1)"/>
      <w:lvlJc w:val="left"/>
      <w:pPr>
        <w:ind w:left="156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2368" w:hanging="360"/>
      </w:pPr>
      <w:rPr>
        <w:rFonts w:hint="default"/>
        <w:lang w:val="en-US" w:eastAsia="en-US" w:bidi="ar-SA"/>
      </w:rPr>
    </w:lvl>
    <w:lvl w:ilvl="2">
      <w:start w:val="0"/>
      <w:numFmt w:val="bullet"/>
      <w:lvlText w:val="•"/>
      <w:lvlJc w:val="left"/>
      <w:pPr>
        <w:ind w:left="3176" w:hanging="360"/>
      </w:pPr>
      <w:rPr>
        <w:rFonts w:hint="default"/>
        <w:lang w:val="en-US" w:eastAsia="en-US" w:bidi="ar-SA"/>
      </w:rPr>
    </w:lvl>
    <w:lvl w:ilvl="3">
      <w:start w:val="0"/>
      <w:numFmt w:val="bullet"/>
      <w:lvlText w:val="•"/>
      <w:lvlJc w:val="left"/>
      <w:pPr>
        <w:ind w:left="3984" w:hanging="360"/>
      </w:pPr>
      <w:rPr>
        <w:rFonts w:hint="default"/>
        <w:lang w:val="en-US" w:eastAsia="en-US" w:bidi="ar-SA"/>
      </w:rPr>
    </w:lvl>
    <w:lvl w:ilvl="4">
      <w:start w:val="0"/>
      <w:numFmt w:val="bullet"/>
      <w:lvlText w:val="•"/>
      <w:lvlJc w:val="left"/>
      <w:pPr>
        <w:ind w:left="4792" w:hanging="360"/>
      </w:pPr>
      <w:rPr>
        <w:rFonts w:hint="default"/>
        <w:lang w:val="en-US" w:eastAsia="en-US" w:bidi="ar-SA"/>
      </w:rPr>
    </w:lvl>
    <w:lvl w:ilvl="5">
      <w:start w:val="0"/>
      <w:numFmt w:val="bullet"/>
      <w:lvlText w:val="•"/>
      <w:lvlJc w:val="left"/>
      <w:pPr>
        <w:ind w:left="5600" w:hanging="360"/>
      </w:pPr>
      <w:rPr>
        <w:rFonts w:hint="default"/>
        <w:lang w:val="en-US" w:eastAsia="en-US" w:bidi="ar-SA"/>
      </w:rPr>
    </w:lvl>
    <w:lvl w:ilvl="6">
      <w:start w:val="0"/>
      <w:numFmt w:val="bullet"/>
      <w:lvlText w:val="•"/>
      <w:lvlJc w:val="left"/>
      <w:pPr>
        <w:ind w:left="6408" w:hanging="360"/>
      </w:pPr>
      <w:rPr>
        <w:rFonts w:hint="default"/>
        <w:lang w:val="en-US" w:eastAsia="en-US" w:bidi="ar-SA"/>
      </w:rPr>
    </w:lvl>
    <w:lvl w:ilvl="7">
      <w:start w:val="0"/>
      <w:numFmt w:val="bullet"/>
      <w:lvlText w:val="•"/>
      <w:lvlJc w:val="left"/>
      <w:pPr>
        <w:ind w:left="7216" w:hanging="360"/>
      </w:pPr>
      <w:rPr>
        <w:rFonts w:hint="default"/>
        <w:lang w:val="en-US" w:eastAsia="en-US" w:bidi="ar-SA"/>
      </w:rPr>
    </w:lvl>
    <w:lvl w:ilvl="8">
      <w:start w:val="0"/>
      <w:numFmt w:val="bullet"/>
      <w:lvlText w:val="•"/>
      <w:lvlJc w:val="left"/>
      <w:pPr>
        <w:ind w:left="8024" w:hanging="360"/>
      </w:pPr>
      <w:rPr>
        <w:rFonts w:hint="default"/>
        <w:lang w:val="en-US" w:eastAsia="en-US" w:bidi="ar-SA"/>
      </w:rPr>
    </w:lvl>
  </w:abstractNum>
  <w:abstractNum w:abstractNumId="21">
    <w:multiLevelType w:val="hybridMultilevel"/>
    <w:lvl w:ilvl="0">
      <w:start w:val="1"/>
      <w:numFmt w:val="decimal"/>
      <w:lvlText w:val="(%1)"/>
      <w:lvlJc w:val="left"/>
      <w:pPr>
        <w:ind w:left="1559"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2368" w:hanging="360"/>
      </w:pPr>
      <w:rPr>
        <w:rFonts w:hint="default"/>
        <w:lang w:val="en-US" w:eastAsia="en-US" w:bidi="ar-SA"/>
      </w:rPr>
    </w:lvl>
    <w:lvl w:ilvl="2">
      <w:start w:val="0"/>
      <w:numFmt w:val="bullet"/>
      <w:lvlText w:val="•"/>
      <w:lvlJc w:val="left"/>
      <w:pPr>
        <w:ind w:left="3176" w:hanging="360"/>
      </w:pPr>
      <w:rPr>
        <w:rFonts w:hint="default"/>
        <w:lang w:val="en-US" w:eastAsia="en-US" w:bidi="ar-SA"/>
      </w:rPr>
    </w:lvl>
    <w:lvl w:ilvl="3">
      <w:start w:val="0"/>
      <w:numFmt w:val="bullet"/>
      <w:lvlText w:val="•"/>
      <w:lvlJc w:val="left"/>
      <w:pPr>
        <w:ind w:left="3984" w:hanging="360"/>
      </w:pPr>
      <w:rPr>
        <w:rFonts w:hint="default"/>
        <w:lang w:val="en-US" w:eastAsia="en-US" w:bidi="ar-SA"/>
      </w:rPr>
    </w:lvl>
    <w:lvl w:ilvl="4">
      <w:start w:val="0"/>
      <w:numFmt w:val="bullet"/>
      <w:lvlText w:val="•"/>
      <w:lvlJc w:val="left"/>
      <w:pPr>
        <w:ind w:left="4792" w:hanging="360"/>
      </w:pPr>
      <w:rPr>
        <w:rFonts w:hint="default"/>
        <w:lang w:val="en-US" w:eastAsia="en-US" w:bidi="ar-SA"/>
      </w:rPr>
    </w:lvl>
    <w:lvl w:ilvl="5">
      <w:start w:val="0"/>
      <w:numFmt w:val="bullet"/>
      <w:lvlText w:val="•"/>
      <w:lvlJc w:val="left"/>
      <w:pPr>
        <w:ind w:left="5600" w:hanging="360"/>
      </w:pPr>
      <w:rPr>
        <w:rFonts w:hint="default"/>
        <w:lang w:val="en-US" w:eastAsia="en-US" w:bidi="ar-SA"/>
      </w:rPr>
    </w:lvl>
    <w:lvl w:ilvl="6">
      <w:start w:val="0"/>
      <w:numFmt w:val="bullet"/>
      <w:lvlText w:val="•"/>
      <w:lvlJc w:val="left"/>
      <w:pPr>
        <w:ind w:left="6408" w:hanging="360"/>
      </w:pPr>
      <w:rPr>
        <w:rFonts w:hint="default"/>
        <w:lang w:val="en-US" w:eastAsia="en-US" w:bidi="ar-SA"/>
      </w:rPr>
    </w:lvl>
    <w:lvl w:ilvl="7">
      <w:start w:val="0"/>
      <w:numFmt w:val="bullet"/>
      <w:lvlText w:val="•"/>
      <w:lvlJc w:val="left"/>
      <w:pPr>
        <w:ind w:left="7216" w:hanging="360"/>
      </w:pPr>
      <w:rPr>
        <w:rFonts w:hint="default"/>
        <w:lang w:val="en-US" w:eastAsia="en-US" w:bidi="ar-SA"/>
      </w:rPr>
    </w:lvl>
    <w:lvl w:ilvl="8">
      <w:start w:val="0"/>
      <w:numFmt w:val="bullet"/>
      <w:lvlText w:val="•"/>
      <w:lvlJc w:val="left"/>
      <w:pPr>
        <w:ind w:left="8024" w:hanging="360"/>
      </w:pPr>
      <w:rPr>
        <w:rFonts w:hint="default"/>
        <w:lang w:val="en-US" w:eastAsia="en-US" w:bidi="ar-SA"/>
      </w:rPr>
    </w:lvl>
  </w:abstractNum>
  <w:abstractNum w:abstractNumId="20">
    <w:multiLevelType w:val="hybridMultilevel"/>
    <w:lvl w:ilvl="0">
      <w:start w:val="1"/>
      <w:numFmt w:val="decimal"/>
      <w:lvlText w:val="(%1)"/>
      <w:lvlJc w:val="left"/>
      <w:pPr>
        <w:ind w:left="156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2368" w:hanging="360"/>
      </w:pPr>
      <w:rPr>
        <w:rFonts w:hint="default"/>
        <w:lang w:val="en-US" w:eastAsia="en-US" w:bidi="ar-SA"/>
      </w:rPr>
    </w:lvl>
    <w:lvl w:ilvl="2">
      <w:start w:val="0"/>
      <w:numFmt w:val="bullet"/>
      <w:lvlText w:val="•"/>
      <w:lvlJc w:val="left"/>
      <w:pPr>
        <w:ind w:left="3176" w:hanging="360"/>
      </w:pPr>
      <w:rPr>
        <w:rFonts w:hint="default"/>
        <w:lang w:val="en-US" w:eastAsia="en-US" w:bidi="ar-SA"/>
      </w:rPr>
    </w:lvl>
    <w:lvl w:ilvl="3">
      <w:start w:val="0"/>
      <w:numFmt w:val="bullet"/>
      <w:lvlText w:val="•"/>
      <w:lvlJc w:val="left"/>
      <w:pPr>
        <w:ind w:left="3984" w:hanging="360"/>
      </w:pPr>
      <w:rPr>
        <w:rFonts w:hint="default"/>
        <w:lang w:val="en-US" w:eastAsia="en-US" w:bidi="ar-SA"/>
      </w:rPr>
    </w:lvl>
    <w:lvl w:ilvl="4">
      <w:start w:val="0"/>
      <w:numFmt w:val="bullet"/>
      <w:lvlText w:val="•"/>
      <w:lvlJc w:val="left"/>
      <w:pPr>
        <w:ind w:left="4792" w:hanging="360"/>
      </w:pPr>
      <w:rPr>
        <w:rFonts w:hint="default"/>
        <w:lang w:val="en-US" w:eastAsia="en-US" w:bidi="ar-SA"/>
      </w:rPr>
    </w:lvl>
    <w:lvl w:ilvl="5">
      <w:start w:val="0"/>
      <w:numFmt w:val="bullet"/>
      <w:lvlText w:val="•"/>
      <w:lvlJc w:val="left"/>
      <w:pPr>
        <w:ind w:left="5600" w:hanging="360"/>
      </w:pPr>
      <w:rPr>
        <w:rFonts w:hint="default"/>
        <w:lang w:val="en-US" w:eastAsia="en-US" w:bidi="ar-SA"/>
      </w:rPr>
    </w:lvl>
    <w:lvl w:ilvl="6">
      <w:start w:val="0"/>
      <w:numFmt w:val="bullet"/>
      <w:lvlText w:val="•"/>
      <w:lvlJc w:val="left"/>
      <w:pPr>
        <w:ind w:left="6408" w:hanging="360"/>
      </w:pPr>
      <w:rPr>
        <w:rFonts w:hint="default"/>
        <w:lang w:val="en-US" w:eastAsia="en-US" w:bidi="ar-SA"/>
      </w:rPr>
    </w:lvl>
    <w:lvl w:ilvl="7">
      <w:start w:val="0"/>
      <w:numFmt w:val="bullet"/>
      <w:lvlText w:val="•"/>
      <w:lvlJc w:val="left"/>
      <w:pPr>
        <w:ind w:left="7216" w:hanging="360"/>
      </w:pPr>
      <w:rPr>
        <w:rFonts w:hint="default"/>
        <w:lang w:val="en-US" w:eastAsia="en-US" w:bidi="ar-SA"/>
      </w:rPr>
    </w:lvl>
    <w:lvl w:ilvl="8">
      <w:start w:val="0"/>
      <w:numFmt w:val="bullet"/>
      <w:lvlText w:val="•"/>
      <w:lvlJc w:val="left"/>
      <w:pPr>
        <w:ind w:left="8024" w:hanging="360"/>
      </w:pPr>
      <w:rPr>
        <w:rFonts w:hint="default"/>
        <w:lang w:val="en-US" w:eastAsia="en-US" w:bidi="ar-SA"/>
      </w:rPr>
    </w:lvl>
  </w:abstractNum>
  <w:abstractNum w:abstractNumId="19">
    <w:multiLevelType w:val="hybridMultilevel"/>
    <w:lvl w:ilvl="0">
      <w:start w:val="1"/>
      <w:numFmt w:val="decimal"/>
      <w:lvlText w:val="(%1)"/>
      <w:lvlJc w:val="left"/>
      <w:pPr>
        <w:ind w:left="1563"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2368" w:hanging="360"/>
      </w:pPr>
      <w:rPr>
        <w:rFonts w:hint="default"/>
        <w:lang w:val="en-US" w:eastAsia="en-US" w:bidi="ar-SA"/>
      </w:rPr>
    </w:lvl>
    <w:lvl w:ilvl="2">
      <w:start w:val="0"/>
      <w:numFmt w:val="bullet"/>
      <w:lvlText w:val="•"/>
      <w:lvlJc w:val="left"/>
      <w:pPr>
        <w:ind w:left="3176" w:hanging="360"/>
      </w:pPr>
      <w:rPr>
        <w:rFonts w:hint="default"/>
        <w:lang w:val="en-US" w:eastAsia="en-US" w:bidi="ar-SA"/>
      </w:rPr>
    </w:lvl>
    <w:lvl w:ilvl="3">
      <w:start w:val="0"/>
      <w:numFmt w:val="bullet"/>
      <w:lvlText w:val="•"/>
      <w:lvlJc w:val="left"/>
      <w:pPr>
        <w:ind w:left="3984" w:hanging="360"/>
      </w:pPr>
      <w:rPr>
        <w:rFonts w:hint="default"/>
        <w:lang w:val="en-US" w:eastAsia="en-US" w:bidi="ar-SA"/>
      </w:rPr>
    </w:lvl>
    <w:lvl w:ilvl="4">
      <w:start w:val="0"/>
      <w:numFmt w:val="bullet"/>
      <w:lvlText w:val="•"/>
      <w:lvlJc w:val="left"/>
      <w:pPr>
        <w:ind w:left="4792" w:hanging="360"/>
      </w:pPr>
      <w:rPr>
        <w:rFonts w:hint="default"/>
        <w:lang w:val="en-US" w:eastAsia="en-US" w:bidi="ar-SA"/>
      </w:rPr>
    </w:lvl>
    <w:lvl w:ilvl="5">
      <w:start w:val="0"/>
      <w:numFmt w:val="bullet"/>
      <w:lvlText w:val="•"/>
      <w:lvlJc w:val="left"/>
      <w:pPr>
        <w:ind w:left="5600" w:hanging="360"/>
      </w:pPr>
      <w:rPr>
        <w:rFonts w:hint="default"/>
        <w:lang w:val="en-US" w:eastAsia="en-US" w:bidi="ar-SA"/>
      </w:rPr>
    </w:lvl>
    <w:lvl w:ilvl="6">
      <w:start w:val="0"/>
      <w:numFmt w:val="bullet"/>
      <w:lvlText w:val="•"/>
      <w:lvlJc w:val="left"/>
      <w:pPr>
        <w:ind w:left="6408" w:hanging="360"/>
      </w:pPr>
      <w:rPr>
        <w:rFonts w:hint="default"/>
        <w:lang w:val="en-US" w:eastAsia="en-US" w:bidi="ar-SA"/>
      </w:rPr>
    </w:lvl>
    <w:lvl w:ilvl="7">
      <w:start w:val="0"/>
      <w:numFmt w:val="bullet"/>
      <w:lvlText w:val="•"/>
      <w:lvlJc w:val="left"/>
      <w:pPr>
        <w:ind w:left="7216" w:hanging="360"/>
      </w:pPr>
      <w:rPr>
        <w:rFonts w:hint="default"/>
        <w:lang w:val="en-US" w:eastAsia="en-US" w:bidi="ar-SA"/>
      </w:rPr>
    </w:lvl>
    <w:lvl w:ilvl="8">
      <w:start w:val="0"/>
      <w:numFmt w:val="bullet"/>
      <w:lvlText w:val="•"/>
      <w:lvlJc w:val="left"/>
      <w:pPr>
        <w:ind w:left="8024" w:hanging="360"/>
      </w:pPr>
      <w:rPr>
        <w:rFonts w:hint="default"/>
        <w:lang w:val="en-US" w:eastAsia="en-US" w:bidi="ar-SA"/>
      </w:rPr>
    </w:lvl>
  </w:abstractNum>
  <w:abstractNum w:abstractNumId="18">
    <w:multiLevelType w:val="hybridMultilevel"/>
    <w:lvl w:ilvl="0">
      <w:start w:val="1"/>
      <w:numFmt w:val="decimal"/>
      <w:lvlText w:val="(%1)"/>
      <w:lvlJc w:val="left"/>
      <w:pPr>
        <w:ind w:left="156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2368" w:hanging="360"/>
      </w:pPr>
      <w:rPr>
        <w:rFonts w:hint="default"/>
        <w:lang w:val="en-US" w:eastAsia="en-US" w:bidi="ar-SA"/>
      </w:rPr>
    </w:lvl>
    <w:lvl w:ilvl="2">
      <w:start w:val="0"/>
      <w:numFmt w:val="bullet"/>
      <w:lvlText w:val="•"/>
      <w:lvlJc w:val="left"/>
      <w:pPr>
        <w:ind w:left="3176" w:hanging="360"/>
      </w:pPr>
      <w:rPr>
        <w:rFonts w:hint="default"/>
        <w:lang w:val="en-US" w:eastAsia="en-US" w:bidi="ar-SA"/>
      </w:rPr>
    </w:lvl>
    <w:lvl w:ilvl="3">
      <w:start w:val="0"/>
      <w:numFmt w:val="bullet"/>
      <w:lvlText w:val="•"/>
      <w:lvlJc w:val="left"/>
      <w:pPr>
        <w:ind w:left="3984" w:hanging="360"/>
      </w:pPr>
      <w:rPr>
        <w:rFonts w:hint="default"/>
        <w:lang w:val="en-US" w:eastAsia="en-US" w:bidi="ar-SA"/>
      </w:rPr>
    </w:lvl>
    <w:lvl w:ilvl="4">
      <w:start w:val="0"/>
      <w:numFmt w:val="bullet"/>
      <w:lvlText w:val="•"/>
      <w:lvlJc w:val="left"/>
      <w:pPr>
        <w:ind w:left="4792" w:hanging="360"/>
      </w:pPr>
      <w:rPr>
        <w:rFonts w:hint="default"/>
        <w:lang w:val="en-US" w:eastAsia="en-US" w:bidi="ar-SA"/>
      </w:rPr>
    </w:lvl>
    <w:lvl w:ilvl="5">
      <w:start w:val="0"/>
      <w:numFmt w:val="bullet"/>
      <w:lvlText w:val="•"/>
      <w:lvlJc w:val="left"/>
      <w:pPr>
        <w:ind w:left="5600" w:hanging="360"/>
      </w:pPr>
      <w:rPr>
        <w:rFonts w:hint="default"/>
        <w:lang w:val="en-US" w:eastAsia="en-US" w:bidi="ar-SA"/>
      </w:rPr>
    </w:lvl>
    <w:lvl w:ilvl="6">
      <w:start w:val="0"/>
      <w:numFmt w:val="bullet"/>
      <w:lvlText w:val="•"/>
      <w:lvlJc w:val="left"/>
      <w:pPr>
        <w:ind w:left="6408" w:hanging="360"/>
      </w:pPr>
      <w:rPr>
        <w:rFonts w:hint="default"/>
        <w:lang w:val="en-US" w:eastAsia="en-US" w:bidi="ar-SA"/>
      </w:rPr>
    </w:lvl>
    <w:lvl w:ilvl="7">
      <w:start w:val="0"/>
      <w:numFmt w:val="bullet"/>
      <w:lvlText w:val="•"/>
      <w:lvlJc w:val="left"/>
      <w:pPr>
        <w:ind w:left="7216" w:hanging="360"/>
      </w:pPr>
      <w:rPr>
        <w:rFonts w:hint="default"/>
        <w:lang w:val="en-US" w:eastAsia="en-US" w:bidi="ar-SA"/>
      </w:rPr>
    </w:lvl>
    <w:lvl w:ilvl="8">
      <w:start w:val="0"/>
      <w:numFmt w:val="bullet"/>
      <w:lvlText w:val="•"/>
      <w:lvlJc w:val="left"/>
      <w:pPr>
        <w:ind w:left="8024" w:hanging="360"/>
      </w:pPr>
      <w:rPr>
        <w:rFonts w:hint="default"/>
        <w:lang w:val="en-US" w:eastAsia="en-US" w:bidi="ar-SA"/>
      </w:rPr>
    </w:lvl>
  </w:abstractNum>
  <w:abstractNum w:abstractNumId="17">
    <w:multiLevelType w:val="hybridMultilevel"/>
    <w:lvl w:ilvl="0">
      <w:start w:val="1"/>
      <w:numFmt w:val="decimal"/>
      <w:lvlText w:val="(%1)"/>
      <w:lvlJc w:val="left"/>
      <w:pPr>
        <w:ind w:left="156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2368" w:hanging="360"/>
      </w:pPr>
      <w:rPr>
        <w:rFonts w:hint="default"/>
        <w:lang w:val="en-US" w:eastAsia="en-US" w:bidi="ar-SA"/>
      </w:rPr>
    </w:lvl>
    <w:lvl w:ilvl="2">
      <w:start w:val="0"/>
      <w:numFmt w:val="bullet"/>
      <w:lvlText w:val="•"/>
      <w:lvlJc w:val="left"/>
      <w:pPr>
        <w:ind w:left="3176" w:hanging="360"/>
      </w:pPr>
      <w:rPr>
        <w:rFonts w:hint="default"/>
        <w:lang w:val="en-US" w:eastAsia="en-US" w:bidi="ar-SA"/>
      </w:rPr>
    </w:lvl>
    <w:lvl w:ilvl="3">
      <w:start w:val="0"/>
      <w:numFmt w:val="bullet"/>
      <w:lvlText w:val="•"/>
      <w:lvlJc w:val="left"/>
      <w:pPr>
        <w:ind w:left="3984" w:hanging="360"/>
      </w:pPr>
      <w:rPr>
        <w:rFonts w:hint="default"/>
        <w:lang w:val="en-US" w:eastAsia="en-US" w:bidi="ar-SA"/>
      </w:rPr>
    </w:lvl>
    <w:lvl w:ilvl="4">
      <w:start w:val="0"/>
      <w:numFmt w:val="bullet"/>
      <w:lvlText w:val="•"/>
      <w:lvlJc w:val="left"/>
      <w:pPr>
        <w:ind w:left="4792" w:hanging="360"/>
      </w:pPr>
      <w:rPr>
        <w:rFonts w:hint="default"/>
        <w:lang w:val="en-US" w:eastAsia="en-US" w:bidi="ar-SA"/>
      </w:rPr>
    </w:lvl>
    <w:lvl w:ilvl="5">
      <w:start w:val="0"/>
      <w:numFmt w:val="bullet"/>
      <w:lvlText w:val="•"/>
      <w:lvlJc w:val="left"/>
      <w:pPr>
        <w:ind w:left="5600" w:hanging="360"/>
      </w:pPr>
      <w:rPr>
        <w:rFonts w:hint="default"/>
        <w:lang w:val="en-US" w:eastAsia="en-US" w:bidi="ar-SA"/>
      </w:rPr>
    </w:lvl>
    <w:lvl w:ilvl="6">
      <w:start w:val="0"/>
      <w:numFmt w:val="bullet"/>
      <w:lvlText w:val="•"/>
      <w:lvlJc w:val="left"/>
      <w:pPr>
        <w:ind w:left="6408" w:hanging="360"/>
      </w:pPr>
      <w:rPr>
        <w:rFonts w:hint="default"/>
        <w:lang w:val="en-US" w:eastAsia="en-US" w:bidi="ar-SA"/>
      </w:rPr>
    </w:lvl>
    <w:lvl w:ilvl="7">
      <w:start w:val="0"/>
      <w:numFmt w:val="bullet"/>
      <w:lvlText w:val="•"/>
      <w:lvlJc w:val="left"/>
      <w:pPr>
        <w:ind w:left="7216" w:hanging="360"/>
      </w:pPr>
      <w:rPr>
        <w:rFonts w:hint="default"/>
        <w:lang w:val="en-US" w:eastAsia="en-US" w:bidi="ar-SA"/>
      </w:rPr>
    </w:lvl>
    <w:lvl w:ilvl="8">
      <w:start w:val="0"/>
      <w:numFmt w:val="bullet"/>
      <w:lvlText w:val="•"/>
      <w:lvlJc w:val="left"/>
      <w:pPr>
        <w:ind w:left="8024" w:hanging="360"/>
      </w:pPr>
      <w:rPr>
        <w:rFonts w:hint="default"/>
        <w:lang w:val="en-US" w:eastAsia="en-US" w:bidi="ar-SA"/>
      </w:rPr>
    </w:lvl>
  </w:abstractNum>
  <w:abstractNum w:abstractNumId="16">
    <w:multiLevelType w:val="hybridMultilevel"/>
    <w:lvl w:ilvl="0">
      <w:start w:val="1"/>
      <w:numFmt w:val="decimal"/>
      <w:lvlText w:val="(%1)"/>
      <w:lvlJc w:val="left"/>
      <w:pPr>
        <w:ind w:left="156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2368" w:hanging="360"/>
      </w:pPr>
      <w:rPr>
        <w:rFonts w:hint="default"/>
        <w:lang w:val="en-US" w:eastAsia="en-US" w:bidi="ar-SA"/>
      </w:rPr>
    </w:lvl>
    <w:lvl w:ilvl="2">
      <w:start w:val="0"/>
      <w:numFmt w:val="bullet"/>
      <w:lvlText w:val="•"/>
      <w:lvlJc w:val="left"/>
      <w:pPr>
        <w:ind w:left="3176" w:hanging="360"/>
      </w:pPr>
      <w:rPr>
        <w:rFonts w:hint="default"/>
        <w:lang w:val="en-US" w:eastAsia="en-US" w:bidi="ar-SA"/>
      </w:rPr>
    </w:lvl>
    <w:lvl w:ilvl="3">
      <w:start w:val="0"/>
      <w:numFmt w:val="bullet"/>
      <w:lvlText w:val="•"/>
      <w:lvlJc w:val="left"/>
      <w:pPr>
        <w:ind w:left="3984" w:hanging="360"/>
      </w:pPr>
      <w:rPr>
        <w:rFonts w:hint="default"/>
        <w:lang w:val="en-US" w:eastAsia="en-US" w:bidi="ar-SA"/>
      </w:rPr>
    </w:lvl>
    <w:lvl w:ilvl="4">
      <w:start w:val="0"/>
      <w:numFmt w:val="bullet"/>
      <w:lvlText w:val="•"/>
      <w:lvlJc w:val="left"/>
      <w:pPr>
        <w:ind w:left="4792" w:hanging="360"/>
      </w:pPr>
      <w:rPr>
        <w:rFonts w:hint="default"/>
        <w:lang w:val="en-US" w:eastAsia="en-US" w:bidi="ar-SA"/>
      </w:rPr>
    </w:lvl>
    <w:lvl w:ilvl="5">
      <w:start w:val="0"/>
      <w:numFmt w:val="bullet"/>
      <w:lvlText w:val="•"/>
      <w:lvlJc w:val="left"/>
      <w:pPr>
        <w:ind w:left="5600" w:hanging="360"/>
      </w:pPr>
      <w:rPr>
        <w:rFonts w:hint="default"/>
        <w:lang w:val="en-US" w:eastAsia="en-US" w:bidi="ar-SA"/>
      </w:rPr>
    </w:lvl>
    <w:lvl w:ilvl="6">
      <w:start w:val="0"/>
      <w:numFmt w:val="bullet"/>
      <w:lvlText w:val="•"/>
      <w:lvlJc w:val="left"/>
      <w:pPr>
        <w:ind w:left="6408" w:hanging="360"/>
      </w:pPr>
      <w:rPr>
        <w:rFonts w:hint="default"/>
        <w:lang w:val="en-US" w:eastAsia="en-US" w:bidi="ar-SA"/>
      </w:rPr>
    </w:lvl>
    <w:lvl w:ilvl="7">
      <w:start w:val="0"/>
      <w:numFmt w:val="bullet"/>
      <w:lvlText w:val="•"/>
      <w:lvlJc w:val="left"/>
      <w:pPr>
        <w:ind w:left="7216" w:hanging="360"/>
      </w:pPr>
      <w:rPr>
        <w:rFonts w:hint="default"/>
        <w:lang w:val="en-US" w:eastAsia="en-US" w:bidi="ar-SA"/>
      </w:rPr>
    </w:lvl>
    <w:lvl w:ilvl="8">
      <w:start w:val="0"/>
      <w:numFmt w:val="bullet"/>
      <w:lvlText w:val="•"/>
      <w:lvlJc w:val="left"/>
      <w:pPr>
        <w:ind w:left="8024" w:hanging="360"/>
      </w:pPr>
      <w:rPr>
        <w:rFonts w:hint="default"/>
        <w:lang w:val="en-US" w:eastAsia="en-US" w:bidi="ar-SA"/>
      </w:rPr>
    </w:lvl>
  </w:abstractNum>
  <w:abstractNum w:abstractNumId="15">
    <w:multiLevelType w:val="hybridMultilevel"/>
    <w:lvl w:ilvl="0">
      <w:start w:val="1"/>
      <w:numFmt w:val="decimal"/>
      <w:lvlText w:val="%1."/>
      <w:lvlJc w:val="left"/>
      <w:pPr>
        <w:ind w:left="84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840" w:hanging="360"/>
      </w:pPr>
      <w:rPr>
        <w:rFonts w:hint="default" w:ascii="Symbol" w:hAnsi="Symbol" w:eastAsia="Symbol" w:cs="Symbol"/>
        <w:w w:val="99"/>
        <w:lang w:val="en-US" w:eastAsia="en-US" w:bidi="ar-SA"/>
      </w:rPr>
    </w:lvl>
    <w:lvl w:ilvl="2">
      <w:start w:val="0"/>
      <w:numFmt w:val="bullet"/>
      <w:lvlText w:val=""/>
      <w:lvlJc w:val="left"/>
      <w:pPr>
        <w:ind w:left="1560" w:hanging="360"/>
      </w:pPr>
      <w:rPr>
        <w:rFonts w:hint="default" w:ascii="Symbol" w:hAnsi="Symbol" w:eastAsia="Symbol" w:cs="Symbol"/>
        <w:b w:val="0"/>
        <w:bCs w:val="0"/>
        <w:i w:val="0"/>
        <w:iCs w:val="0"/>
        <w:w w:val="99"/>
        <w:sz w:val="20"/>
        <w:szCs w:val="20"/>
        <w:lang w:val="en-US" w:eastAsia="en-US" w:bidi="ar-SA"/>
      </w:rPr>
    </w:lvl>
    <w:lvl w:ilvl="3">
      <w:start w:val="0"/>
      <w:numFmt w:val="bullet"/>
      <w:lvlText w:val="•"/>
      <w:lvlJc w:val="left"/>
      <w:pPr>
        <w:ind w:left="3355" w:hanging="360"/>
      </w:pPr>
      <w:rPr>
        <w:rFonts w:hint="default"/>
        <w:lang w:val="en-US" w:eastAsia="en-US" w:bidi="ar-SA"/>
      </w:rPr>
    </w:lvl>
    <w:lvl w:ilvl="4">
      <w:start w:val="0"/>
      <w:numFmt w:val="bullet"/>
      <w:lvlText w:val="•"/>
      <w:lvlJc w:val="left"/>
      <w:pPr>
        <w:ind w:left="4253" w:hanging="360"/>
      </w:pPr>
      <w:rPr>
        <w:rFonts w:hint="default"/>
        <w:lang w:val="en-US" w:eastAsia="en-US" w:bidi="ar-SA"/>
      </w:rPr>
    </w:lvl>
    <w:lvl w:ilvl="5">
      <w:start w:val="0"/>
      <w:numFmt w:val="bullet"/>
      <w:lvlText w:val="•"/>
      <w:lvlJc w:val="left"/>
      <w:pPr>
        <w:ind w:left="5151" w:hanging="360"/>
      </w:pPr>
      <w:rPr>
        <w:rFonts w:hint="default"/>
        <w:lang w:val="en-US" w:eastAsia="en-US" w:bidi="ar-SA"/>
      </w:rPr>
    </w:lvl>
    <w:lvl w:ilvl="6">
      <w:start w:val="0"/>
      <w:numFmt w:val="bullet"/>
      <w:lvlText w:val="•"/>
      <w:lvlJc w:val="left"/>
      <w:pPr>
        <w:ind w:left="6048" w:hanging="360"/>
      </w:pPr>
      <w:rPr>
        <w:rFonts w:hint="default"/>
        <w:lang w:val="en-US" w:eastAsia="en-US" w:bidi="ar-SA"/>
      </w:rPr>
    </w:lvl>
    <w:lvl w:ilvl="7">
      <w:start w:val="0"/>
      <w:numFmt w:val="bullet"/>
      <w:lvlText w:val="•"/>
      <w:lvlJc w:val="left"/>
      <w:pPr>
        <w:ind w:left="6946" w:hanging="360"/>
      </w:pPr>
      <w:rPr>
        <w:rFonts w:hint="default"/>
        <w:lang w:val="en-US" w:eastAsia="en-US" w:bidi="ar-SA"/>
      </w:rPr>
    </w:lvl>
    <w:lvl w:ilvl="8">
      <w:start w:val="0"/>
      <w:numFmt w:val="bullet"/>
      <w:lvlText w:val="•"/>
      <w:lvlJc w:val="left"/>
      <w:pPr>
        <w:ind w:left="7844" w:hanging="360"/>
      </w:pPr>
      <w:rPr>
        <w:rFonts w:hint="default"/>
        <w:lang w:val="en-US" w:eastAsia="en-US" w:bidi="ar-SA"/>
      </w:rPr>
    </w:lvl>
  </w:abstractNum>
  <w:abstractNum w:abstractNumId="14">
    <w:multiLevelType w:val="hybridMultilevel"/>
    <w:lvl w:ilvl="0">
      <w:start w:val="1"/>
      <w:numFmt w:val="decimal"/>
      <w:lvlText w:val="%1."/>
      <w:lvlJc w:val="left"/>
      <w:pPr>
        <w:ind w:left="84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1720" w:hanging="360"/>
      </w:pPr>
      <w:rPr>
        <w:rFonts w:hint="default"/>
        <w:lang w:val="en-US" w:eastAsia="en-US" w:bidi="ar-SA"/>
      </w:rPr>
    </w:lvl>
    <w:lvl w:ilvl="2">
      <w:start w:val="0"/>
      <w:numFmt w:val="bullet"/>
      <w:lvlText w:val="•"/>
      <w:lvlJc w:val="left"/>
      <w:pPr>
        <w:ind w:left="2600" w:hanging="360"/>
      </w:pPr>
      <w:rPr>
        <w:rFonts w:hint="default"/>
        <w:lang w:val="en-US" w:eastAsia="en-US" w:bidi="ar-SA"/>
      </w:rPr>
    </w:lvl>
    <w:lvl w:ilvl="3">
      <w:start w:val="0"/>
      <w:numFmt w:val="bullet"/>
      <w:lvlText w:val="•"/>
      <w:lvlJc w:val="left"/>
      <w:pPr>
        <w:ind w:left="3480" w:hanging="360"/>
      </w:pPr>
      <w:rPr>
        <w:rFonts w:hint="default"/>
        <w:lang w:val="en-US" w:eastAsia="en-US" w:bidi="ar-SA"/>
      </w:rPr>
    </w:lvl>
    <w:lvl w:ilvl="4">
      <w:start w:val="0"/>
      <w:numFmt w:val="bullet"/>
      <w:lvlText w:val="•"/>
      <w:lvlJc w:val="left"/>
      <w:pPr>
        <w:ind w:left="4360" w:hanging="360"/>
      </w:pPr>
      <w:rPr>
        <w:rFonts w:hint="default"/>
        <w:lang w:val="en-US" w:eastAsia="en-US" w:bidi="ar-SA"/>
      </w:rPr>
    </w:lvl>
    <w:lvl w:ilvl="5">
      <w:start w:val="0"/>
      <w:numFmt w:val="bullet"/>
      <w:lvlText w:val="•"/>
      <w:lvlJc w:val="left"/>
      <w:pPr>
        <w:ind w:left="5240" w:hanging="360"/>
      </w:pPr>
      <w:rPr>
        <w:rFonts w:hint="default"/>
        <w:lang w:val="en-US" w:eastAsia="en-US" w:bidi="ar-SA"/>
      </w:rPr>
    </w:lvl>
    <w:lvl w:ilvl="6">
      <w:start w:val="0"/>
      <w:numFmt w:val="bullet"/>
      <w:lvlText w:val="•"/>
      <w:lvlJc w:val="left"/>
      <w:pPr>
        <w:ind w:left="6120" w:hanging="360"/>
      </w:pPr>
      <w:rPr>
        <w:rFonts w:hint="default"/>
        <w:lang w:val="en-US" w:eastAsia="en-US" w:bidi="ar-SA"/>
      </w:rPr>
    </w:lvl>
    <w:lvl w:ilvl="7">
      <w:start w:val="0"/>
      <w:numFmt w:val="bullet"/>
      <w:lvlText w:val="•"/>
      <w:lvlJc w:val="left"/>
      <w:pPr>
        <w:ind w:left="7000" w:hanging="360"/>
      </w:pPr>
      <w:rPr>
        <w:rFonts w:hint="default"/>
        <w:lang w:val="en-US" w:eastAsia="en-US" w:bidi="ar-SA"/>
      </w:rPr>
    </w:lvl>
    <w:lvl w:ilvl="8">
      <w:start w:val="0"/>
      <w:numFmt w:val="bullet"/>
      <w:lvlText w:val="•"/>
      <w:lvlJc w:val="left"/>
      <w:pPr>
        <w:ind w:left="7880" w:hanging="360"/>
      </w:pPr>
      <w:rPr>
        <w:rFonts w:hint="default"/>
        <w:lang w:val="en-US" w:eastAsia="en-US" w:bidi="ar-SA"/>
      </w:rPr>
    </w:lvl>
  </w:abstractNum>
  <w:abstractNum w:abstractNumId="13">
    <w:multiLevelType w:val="hybridMultilevel"/>
    <w:lvl w:ilvl="0">
      <w:start w:val="1"/>
      <w:numFmt w:val="decimal"/>
      <w:lvlText w:val="%1."/>
      <w:lvlJc w:val="left"/>
      <w:pPr>
        <w:ind w:left="84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1720" w:hanging="360"/>
      </w:pPr>
      <w:rPr>
        <w:rFonts w:hint="default"/>
        <w:lang w:val="en-US" w:eastAsia="en-US" w:bidi="ar-SA"/>
      </w:rPr>
    </w:lvl>
    <w:lvl w:ilvl="2">
      <w:start w:val="0"/>
      <w:numFmt w:val="bullet"/>
      <w:lvlText w:val="•"/>
      <w:lvlJc w:val="left"/>
      <w:pPr>
        <w:ind w:left="2600" w:hanging="360"/>
      </w:pPr>
      <w:rPr>
        <w:rFonts w:hint="default"/>
        <w:lang w:val="en-US" w:eastAsia="en-US" w:bidi="ar-SA"/>
      </w:rPr>
    </w:lvl>
    <w:lvl w:ilvl="3">
      <w:start w:val="0"/>
      <w:numFmt w:val="bullet"/>
      <w:lvlText w:val="•"/>
      <w:lvlJc w:val="left"/>
      <w:pPr>
        <w:ind w:left="3480" w:hanging="360"/>
      </w:pPr>
      <w:rPr>
        <w:rFonts w:hint="default"/>
        <w:lang w:val="en-US" w:eastAsia="en-US" w:bidi="ar-SA"/>
      </w:rPr>
    </w:lvl>
    <w:lvl w:ilvl="4">
      <w:start w:val="0"/>
      <w:numFmt w:val="bullet"/>
      <w:lvlText w:val="•"/>
      <w:lvlJc w:val="left"/>
      <w:pPr>
        <w:ind w:left="4360" w:hanging="360"/>
      </w:pPr>
      <w:rPr>
        <w:rFonts w:hint="default"/>
        <w:lang w:val="en-US" w:eastAsia="en-US" w:bidi="ar-SA"/>
      </w:rPr>
    </w:lvl>
    <w:lvl w:ilvl="5">
      <w:start w:val="0"/>
      <w:numFmt w:val="bullet"/>
      <w:lvlText w:val="•"/>
      <w:lvlJc w:val="left"/>
      <w:pPr>
        <w:ind w:left="5240" w:hanging="360"/>
      </w:pPr>
      <w:rPr>
        <w:rFonts w:hint="default"/>
        <w:lang w:val="en-US" w:eastAsia="en-US" w:bidi="ar-SA"/>
      </w:rPr>
    </w:lvl>
    <w:lvl w:ilvl="6">
      <w:start w:val="0"/>
      <w:numFmt w:val="bullet"/>
      <w:lvlText w:val="•"/>
      <w:lvlJc w:val="left"/>
      <w:pPr>
        <w:ind w:left="6120" w:hanging="360"/>
      </w:pPr>
      <w:rPr>
        <w:rFonts w:hint="default"/>
        <w:lang w:val="en-US" w:eastAsia="en-US" w:bidi="ar-SA"/>
      </w:rPr>
    </w:lvl>
    <w:lvl w:ilvl="7">
      <w:start w:val="0"/>
      <w:numFmt w:val="bullet"/>
      <w:lvlText w:val="•"/>
      <w:lvlJc w:val="left"/>
      <w:pPr>
        <w:ind w:left="7000" w:hanging="360"/>
      </w:pPr>
      <w:rPr>
        <w:rFonts w:hint="default"/>
        <w:lang w:val="en-US" w:eastAsia="en-US" w:bidi="ar-SA"/>
      </w:rPr>
    </w:lvl>
    <w:lvl w:ilvl="8">
      <w:start w:val="0"/>
      <w:numFmt w:val="bullet"/>
      <w:lvlText w:val="•"/>
      <w:lvlJc w:val="left"/>
      <w:pPr>
        <w:ind w:left="7880" w:hanging="360"/>
      </w:pPr>
      <w:rPr>
        <w:rFonts w:hint="default"/>
        <w:lang w:val="en-US" w:eastAsia="en-US" w:bidi="ar-SA"/>
      </w:rPr>
    </w:lvl>
  </w:abstractNum>
  <w:abstractNum w:abstractNumId="12">
    <w:multiLevelType w:val="hybridMultilevel"/>
    <w:lvl w:ilvl="0">
      <w:start w:val="1"/>
      <w:numFmt w:val="decimal"/>
      <w:lvlText w:val="%1."/>
      <w:lvlJc w:val="left"/>
      <w:pPr>
        <w:ind w:left="840"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1720" w:hanging="360"/>
      </w:pPr>
      <w:rPr>
        <w:rFonts w:hint="default"/>
        <w:lang w:val="en-US" w:eastAsia="en-US" w:bidi="ar-SA"/>
      </w:rPr>
    </w:lvl>
    <w:lvl w:ilvl="2">
      <w:start w:val="0"/>
      <w:numFmt w:val="bullet"/>
      <w:lvlText w:val="•"/>
      <w:lvlJc w:val="left"/>
      <w:pPr>
        <w:ind w:left="2600" w:hanging="360"/>
      </w:pPr>
      <w:rPr>
        <w:rFonts w:hint="default"/>
        <w:lang w:val="en-US" w:eastAsia="en-US" w:bidi="ar-SA"/>
      </w:rPr>
    </w:lvl>
    <w:lvl w:ilvl="3">
      <w:start w:val="0"/>
      <w:numFmt w:val="bullet"/>
      <w:lvlText w:val="•"/>
      <w:lvlJc w:val="left"/>
      <w:pPr>
        <w:ind w:left="3480" w:hanging="360"/>
      </w:pPr>
      <w:rPr>
        <w:rFonts w:hint="default"/>
        <w:lang w:val="en-US" w:eastAsia="en-US" w:bidi="ar-SA"/>
      </w:rPr>
    </w:lvl>
    <w:lvl w:ilvl="4">
      <w:start w:val="0"/>
      <w:numFmt w:val="bullet"/>
      <w:lvlText w:val="•"/>
      <w:lvlJc w:val="left"/>
      <w:pPr>
        <w:ind w:left="4360" w:hanging="360"/>
      </w:pPr>
      <w:rPr>
        <w:rFonts w:hint="default"/>
        <w:lang w:val="en-US" w:eastAsia="en-US" w:bidi="ar-SA"/>
      </w:rPr>
    </w:lvl>
    <w:lvl w:ilvl="5">
      <w:start w:val="0"/>
      <w:numFmt w:val="bullet"/>
      <w:lvlText w:val="•"/>
      <w:lvlJc w:val="left"/>
      <w:pPr>
        <w:ind w:left="5240" w:hanging="360"/>
      </w:pPr>
      <w:rPr>
        <w:rFonts w:hint="default"/>
        <w:lang w:val="en-US" w:eastAsia="en-US" w:bidi="ar-SA"/>
      </w:rPr>
    </w:lvl>
    <w:lvl w:ilvl="6">
      <w:start w:val="0"/>
      <w:numFmt w:val="bullet"/>
      <w:lvlText w:val="•"/>
      <w:lvlJc w:val="left"/>
      <w:pPr>
        <w:ind w:left="6120" w:hanging="360"/>
      </w:pPr>
      <w:rPr>
        <w:rFonts w:hint="default"/>
        <w:lang w:val="en-US" w:eastAsia="en-US" w:bidi="ar-SA"/>
      </w:rPr>
    </w:lvl>
    <w:lvl w:ilvl="7">
      <w:start w:val="0"/>
      <w:numFmt w:val="bullet"/>
      <w:lvlText w:val="•"/>
      <w:lvlJc w:val="left"/>
      <w:pPr>
        <w:ind w:left="7000" w:hanging="360"/>
      </w:pPr>
      <w:rPr>
        <w:rFonts w:hint="default"/>
        <w:lang w:val="en-US" w:eastAsia="en-US" w:bidi="ar-SA"/>
      </w:rPr>
    </w:lvl>
    <w:lvl w:ilvl="8">
      <w:start w:val="0"/>
      <w:numFmt w:val="bullet"/>
      <w:lvlText w:val="•"/>
      <w:lvlJc w:val="left"/>
      <w:pPr>
        <w:ind w:left="7880" w:hanging="360"/>
      </w:pPr>
      <w:rPr>
        <w:rFonts w:hint="default"/>
        <w:lang w:val="en-US" w:eastAsia="en-US" w:bidi="ar-SA"/>
      </w:rPr>
    </w:lvl>
  </w:abstractNum>
  <w:abstractNum w:abstractNumId="11">
    <w:multiLevelType w:val="hybridMultilevel"/>
    <w:lvl w:ilvl="0">
      <w:start w:val="0"/>
      <w:numFmt w:val="bullet"/>
      <w:lvlText w:val=""/>
      <w:lvlJc w:val="left"/>
      <w:pPr>
        <w:ind w:left="843" w:hanging="361"/>
      </w:pPr>
      <w:rPr>
        <w:rFonts w:hint="default" w:ascii="Symbol" w:hAnsi="Symbol" w:eastAsia="Symbol" w:cs="Symbol"/>
        <w:b w:val="0"/>
        <w:bCs w:val="0"/>
        <w:i w:val="0"/>
        <w:iCs w:val="0"/>
        <w:w w:val="100"/>
        <w:sz w:val="22"/>
        <w:szCs w:val="22"/>
        <w:lang w:val="en-US" w:eastAsia="en-US" w:bidi="ar-SA"/>
      </w:rPr>
    </w:lvl>
    <w:lvl w:ilvl="1">
      <w:start w:val="0"/>
      <w:numFmt w:val="bullet"/>
      <w:lvlText w:val="o"/>
      <w:lvlJc w:val="left"/>
      <w:pPr>
        <w:ind w:left="1560" w:hanging="361"/>
      </w:pPr>
      <w:rPr>
        <w:rFonts w:hint="default" w:ascii="Courier New" w:hAnsi="Courier New" w:eastAsia="Courier New" w:cs="Courier New"/>
        <w:b w:val="0"/>
        <w:bCs w:val="0"/>
        <w:i w:val="0"/>
        <w:iCs w:val="0"/>
        <w:w w:val="100"/>
        <w:sz w:val="22"/>
        <w:szCs w:val="22"/>
        <w:lang w:val="en-US" w:eastAsia="en-US" w:bidi="ar-SA"/>
      </w:rPr>
    </w:lvl>
    <w:lvl w:ilvl="2">
      <w:start w:val="0"/>
      <w:numFmt w:val="bullet"/>
      <w:lvlText w:val="•"/>
      <w:lvlJc w:val="left"/>
      <w:pPr>
        <w:ind w:left="2457" w:hanging="361"/>
      </w:pPr>
      <w:rPr>
        <w:rFonts w:hint="default"/>
        <w:lang w:val="en-US" w:eastAsia="en-US" w:bidi="ar-SA"/>
      </w:rPr>
    </w:lvl>
    <w:lvl w:ilvl="3">
      <w:start w:val="0"/>
      <w:numFmt w:val="bullet"/>
      <w:lvlText w:val="•"/>
      <w:lvlJc w:val="left"/>
      <w:pPr>
        <w:ind w:left="3355" w:hanging="361"/>
      </w:pPr>
      <w:rPr>
        <w:rFonts w:hint="default"/>
        <w:lang w:val="en-US" w:eastAsia="en-US" w:bidi="ar-SA"/>
      </w:rPr>
    </w:lvl>
    <w:lvl w:ilvl="4">
      <w:start w:val="0"/>
      <w:numFmt w:val="bullet"/>
      <w:lvlText w:val="•"/>
      <w:lvlJc w:val="left"/>
      <w:pPr>
        <w:ind w:left="4253" w:hanging="361"/>
      </w:pPr>
      <w:rPr>
        <w:rFonts w:hint="default"/>
        <w:lang w:val="en-US" w:eastAsia="en-US" w:bidi="ar-SA"/>
      </w:rPr>
    </w:lvl>
    <w:lvl w:ilvl="5">
      <w:start w:val="0"/>
      <w:numFmt w:val="bullet"/>
      <w:lvlText w:val="•"/>
      <w:lvlJc w:val="left"/>
      <w:pPr>
        <w:ind w:left="5151" w:hanging="361"/>
      </w:pPr>
      <w:rPr>
        <w:rFonts w:hint="default"/>
        <w:lang w:val="en-US" w:eastAsia="en-US" w:bidi="ar-SA"/>
      </w:rPr>
    </w:lvl>
    <w:lvl w:ilvl="6">
      <w:start w:val="0"/>
      <w:numFmt w:val="bullet"/>
      <w:lvlText w:val="•"/>
      <w:lvlJc w:val="left"/>
      <w:pPr>
        <w:ind w:left="6048" w:hanging="361"/>
      </w:pPr>
      <w:rPr>
        <w:rFonts w:hint="default"/>
        <w:lang w:val="en-US" w:eastAsia="en-US" w:bidi="ar-SA"/>
      </w:rPr>
    </w:lvl>
    <w:lvl w:ilvl="7">
      <w:start w:val="0"/>
      <w:numFmt w:val="bullet"/>
      <w:lvlText w:val="•"/>
      <w:lvlJc w:val="left"/>
      <w:pPr>
        <w:ind w:left="6946" w:hanging="361"/>
      </w:pPr>
      <w:rPr>
        <w:rFonts w:hint="default"/>
        <w:lang w:val="en-US" w:eastAsia="en-US" w:bidi="ar-SA"/>
      </w:rPr>
    </w:lvl>
    <w:lvl w:ilvl="8">
      <w:start w:val="0"/>
      <w:numFmt w:val="bullet"/>
      <w:lvlText w:val="•"/>
      <w:lvlJc w:val="left"/>
      <w:pPr>
        <w:ind w:left="7844" w:hanging="361"/>
      </w:pPr>
      <w:rPr>
        <w:rFonts w:hint="default"/>
        <w:lang w:val="en-US" w:eastAsia="en-US" w:bidi="ar-SA"/>
      </w:rPr>
    </w:lvl>
  </w:abstractNum>
  <w:abstractNum w:abstractNumId="10">
    <w:multiLevelType w:val="hybridMultilevel"/>
    <w:lvl w:ilvl="0">
      <w:start w:val="1"/>
      <w:numFmt w:val="decimal"/>
      <w:lvlText w:val="%1."/>
      <w:lvlJc w:val="left"/>
      <w:pPr>
        <w:ind w:left="838"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840" w:hanging="361"/>
      </w:pPr>
      <w:rPr>
        <w:rFonts w:hint="default" w:ascii="Symbol" w:hAnsi="Symbol" w:eastAsia="Symbol" w:cs="Symbol"/>
        <w:b w:val="0"/>
        <w:bCs w:val="0"/>
        <w:i w:val="0"/>
        <w:iCs w:val="0"/>
        <w:w w:val="100"/>
        <w:sz w:val="22"/>
        <w:szCs w:val="22"/>
        <w:lang w:val="en-US" w:eastAsia="en-US" w:bidi="ar-SA"/>
      </w:rPr>
    </w:lvl>
    <w:lvl w:ilvl="2">
      <w:start w:val="1"/>
      <w:numFmt w:val="lowerLetter"/>
      <w:lvlText w:val="%3."/>
      <w:lvlJc w:val="left"/>
      <w:pPr>
        <w:ind w:left="1560" w:hanging="360"/>
        <w:jc w:val="left"/>
      </w:pPr>
      <w:rPr>
        <w:rFonts w:hint="default" w:ascii="Arial" w:hAnsi="Arial" w:eastAsia="Arial" w:cs="Arial"/>
        <w:b w:val="0"/>
        <w:bCs w:val="0"/>
        <w:i w:val="0"/>
        <w:iCs w:val="0"/>
        <w:spacing w:val="-1"/>
        <w:w w:val="100"/>
        <w:sz w:val="22"/>
        <w:szCs w:val="22"/>
        <w:lang w:val="en-US" w:eastAsia="en-US" w:bidi="ar-SA"/>
      </w:rPr>
    </w:lvl>
    <w:lvl w:ilvl="3">
      <w:start w:val="0"/>
      <w:numFmt w:val="bullet"/>
      <w:lvlText w:val="•"/>
      <w:lvlJc w:val="left"/>
      <w:pPr>
        <w:ind w:left="3355" w:hanging="360"/>
      </w:pPr>
      <w:rPr>
        <w:rFonts w:hint="default"/>
        <w:lang w:val="en-US" w:eastAsia="en-US" w:bidi="ar-SA"/>
      </w:rPr>
    </w:lvl>
    <w:lvl w:ilvl="4">
      <w:start w:val="0"/>
      <w:numFmt w:val="bullet"/>
      <w:lvlText w:val="•"/>
      <w:lvlJc w:val="left"/>
      <w:pPr>
        <w:ind w:left="4253" w:hanging="360"/>
      </w:pPr>
      <w:rPr>
        <w:rFonts w:hint="default"/>
        <w:lang w:val="en-US" w:eastAsia="en-US" w:bidi="ar-SA"/>
      </w:rPr>
    </w:lvl>
    <w:lvl w:ilvl="5">
      <w:start w:val="0"/>
      <w:numFmt w:val="bullet"/>
      <w:lvlText w:val="•"/>
      <w:lvlJc w:val="left"/>
      <w:pPr>
        <w:ind w:left="5151" w:hanging="360"/>
      </w:pPr>
      <w:rPr>
        <w:rFonts w:hint="default"/>
        <w:lang w:val="en-US" w:eastAsia="en-US" w:bidi="ar-SA"/>
      </w:rPr>
    </w:lvl>
    <w:lvl w:ilvl="6">
      <w:start w:val="0"/>
      <w:numFmt w:val="bullet"/>
      <w:lvlText w:val="•"/>
      <w:lvlJc w:val="left"/>
      <w:pPr>
        <w:ind w:left="6048" w:hanging="360"/>
      </w:pPr>
      <w:rPr>
        <w:rFonts w:hint="default"/>
        <w:lang w:val="en-US" w:eastAsia="en-US" w:bidi="ar-SA"/>
      </w:rPr>
    </w:lvl>
    <w:lvl w:ilvl="7">
      <w:start w:val="0"/>
      <w:numFmt w:val="bullet"/>
      <w:lvlText w:val="•"/>
      <w:lvlJc w:val="left"/>
      <w:pPr>
        <w:ind w:left="6946" w:hanging="360"/>
      </w:pPr>
      <w:rPr>
        <w:rFonts w:hint="default"/>
        <w:lang w:val="en-US" w:eastAsia="en-US" w:bidi="ar-SA"/>
      </w:rPr>
    </w:lvl>
    <w:lvl w:ilvl="8">
      <w:start w:val="0"/>
      <w:numFmt w:val="bullet"/>
      <w:lvlText w:val="•"/>
      <w:lvlJc w:val="left"/>
      <w:pPr>
        <w:ind w:left="7844" w:hanging="360"/>
      </w:pPr>
      <w:rPr>
        <w:rFonts w:hint="default"/>
        <w:lang w:val="en-US" w:eastAsia="en-US" w:bidi="ar-SA"/>
      </w:rPr>
    </w:lvl>
  </w:abstractNum>
  <w:abstractNum w:abstractNumId="9">
    <w:multiLevelType w:val="hybridMultilevel"/>
    <w:lvl w:ilvl="0">
      <w:start w:val="0"/>
      <w:numFmt w:val="bullet"/>
      <w:lvlText w:val=""/>
      <w:lvlJc w:val="left"/>
      <w:pPr>
        <w:ind w:left="1201" w:hanging="361"/>
      </w:pPr>
      <w:rPr>
        <w:rFonts w:hint="default" w:ascii="Symbol" w:hAnsi="Symbol" w:eastAsia="Symbol" w:cs="Symbol"/>
        <w:b w:val="0"/>
        <w:bCs w:val="0"/>
        <w:i w:val="0"/>
        <w:iCs w:val="0"/>
        <w:w w:val="100"/>
        <w:sz w:val="22"/>
        <w:szCs w:val="22"/>
        <w:lang w:val="en-US" w:eastAsia="en-US" w:bidi="ar-SA"/>
      </w:rPr>
    </w:lvl>
    <w:lvl w:ilvl="1">
      <w:start w:val="0"/>
      <w:numFmt w:val="bullet"/>
      <w:lvlText w:val="•"/>
      <w:lvlJc w:val="left"/>
      <w:pPr>
        <w:ind w:left="2044" w:hanging="361"/>
      </w:pPr>
      <w:rPr>
        <w:rFonts w:hint="default"/>
        <w:lang w:val="en-US" w:eastAsia="en-US" w:bidi="ar-SA"/>
      </w:rPr>
    </w:lvl>
    <w:lvl w:ilvl="2">
      <w:start w:val="0"/>
      <w:numFmt w:val="bullet"/>
      <w:lvlText w:val="•"/>
      <w:lvlJc w:val="left"/>
      <w:pPr>
        <w:ind w:left="2888" w:hanging="361"/>
      </w:pPr>
      <w:rPr>
        <w:rFonts w:hint="default"/>
        <w:lang w:val="en-US" w:eastAsia="en-US" w:bidi="ar-SA"/>
      </w:rPr>
    </w:lvl>
    <w:lvl w:ilvl="3">
      <w:start w:val="0"/>
      <w:numFmt w:val="bullet"/>
      <w:lvlText w:val="•"/>
      <w:lvlJc w:val="left"/>
      <w:pPr>
        <w:ind w:left="3732" w:hanging="361"/>
      </w:pPr>
      <w:rPr>
        <w:rFonts w:hint="default"/>
        <w:lang w:val="en-US" w:eastAsia="en-US" w:bidi="ar-SA"/>
      </w:rPr>
    </w:lvl>
    <w:lvl w:ilvl="4">
      <w:start w:val="0"/>
      <w:numFmt w:val="bullet"/>
      <w:lvlText w:val="•"/>
      <w:lvlJc w:val="left"/>
      <w:pPr>
        <w:ind w:left="4576" w:hanging="361"/>
      </w:pPr>
      <w:rPr>
        <w:rFonts w:hint="default"/>
        <w:lang w:val="en-US" w:eastAsia="en-US" w:bidi="ar-SA"/>
      </w:rPr>
    </w:lvl>
    <w:lvl w:ilvl="5">
      <w:start w:val="0"/>
      <w:numFmt w:val="bullet"/>
      <w:lvlText w:val="•"/>
      <w:lvlJc w:val="left"/>
      <w:pPr>
        <w:ind w:left="5420" w:hanging="361"/>
      </w:pPr>
      <w:rPr>
        <w:rFonts w:hint="default"/>
        <w:lang w:val="en-US" w:eastAsia="en-US" w:bidi="ar-SA"/>
      </w:rPr>
    </w:lvl>
    <w:lvl w:ilvl="6">
      <w:start w:val="0"/>
      <w:numFmt w:val="bullet"/>
      <w:lvlText w:val="•"/>
      <w:lvlJc w:val="left"/>
      <w:pPr>
        <w:ind w:left="6264" w:hanging="361"/>
      </w:pPr>
      <w:rPr>
        <w:rFonts w:hint="default"/>
        <w:lang w:val="en-US" w:eastAsia="en-US" w:bidi="ar-SA"/>
      </w:rPr>
    </w:lvl>
    <w:lvl w:ilvl="7">
      <w:start w:val="0"/>
      <w:numFmt w:val="bullet"/>
      <w:lvlText w:val="•"/>
      <w:lvlJc w:val="left"/>
      <w:pPr>
        <w:ind w:left="7108" w:hanging="361"/>
      </w:pPr>
      <w:rPr>
        <w:rFonts w:hint="default"/>
        <w:lang w:val="en-US" w:eastAsia="en-US" w:bidi="ar-SA"/>
      </w:rPr>
    </w:lvl>
    <w:lvl w:ilvl="8">
      <w:start w:val="0"/>
      <w:numFmt w:val="bullet"/>
      <w:lvlText w:val="•"/>
      <w:lvlJc w:val="left"/>
      <w:pPr>
        <w:ind w:left="7952" w:hanging="361"/>
      </w:pPr>
      <w:rPr>
        <w:rFonts w:hint="default"/>
        <w:lang w:val="en-US" w:eastAsia="en-US" w:bidi="ar-SA"/>
      </w:rPr>
    </w:lvl>
  </w:abstractNum>
  <w:abstractNum w:abstractNumId="8">
    <w:multiLevelType w:val="hybridMultilevel"/>
    <w:lvl w:ilvl="0">
      <w:start w:val="0"/>
      <w:numFmt w:val="bullet"/>
      <w:lvlText w:val=""/>
      <w:lvlJc w:val="left"/>
      <w:pPr>
        <w:ind w:left="581" w:hanging="361"/>
      </w:pPr>
      <w:rPr>
        <w:rFonts w:hint="default" w:ascii="Symbol" w:hAnsi="Symbol" w:eastAsia="Symbol" w:cs="Symbol"/>
        <w:b w:val="0"/>
        <w:bCs w:val="0"/>
        <w:i w:val="0"/>
        <w:iCs w:val="0"/>
        <w:w w:val="100"/>
        <w:sz w:val="22"/>
        <w:szCs w:val="22"/>
        <w:lang w:val="en-US" w:eastAsia="en-US" w:bidi="ar-SA"/>
      </w:rPr>
    </w:lvl>
    <w:lvl w:ilvl="1">
      <w:start w:val="0"/>
      <w:numFmt w:val="bullet"/>
      <w:lvlText w:val=""/>
      <w:lvlJc w:val="left"/>
      <w:pPr>
        <w:ind w:left="839" w:hanging="361"/>
      </w:pPr>
      <w:rPr>
        <w:rFonts w:hint="default" w:ascii="Symbol" w:hAnsi="Symbol" w:eastAsia="Symbol" w:cs="Symbol"/>
        <w:b w:val="0"/>
        <w:bCs w:val="0"/>
        <w:i w:val="0"/>
        <w:iCs w:val="0"/>
        <w:w w:val="100"/>
        <w:sz w:val="22"/>
        <w:szCs w:val="22"/>
        <w:lang w:val="en-US" w:eastAsia="en-US" w:bidi="ar-SA"/>
      </w:rPr>
    </w:lvl>
    <w:lvl w:ilvl="2">
      <w:start w:val="0"/>
      <w:numFmt w:val="bullet"/>
      <w:lvlText w:val="•"/>
      <w:lvlJc w:val="left"/>
      <w:pPr>
        <w:ind w:left="1817" w:hanging="361"/>
      </w:pPr>
      <w:rPr>
        <w:rFonts w:hint="default"/>
        <w:lang w:val="en-US" w:eastAsia="en-US" w:bidi="ar-SA"/>
      </w:rPr>
    </w:lvl>
    <w:lvl w:ilvl="3">
      <w:start w:val="0"/>
      <w:numFmt w:val="bullet"/>
      <w:lvlText w:val="•"/>
      <w:lvlJc w:val="left"/>
      <w:pPr>
        <w:ind w:left="2795" w:hanging="361"/>
      </w:pPr>
      <w:rPr>
        <w:rFonts w:hint="default"/>
        <w:lang w:val="en-US" w:eastAsia="en-US" w:bidi="ar-SA"/>
      </w:rPr>
    </w:lvl>
    <w:lvl w:ilvl="4">
      <w:start w:val="0"/>
      <w:numFmt w:val="bullet"/>
      <w:lvlText w:val="•"/>
      <w:lvlJc w:val="left"/>
      <w:pPr>
        <w:ind w:left="3773" w:hanging="361"/>
      </w:pPr>
      <w:rPr>
        <w:rFonts w:hint="default"/>
        <w:lang w:val="en-US" w:eastAsia="en-US" w:bidi="ar-SA"/>
      </w:rPr>
    </w:lvl>
    <w:lvl w:ilvl="5">
      <w:start w:val="0"/>
      <w:numFmt w:val="bullet"/>
      <w:lvlText w:val="•"/>
      <w:lvlJc w:val="left"/>
      <w:pPr>
        <w:ind w:left="4751" w:hanging="361"/>
      </w:pPr>
      <w:rPr>
        <w:rFonts w:hint="default"/>
        <w:lang w:val="en-US" w:eastAsia="en-US" w:bidi="ar-SA"/>
      </w:rPr>
    </w:lvl>
    <w:lvl w:ilvl="6">
      <w:start w:val="0"/>
      <w:numFmt w:val="bullet"/>
      <w:lvlText w:val="•"/>
      <w:lvlJc w:val="left"/>
      <w:pPr>
        <w:ind w:left="5728" w:hanging="361"/>
      </w:pPr>
      <w:rPr>
        <w:rFonts w:hint="default"/>
        <w:lang w:val="en-US" w:eastAsia="en-US" w:bidi="ar-SA"/>
      </w:rPr>
    </w:lvl>
    <w:lvl w:ilvl="7">
      <w:start w:val="0"/>
      <w:numFmt w:val="bullet"/>
      <w:lvlText w:val="•"/>
      <w:lvlJc w:val="left"/>
      <w:pPr>
        <w:ind w:left="6706" w:hanging="361"/>
      </w:pPr>
      <w:rPr>
        <w:rFonts w:hint="default"/>
        <w:lang w:val="en-US" w:eastAsia="en-US" w:bidi="ar-SA"/>
      </w:rPr>
    </w:lvl>
    <w:lvl w:ilvl="8">
      <w:start w:val="0"/>
      <w:numFmt w:val="bullet"/>
      <w:lvlText w:val="•"/>
      <w:lvlJc w:val="left"/>
      <w:pPr>
        <w:ind w:left="7684" w:hanging="361"/>
      </w:pPr>
      <w:rPr>
        <w:rFonts w:hint="default"/>
        <w:lang w:val="en-US" w:eastAsia="en-US" w:bidi="ar-SA"/>
      </w:rPr>
    </w:lvl>
  </w:abstractNum>
  <w:abstractNum w:abstractNumId="7">
    <w:multiLevelType w:val="hybridMultilevel"/>
    <w:lvl w:ilvl="0">
      <w:start w:val="0"/>
      <w:numFmt w:val="bullet"/>
      <w:lvlText w:val="o"/>
      <w:lvlJc w:val="left"/>
      <w:pPr>
        <w:ind w:left="1200" w:hanging="361"/>
      </w:pPr>
      <w:rPr>
        <w:rFonts w:hint="default" w:ascii="Courier New" w:hAnsi="Courier New" w:eastAsia="Courier New" w:cs="Courier New"/>
        <w:b w:val="0"/>
        <w:bCs w:val="0"/>
        <w:i w:val="0"/>
        <w:iCs w:val="0"/>
        <w:w w:val="100"/>
        <w:sz w:val="22"/>
        <w:szCs w:val="22"/>
        <w:lang w:val="en-US" w:eastAsia="en-US" w:bidi="ar-SA"/>
      </w:rPr>
    </w:lvl>
    <w:lvl w:ilvl="1">
      <w:start w:val="0"/>
      <w:numFmt w:val="bullet"/>
      <w:lvlText w:val="•"/>
      <w:lvlJc w:val="left"/>
      <w:pPr>
        <w:ind w:left="2044" w:hanging="361"/>
      </w:pPr>
      <w:rPr>
        <w:rFonts w:hint="default"/>
        <w:lang w:val="en-US" w:eastAsia="en-US" w:bidi="ar-SA"/>
      </w:rPr>
    </w:lvl>
    <w:lvl w:ilvl="2">
      <w:start w:val="0"/>
      <w:numFmt w:val="bullet"/>
      <w:lvlText w:val="•"/>
      <w:lvlJc w:val="left"/>
      <w:pPr>
        <w:ind w:left="2888" w:hanging="361"/>
      </w:pPr>
      <w:rPr>
        <w:rFonts w:hint="default"/>
        <w:lang w:val="en-US" w:eastAsia="en-US" w:bidi="ar-SA"/>
      </w:rPr>
    </w:lvl>
    <w:lvl w:ilvl="3">
      <w:start w:val="0"/>
      <w:numFmt w:val="bullet"/>
      <w:lvlText w:val="•"/>
      <w:lvlJc w:val="left"/>
      <w:pPr>
        <w:ind w:left="3732" w:hanging="361"/>
      </w:pPr>
      <w:rPr>
        <w:rFonts w:hint="default"/>
        <w:lang w:val="en-US" w:eastAsia="en-US" w:bidi="ar-SA"/>
      </w:rPr>
    </w:lvl>
    <w:lvl w:ilvl="4">
      <w:start w:val="0"/>
      <w:numFmt w:val="bullet"/>
      <w:lvlText w:val="•"/>
      <w:lvlJc w:val="left"/>
      <w:pPr>
        <w:ind w:left="4576" w:hanging="361"/>
      </w:pPr>
      <w:rPr>
        <w:rFonts w:hint="default"/>
        <w:lang w:val="en-US" w:eastAsia="en-US" w:bidi="ar-SA"/>
      </w:rPr>
    </w:lvl>
    <w:lvl w:ilvl="5">
      <w:start w:val="0"/>
      <w:numFmt w:val="bullet"/>
      <w:lvlText w:val="•"/>
      <w:lvlJc w:val="left"/>
      <w:pPr>
        <w:ind w:left="5420" w:hanging="361"/>
      </w:pPr>
      <w:rPr>
        <w:rFonts w:hint="default"/>
        <w:lang w:val="en-US" w:eastAsia="en-US" w:bidi="ar-SA"/>
      </w:rPr>
    </w:lvl>
    <w:lvl w:ilvl="6">
      <w:start w:val="0"/>
      <w:numFmt w:val="bullet"/>
      <w:lvlText w:val="•"/>
      <w:lvlJc w:val="left"/>
      <w:pPr>
        <w:ind w:left="6264" w:hanging="361"/>
      </w:pPr>
      <w:rPr>
        <w:rFonts w:hint="default"/>
        <w:lang w:val="en-US" w:eastAsia="en-US" w:bidi="ar-SA"/>
      </w:rPr>
    </w:lvl>
    <w:lvl w:ilvl="7">
      <w:start w:val="0"/>
      <w:numFmt w:val="bullet"/>
      <w:lvlText w:val="•"/>
      <w:lvlJc w:val="left"/>
      <w:pPr>
        <w:ind w:left="7108" w:hanging="361"/>
      </w:pPr>
      <w:rPr>
        <w:rFonts w:hint="default"/>
        <w:lang w:val="en-US" w:eastAsia="en-US" w:bidi="ar-SA"/>
      </w:rPr>
    </w:lvl>
    <w:lvl w:ilvl="8">
      <w:start w:val="0"/>
      <w:numFmt w:val="bullet"/>
      <w:lvlText w:val="•"/>
      <w:lvlJc w:val="left"/>
      <w:pPr>
        <w:ind w:left="7952" w:hanging="361"/>
      </w:pPr>
      <w:rPr>
        <w:rFonts w:hint="default"/>
        <w:lang w:val="en-US" w:eastAsia="en-US" w:bidi="ar-SA"/>
      </w:rPr>
    </w:lvl>
  </w:abstractNum>
  <w:abstractNum w:abstractNumId="6">
    <w:multiLevelType w:val="hybridMultilevel"/>
    <w:lvl w:ilvl="0">
      <w:start w:val="0"/>
      <w:numFmt w:val="bullet"/>
      <w:lvlText w:val=""/>
      <w:lvlJc w:val="left"/>
      <w:pPr>
        <w:ind w:left="839" w:hanging="361"/>
      </w:pPr>
      <w:rPr>
        <w:rFonts w:hint="default" w:ascii="Symbol" w:hAnsi="Symbol" w:eastAsia="Symbol" w:cs="Symbol"/>
        <w:b w:val="0"/>
        <w:bCs w:val="0"/>
        <w:i w:val="0"/>
        <w:iCs w:val="0"/>
        <w:w w:val="100"/>
        <w:sz w:val="22"/>
        <w:szCs w:val="22"/>
        <w:lang w:val="en-US" w:eastAsia="en-US" w:bidi="ar-SA"/>
      </w:rPr>
    </w:lvl>
    <w:lvl w:ilvl="1">
      <w:start w:val="1"/>
      <w:numFmt w:val="decimal"/>
      <w:lvlText w:val="(%2)"/>
      <w:lvlJc w:val="left"/>
      <w:pPr>
        <w:ind w:left="1560" w:hanging="360"/>
        <w:jc w:val="left"/>
      </w:pPr>
      <w:rPr>
        <w:rFonts w:hint="default" w:ascii="Arial" w:hAnsi="Arial" w:eastAsia="Arial" w:cs="Arial"/>
        <w:b w:val="0"/>
        <w:bCs w:val="0"/>
        <w:i w:val="0"/>
        <w:iCs w:val="0"/>
        <w:spacing w:val="-1"/>
        <w:w w:val="100"/>
        <w:sz w:val="22"/>
        <w:szCs w:val="22"/>
        <w:lang w:val="en-US" w:eastAsia="en-US" w:bidi="ar-SA"/>
      </w:rPr>
    </w:lvl>
    <w:lvl w:ilvl="2">
      <w:start w:val="0"/>
      <w:numFmt w:val="bullet"/>
      <w:lvlText w:val="•"/>
      <w:lvlJc w:val="left"/>
      <w:pPr>
        <w:ind w:left="2457" w:hanging="360"/>
      </w:pPr>
      <w:rPr>
        <w:rFonts w:hint="default"/>
        <w:lang w:val="en-US" w:eastAsia="en-US" w:bidi="ar-SA"/>
      </w:rPr>
    </w:lvl>
    <w:lvl w:ilvl="3">
      <w:start w:val="0"/>
      <w:numFmt w:val="bullet"/>
      <w:lvlText w:val="•"/>
      <w:lvlJc w:val="left"/>
      <w:pPr>
        <w:ind w:left="3355" w:hanging="360"/>
      </w:pPr>
      <w:rPr>
        <w:rFonts w:hint="default"/>
        <w:lang w:val="en-US" w:eastAsia="en-US" w:bidi="ar-SA"/>
      </w:rPr>
    </w:lvl>
    <w:lvl w:ilvl="4">
      <w:start w:val="0"/>
      <w:numFmt w:val="bullet"/>
      <w:lvlText w:val="•"/>
      <w:lvlJc w:val="left"/>
      <w:pPr>
        <w:ind w:left="4253" w:hanging="360"/>
      </w:pPr>
      <w:rPr>
        <w:rFonts w:hint="default"/>
        <w:lang w:val="en-US" w:eastAsia="en-US" w:bidi="ar-SA"/>
      </w:rPr>
    </w:lvl>
    <w:lvl w:ilvl="5">
      <w:start w:val="0"/>
      <w:numFmt w:val="bullet"/>
      <w:lvlText w:val="•"/>
      <w:lvlJc w:val="left"/>
      <w:pPr>
        <w:ind w:left="5151" w:hanging="360"/>
      </w:pPr>
      <w:rPr>
        <w:rFonts w:hint="default"/>
        <w:lang w:val="en-US" w:eastAsia="en-US" w:bidi="ar-SA"/>
      </w:rPr>
    </w:lvl>
    <w:lvl w:ilvl="6">
      <w:start w:val="0"/>
      <w:numFmt w:val="bullet"/>
      <w:lvlText w:val="•"/>
      <w:lvlJc w:val="left"/>
      <w:pPr>
        <w:ind w:left="6048" w:hanging="360"/>
      </w:pPr>
      <w:rPr>
        <w:rFonts w:hint="default"/>
        <w:lang w:val="en-US" w:eastAsia="en-US" w:bidi="ar-SA"/>
      </w:rPr>
    </w:lvl>
    <w:lvl w:ilvl="7">
      <w:start w:val="0"/>
      <w:numFmt w:val="bullet"/>
      <w:lvlText w:val="•"/>
      <w:lvlJc w:val="left"/>
      <w:pPr>
        <w:ind w:left="6946" w:hanging="360"/>
      </w:pPr>
      <w:rPr>
        <w:rFonts w:hint="default"/>
        <w:lang w:val="en-US" w:eastAsia="en-US" w:bidi="ar-SA"/>
      </w:rPr>
    </w:lvl>
    <w:lvl w:ilvl="8">
      <w:start w:val="0"/>
      <w:numFmt w:val="bullet"/>
      <w:lvlText w:val="•"/>
      <w:lvlJc w:val="left"/>
      <w:pPr>
        <w:ind w:left="7844" w:hanging="360"/>
      </w:pPr>
      <w:rPr>
        <w:rFonts w:hint="default"/>
        <w:lang w:val="en-US" w:eastAsia="en-US" w:bidi="ar-SA"/>
      </w:rPr>
    </w:lvl>
  </w:abstractNum>
  <w:abstractNum w:abstractNumId="5">
    <w:multiLevelType w:val="hybridMultilevel"/>
    <w:lvl w:ilvl="0">
      <w:start w:val="1"/>
      <w:numFmt w:val="decimal"/>
      <w:lvlText w:val="%1."/>
      <w:lvlJc w:val="left"/>
      <w:pPr>
        <w:ind w:left="839" w:hanging="360"/>
        <w:jc w:val="left"/>
      </w:pPr>
      <w:rPr>
        <w:rFonts w:hint="default" w:ascii="Arial" w:hAnsi="Arial" w:eastAsia="Arial" w:cs="Arial"/>
        <w:b w:val="0"/>
        <w:bCs w:val="0"/>
        <w:i w:val="0"/>
        <w:iCs w:val="0"/>
        <w:spacing w:val="-1"/>
        <w:w w:val="100"/>
        <w:sz w:val="22"/>
        <w:szCs w:val="22"/>
        <w:lang w:val="en-US" w:eastAsia="en-US" w:bidi="ar-SA"/>
      </w:rPr>
    </w:lvl>
    <w:lvl w:ilvl="1">
      <w:start w:val="0"/>
      <w:numFmt w:val="bullet"/>
      <w:lvlText w:val="•"/>
      <w:lvlJc w:val="left"/>
      <w:pPr>
        <w:ind w:left="1720" w:hanging="360"/>
      </w:pPr>
      <w:rPr>
        <w:rFonts w:hint="default"/>
        <w:lang w:val="en-US" w:eastAsia="en-US" w:bidi="ar-SA"/>
      </w:rPr>
    </w:lvl>
    <w:lvl w:ilvl="2">
      <w:start w:val="0"/>
      <w:numFmt w:val="bullet"/>
      <w:lvlText w:val="•"/>
      <w:lvlJc w:val="left"/>
      <w:pPr>
        <w:ind w:left="2600" w:hanging="360"/>
      </w:pPr>
      <w:rPr>
        <w:rFonts w:hint="default"/>
        <w:lang w:val="en-US" w:eastAsia="en-US" w:bidi="ar-SA"/>
      </w:rPr>
    </w:lvl>
    <w:lvl w:ilvl="3">
      <w:start w:val="0"/>
      <w:numFmt w:val="bullet"/>
      <w:lvlText w:val="•"/>
      <w:lvlJc w:val="left"/>
      <w:pPr>
        <w:ind w:left="3480" w:hanging="360"/>
      </w:pPr>
      <w:rPr>
        <w:rFonts w:hint="default"/>
        <w:lang w:val="en-US" w:eastAsia="en-US" w:bidi="ar-SA"/>
      </w:rPr>
    </w:lvl>
    <w:lvl w:ilvl="4">
      <w:start w:val="0"/>
      <w:numFmt w:val="bullet"/>
      <w:lvlText w:val="•"/>
      <w:lvlJc w:val="left"/>
      <w:pPr>
        <w:ind w:left="4360" w:hanging="360"/>
      </w:pPr>
      <w:rPr>
        <w:rFonts w:hint="default"/>
        <w:lang w:val="en-US" w:eastAsia="en-US" w:bidi="ar-SA"/>
      </w:rPr>
    </w:lvl>
    <w:lvl w:ilvl="5">
      <w:start w:val="0"/>
      <w:numFmt w:val="bullet"/>
      <w:lvlText w:val="•"/>
      <w:lvlJc w:val="left"/>
      <w:pPr>
        <w:ind w:left="5240" w:hanging="360"/>
      </w:pPr>
      <w:rPr>
        <w:rFonts w:hint="default"/>
        <w:lang w:val="en-US" w:eastAsia="en-US" w:bidi="ar-SA"/>
      </w:rPr>
    </w:lvl>
    <w:lvl w:ilvl="6">
      <w:start w:val="0"/>
      <w:numFmt w:val="bullet"/>
      <w:lvlText w:val="•"/>
      <w:lvlJc w:val="left"/>
      <w:pPr>
        <w:ind w:left="6120" w:hanging="360"/>
      </w:pPr>
      <w:rPr>
        <w:rFonts w:hint="default"/>
        <w:lang w:val="en-US" w:eastAsia="en-US" w:bidi="ar-SA"/>
      </w:rPr>
    </w:lvl>
    <w:lvl w:ilvl="7">
      <w:start w:val="0"/>
      <w:numFmt w:val="bullet"/>
      <w:lvlText w:val="•"/>
      <w:lvlJc w:val="left"/>
      <w:pPr>
        <w:ind w:left="7000" w:hanging="360"/>
      </w:pPr>
      <w:rPr>
        <w:rFonts w:hint="default"/>
        <w:lang w:val="en-US" w:eastAsia="en-US" w:bidi="ar-SA"/>
      </w:rPr>
    </w:lvl>
    <w:lvl w:ilvl="8">
      <w:start w:val="0"/>
      <w:numFmt w:val="bullet"/>
      <w:lvlText w:val="•"/>
      <w:lvlJc w:val="left"/>
      <w:pPr>
        <w:ind w:left="7880" w:hanging="360"/>
      </w:pPr>
      <w:rPr>
        <w:rFonts w:hint="default"/>
        <w:lang w:val="en-US" w:eastAsia="en-US" w:bidi="ar-SA"/>
      </w:rPr>
    </w:lvl>
  </w:abstractNum>
  <w:abstractNum w:abstractNumId="4">
    <w:multiLevelType w:val="hybridMultilevel"/>
    <w:lvl w:ilvl="0">
      <w:start w:val="0"/>
      <w:numFmt w:val="bullet"/>
      <w:lvlText w:val=""/>
      <w:lvlJc w:val="left"/>
      <w:pPr>
        <w:ind w:left="840" w:hanging="361"/>
      </w:pPr>
      <w:rPr>
        <w:rFonts w:hint="default" w:ascii="Symbol" w:hAnsi="Symbol" w:eastAsia="Symbol" w:cs="Symbol"/>
        <w:b w:val="0"/>
        <w:bCs w:val="0"/>
        <w:i w:val="0"/>
        <w:iCs w:val="0"/>
        <w:w w:val="100"/>
        <w:sz w:val="22"/>
        <w:szCs w:val="22"/>
        <w:lang w:val="en-US" w:eastAsia="en-US" w:bidi="ar-SA"/>
      </w:rPr>
    </w:lvl>
    <w:lvl w:ilvl="1">
      <w:start w:val="0"/>
      <w:numFmt w:val="bullet"/>
      <w:lvlText w:val="•"/>
      <w:lvlJc w:val="left"/>
      <w:pPr>
        <w:ind w:left="1720" w:hanging="361"/>
      </w:pPr>
      <w:rPr>
        <w:rFonts w:hint="default"/>
        <w:lang w:val="en-US" w:eastAsia="en-US" w:bidi="ar-SA"/>
      </w:rPr>
    </w:lvl>
    <w:lvl w:ilvl="2">
      <w:start w:val="0"/>
      <w:numFmt w:val="bullet"/>
      <w:lvlText w:val="•"/>
      <w:lvlJc w:val="left"/>
      <w:pPr>
        <w:ind w:left="2600" w:hanging="361"/>
      </w:pPr>
      <w:rPr>
        <w:rFonts w:hint="default"/>
        <w:lang w:val="en-US" w:eastAsia="en-US" w:bidi="ar-SA"/>
      </w:rPr>
    </w:lvl>
    <w:lvl w:ilvl="3">
      <w:start w:val="0"/>
      <w:numFmt w:val="bullet"/>
      <w:lvlText w:val="•"/>
      <w:lvlJc w:val="left"/>
      <w:pPr>
        <w:ind w:left="3480" w:hanging="361"/>
      </w:pPr>
      <w:rPr>
        <w:rFonts w:hint="default"/>
        <w:lang w:val="en-US" w:eastAsia="en-US" w:bidi="ar-SA"/>
      </w:rPr>
    </w:lvl>
    <w:lvl w:ilvl="4">
      <w:start w:val="0"/>
      <w:numFmt w:val="bullet"/>
      <w:lvlText w:val="•"/>
      <w:lvlJc w:val="left"/>
      <w:pPr>
        <w:ind w:left="4360" w:hanging="361"/>
      </w:pPr>
      <w:rPr>
        <w:rFonts w:hint="default"/>
        <w:lang w:val="en-US" w:eastAsia="en-US" w:bidi="ar-SA"/>
      </w:rPr>
    </w:lvl>
    <w:lvl w:ilvl="5">
      <w:start w:val="0"/>
      <w:numFmt w:val="bullet"/>
      <w:lvlText w:val="•"/>
      <w:lvlJc w:val="left"/>
      <w:pPr>
        <w:ind w:left="5240" w:hanging="361"/>
      </w:pPr>
      <w:rPr>
        <w:rFonts w:hint="default"/>
        <w:lang w:val="en-US" w:eastAsia="en-US" w:bidi="ar-SA"/>
      </w:rPr>
    </w:lvl>
    <w:lvl w:ilvl="6">
      <w:start w:val="0"/>
      <w:numFmt w:val="bullet"/>
      <w:lvlText w:val="•"/>
      <w:lvlJc w:val="left"/>
      <w:pPr>
        <w:ind w:left="6120" w:hanging="361"/>
      </w:pPr>
      <w:rPr>
        <w:rFonts w:hint="default"/>
        <w:lang w:val="en-US" w:eastAsia="en-US" w:bidi="ar-SA"/>
      </w:rPr>
    </w:lvl>
    <w:lvl w:ilvl="7">
      <w:start w:val="0"/>
      <w:numFmt w:val="bullet"/>
      <w:lvlText w:val="•"/>
      <w:lvlJc w:val="left"/>
      <w:pPr>
        <w:ind w:left="7000" w:hanging="361"/>
      </w:pPr>
      <w:rPr>
        <w:rFonts w:hint="default"/>
        <w:lang w:val="en-US" w:eastAsia="en-US" w:bidi="ar-SA"/>
      </w:rPr>
    </w:lvl>
    <w:lvl w:ilvl="8">
      <w:start w:val="0"/>
      <w:numFmt w:val="bullet"/>
      <w:lvlText w:val="•"/>
      <w:lvlJc w:val="left"/>
      <w:pPr>
        <w:ind w:left="7880" w:hanging="361"/>
      </w:pPr>
      <w:rPr>
        <w:rFonts w:hint="default"/>
        <w:lang w:val="en-US" w:eastAsia="en-US" w:bidi="ar-SA"/>
      </w:rPr>
    </w:lvl>
  </w:abstractNum>
  <w:abstractNum w:abstractNumId="3">
    <w:multiLevelType w:val="hybridMultilevel"/>
    <w:lvl w:ilvl="0">
      <w:start w:val="1"/>
      <w:numFmt w:val="decimal"/>
      <w:lvlText w:val="%1)"/>
      <w:lvlJc w:val="left"/>
      <w:pPr>
        <w:ind w:left="120" w:hanging="245"/>
        <w:jc w:val="left"/>
      </w:pPr>
      <w:rPr>
        <w:rFonts w:hint="default" w:ascii="Arial" w:hAnsi="Arial" w:eastAsia="Arial" w:cs="Arial"/>
        <w:b w:val="0"/>
        <w:bCs w:val="0"/>
        <w:i w:val="0"/>
        <w:iCs w:val="0"/>
        <w:spacing w:val="-1"/>
        <w:w w:val="100"/>
        <w:sz w:val="22"/>
        <w:szCs w:val="22"/>
        <w:lang w:val="en-US" w:eastAsia="en-US" w:bidi="ar-SA"/>
      </w:rPr>
    </w:lvl>
    <w:lvl w:ilvl="1">
      <w:start w:val="1"/>
      <w:numFmt w:val="decimal"/>
      <w:lvlText w:val="%2."/>
      <w:lvlJc w:val="left"/>
      <w:pPr>
        <w:ind w:left="1559" w:hanging="360"/>
        <w:jc w:val="right"/>
      </w:pPr>
      <w:rPr>
        <w:rFonts w:hint="default" w:ascii="Arial" w:hAnsi="Arial" w:eastAsia="Arial" w:cs="Arial"/>
        <w:b/>
        <w:bCs/>
        <w:i w:val="0"/>
        <w:iCs w:val="0"/>
        <w:spacing w:val="-1"/>
        <w:w w:val="100"/>
        <w:sz w:val="22"/>
        <w:szCs w:val="22"/>
        <w:lang w:val="en-US" w:eastAsia="en-US" w:bidi="ar-SA"/>
      </w:rPr>
    </w:lvl>
    <w:lvl w:ilvl="2">
      <w:start w:val="0"/>
      <w:numFmt w:val="bullet"/>
      <w:lvlText w:val=""/>
      <w:lvlJc w:val="left"/>
      <w:pPr>
        <w:ind w:left="840" w:hanging="361"/>
      </w:pPr>
      <w:rPr>
        <w:rFonts w:hint="default" w:ascii="Symbol" w:hAnsi="Symbol" w:eastAsia="Symbol" w:cs="Symbol"/>
        <w:w w:val="100"/>
        <w:lang w:val="en-US" w:eastAsia="en-US" w:bidi="ar-SA"/>
      </w:rPr>
    </w:lvl>
    <w:lvl w:ilvl="3">
      <w:start w:val="0"/>
      <w:numFmt w:val="bullet"/>
      <w:lvlText w:val="•"/>
      <w:lvlJc w:val="left"/>
      <w:pPr>
        <w:ind w:left="2570" w:hanging="361"/>
      </w:pPr>
      <w:rPr>
        <w:rFonts w:hint="default"/>
        <w:lang w:val="en-US" w:eastAsia="en-US" w:bidi="ar-SA"/>
      </w:rPr>
    </w:lvl>
    <w:lvl w:ilvl="4">
      <w:start w:val="0"/>
      <w:numFmt w:val="bullet"/>
      <w:lvlText w:val="•"/>
      <w:lvlJc w:val="left"/>
      <w:pPr>
        <w:ind w:left="3580" w:hanging="361"/>
      </w:pPr>
      <w:rPr>
        <w:rFonts w:hint="default"/>
        <w:lang w:val="en-US" w:eastAsia="en-US" w:bidi="ar-SA"/>
      </w:rPr>
    </w:lvl>
    <w:lvl w:ilvl="5">
      <w:start w:val="0"/>
      <w:numFmt w:val="bullet"/>
      <w:lvlText w:val="•"/>
      <w:lvlJc w:val="left"/>
      <w:pPr>
        <w:ind w:left="4590" w:hanging="361"/>
      </w:pPr>
      <w:rPr>
        <w:rFonts w:hint="default"/>
        <w:lang w:val="en-US" w:eastAsia="en-US" w:bidi="ar-SA"/>
      </w:rPr>
    </w:lvl>
    <w:lvl w:ilvl="6">
      <w:start w:val="0"/>
      <w:numFmt w:val="bullet"/>
      <w:lvlText w:val="•"/>
      <w:lvlJc w:val="left"/>
      <w:pPr>
        <w:ind w:left="5600" w:hanging="361"/>
      </w:pPr>
      <w:rPr>
        <w:rFonts w:hint="default"/>
        <w:lang w:val="en-US" w:eastAsia="en-US" w:bidi="ar-SA"/>
      </w:rPr>
    </w:lvl>
    <w:lvl w:ilvl="7">
      <w:start w:val="0"/>
      <w:numFmt w:val="bullet"/>
      <w:lvlText w:val="•"/>
      <w:lvlJc w:val="left"/>
      <w:pPr>
        <w:ind w:left="6610" w:hanging="361"/>
      </w:pPr>
      <w:rPr>
        <w:rFonts w:hint="default"/>
        <w:lang w:val="en-US" w:eastAsia="en-US" w:bidi="ar-SA"/>
      </w:rPr>
    </w:lvl>
    <w:lvl w:ilvl="8">
      <w:start w:val="0"/>
      <w:numFmt w:val="bullet"/>
      <w:lvlText w:val="•"/>
      <w:lvlJc w:val="left"/>
      <w:pPr>
        <w:ind w:left="7620" w:hanging="361"/>
      </w:pPr>
      <w:rPr>
        <w:rFonts w:hint="default"/>
        <w:lang w:val="en-US" w:eastAsia="en-US" w:bidi="ar-SA"/>
      </w:rPr>
    </w:lvl>
  </w:abstractNum>
  <w:abstractNum w:abstractNumId="2">
    <w:multiLevelType w:val="hybridMultilevel"/>
    <w:lvl w:ilvl="0">
      <w:start w:val="1"/>
      <w:numFmt w:val="decimal"/>
      <w:lvlText w:val="%1."/>
      <w:lvlJc w:val="left"/>
      <w:pPr>
        <w:ind w:left="839" w:hanging="360"/>
        <w:jc w:val="left"/>
      </w:pPr>
      <w:rPr>
        <w:rFonts w:hint="default" w:ascii="Arial" w:hAnsi="Arial" w:eastAsia="Arial" w:cs="Arial"/>
        <w:b w:val="0"/>
        <w:bCs w:val="0"/>
        <w:i w:val="0"/>
        <w:iCs w:val="0"/>
        <w:spacing w:val="-1"/>
        <w:w w:val="99"/>
        <w:sz w:val="32"/>
        <w:szCs w:val="32"/>
        <w:lang w:val="en-US" w:eastAsia="en-US" w:bidi="ar-SA"/>
      </w:rPr>
    </w:lvl>
    <w:lvl w:ilvl="1">
      <w:start w:val="0"/>
      <w:numFmt w:val="bullet"/>
      <w:lvlText w:val="•"/>
      <w:lvlJc w:val="left"/>
      <w:pPr>
        <w:ind w:left="1720" w:hanging="360"/>
      </w:pPr>
      <w:rPr>
        <w:rFonts w:hint="default"/>
        <w:lang w:val="en-US" w:eastAsia="en-US" w:bidi="ar-SA"/>
      </w:rPr>
    </w:lvl>
    <w:lvl w:ilvl="2">
      <w:start w:val="0"/>
      <w:numFmt w:val="bullet"/>
      <w:lvlText w:val="•"/>
      <w:lvlJc w:val="left"/>
      <w:pPr>
        <w:ind w:left="2600" w:hanging="360"/>
      </w:pPr>
      <w:rPr>
        <w:rFonts w:hint="default"/>
        <w:lang w:val="en-US" w:eastAsia="en-US" w:bidi="ar-SA"/>
      </w:rPr>
    </w:lvl>
    <w:lvl w:ilvl="3">
      <w:start w:val="0"/>
      <w:numFmt w:val="bullet"/>
      <w:lvlText w:val="•"/>
      <w:lvlJc w:val="left"/>
      <w:pPr>
        <w:ind w:left="3480" w:hanging="360"/>
      </w:pPr>
      <w:rPr>
        <w:rFonts w:hint="default"/>
        <w:lang w:val="en-US" w:eastAsia="en-US" w:bidi="ar-SA"/>
      </w:rPr>
    </w:lvl>
    <w:lvl w:ilvl="4">
      <w:start w:val="0"/>
      <w:numFmt w:val="bullet"/>
      <w:lvlText w:val="•"/>
      <w:lvlJc w:val="left"/>
      <w:pPr>
        <w:ind w:left="4360" w:hanging="360"/>
      </w:pPr>
      <w:rPr>
        <w:rFonts w:hint="default"/>
        <w:lang w:val="en-US" w:eastAsia="en-US" w:bidi="ar-SA"/>
      </w:rPr>
    </w:lvl>
    <w:lvl w:ilvl="5">
      <w:start w:val="0"/>
      <w:numFmt w:val="bullet"/>
      <w:lvlText w:val="•"/>
      <w:lvlJc w:val="left"/>
      <w:pPr>
        <w:ind w:left="5240" w:hanging="360"/>
      </w:pPr>
      <w:rPr>
        <w:rFonts w:hint="default"/>
        <w:lang w:val="en-US" w:eastAsia="en-US" w:bidi="ar-SA"/>
      </w:rPr>
    </w:lvl>
    <w:lvl w:ilvl="6">
      <w:start w:val="0"/>
      <w:numFmt w:val="bullet"/>
      <w:lvlText w:val="•"/>
      <w:lvlJc w:val="left"/>
      <w:pPr>
        <w:ind w:left="6120" w:hanging="360"/>
      </w:pPr>
      <w:rPr>
        <w:rFonts w:hint="default"/>
        <w:lang w:val="en-US" w:eastAsia="en-US" w:bidi="ar-SA"/>
      </w:rPr>
    </w:lvl>
    <w:lvl w:ilvl="7">
      <w:start w:val="0"/>
      <w:numFmt w:val="bullet"/>
      <w:lvlText w:val="•"/>
      <w:lvlJc w:val="left"/>
      <w:pPr>
        <w:ind w:left="7000" w:hanging="360"/>
      </w:pPr>
      <w:rPr>
        <w:rFonts w:hint="default"/>
        <w:lang w:val="en-US" w:eastAsia="en-US" w:bidi="ar-SA"/>
      </w:rPr>
    </w:lvl>
    <w:lvl w:ilvl="8">
      <w:start w:val="0"/>
      <w:numFmt w:val="bullet"/>
      <w:lvlText w:val="•"/>
      <w:lvlJc w:val="left"/>
      <w:pPr>
        <w:ind w:left="7880" w:hanging="360"/>
      </w:pPr>
      <w:rPr>
        <w:rFonts w:hint="default"/>
        <w:lang w:val="en-US" w:eastAsia="en-US" w:bidi="ar-SA"/>
      </w:rPr>
    </w:lvl>
  </w:abstractNum>
  <w:abstractNum w:abstractNumId="1">
    <w:multiLevelType w:val="hybridMultilevel"/>
    <w:lvl w:ilvl="0">
      <w:start w:val="0"/>
      <w:numFmt w:val="bullet"/>
      <w:lvlText w:val="•"/>
      <w:lvlJc w:val="left"/>
      <w:pPr>
        <w:ind w:left="1603" w:hanging="540"/>
      </w:pPr>
      <w:rPr>
        <w:rFonts w:hint="default" w:ascii="Arial" w:hAnsi="Arial" w:eastAsia="Arial" w:cs="Arial"/>
        <w:b w:val="0"/>
        <w:bCs w:val="0"/>
        <w:i w:val="0"/>
        <w:iCs w:val="0"/>
        <w:color w:val="003C85"/>
        <w:w w:val="100"/>
        <w:position w:val="1"/>
        <w:sz w:val="28"/>
        <w:szCs w:val="28"/>
        <w:lang w:val="en-US" w:eastAsia="en-US" w:bidi="ar-SA"/>
      </w:rPr>
    </w:lvl>
    <w:lvl w:ilvl="1">
      <w:start w:val="0"/>
      <w:numFmt w:val="bullet"/>
      <w:lvlText w:val="•"/>
      <w:lvlJc w:val="left"/>
      <w:pPr>
        <w:ind w:left="2459" w:hanging="540"/>
      </w:pPr>
      <w:rPr>
        <w:rFonts w:hint="default"/>
        <w:lang w:val="en-US" w:eastAsia="en-US" w:bidi="ar-SA"/>
      </w:rPr>
    </w:lvl>
    <w:lvl w:ilvl="2">
      <w:start w:val="0"/>
      <w:numFmt w:val="bullet"/>
      <w:lvlText w:val="•"/>
      <w:lvlJc w:val="left"/>
      <w:pPr>
        <w:ind w:left="3319" w:hanging="540"/>
      </w:pPr>
      <w:rPr>
        <w:rFonts w:hint="default"/>
        <w:lang w:val="en-US" w:eastAsia="en-US" w:bidi="ar-SA"/>
      </w:rPr>
    </w:lvl>
    <w:lvl w:ilvl="3">
      <w:start w:val="0"/>
      <w:numFmt w:val="bullet"/>
      <w:lvlText w:val="•"/>
      <w:lvlJc w:val="left"/>
      <w:pPr>
        <w:ind w:left="4179" w:hanging="540"/>
      </w:pPr>
      <w:rPr>
        <w:rFonts w:hint="default"/>
        <w:lang w:val="en-US" w:eastAsia="en-US" w:bidi="ar-SA"/>
      </w:rPr>
    </w:lvl>
    <w:lvl w:ilvl="4">
      <w:start w:val="0"/>
      <w:numFmt w:val="bullet"/>
      <w:lvlText w:val="•"/>
      <w:lvlJc w:val="left"/>
      <w:pPr>
        <w:ind w:left="5039" w:hanging="540"/>
      </w:pPr>
      <w:rPr>
        <w:rFonts w:hint="default"/>
        <w:lang w:val="en-US" w:eastAsia="en-US" w:bidi="ar-SA"/>
      </w:rPr>
    </w:lvl>
    <w:lvl w:ilvl="5">
      <w:start w:val="0"/>
      <w:numFmt w:val="bullet"/>
      <w:lvlText w:val="•"/>
      <w:lvlJc w:val="left"/>
      <w:pPr>
        <w:ind w:left="5898" w:hanging="540"/>
      </w:pPr>
      <w:rPr>
        <w:rFonts w:hint="default"/>
        <w:lang w:val="en-US" w:eastAsia="en-US" w:bidi="ar-SA"/>
      </w:rPr>
    </w:lvl>
    <w:lvl w:ilvl="6">
      <w:start w:val="0"/>
      <w:numFmt w:val="bullet"/>
      <w:lvlText w:val="•"/>
      <w:lvlJc w:val="left"/>
      <w:pPr>
        <w:ind w:left="6758" w:hanging="540"/>
      </w:pPr>
      <w:rPr>
        <w:rFonts w:hint="default"/>
        <w:lang w:val="en-US" w:eastAsia="en-US" w:bidi="ar-SA"/>
      </w:rPr>
    </w:lvl>
    <w:lvl w:ilvl="7">
      <w:start w:val="0"/>
      <w:numFmt w:val="bullet"/>
      <w:lvlText w:val="•"/>
      <w:lvlJc w:val="left"/>
      <w:pPr>
        <w:ind w:left="7618" w:hanging="540"/>
      </w:pPr>
      <w:rPr>
        <w:rFonts w:hint="default"/>
        <w:lang w:val="en-US" w:eastAsia="en-US" w:bidi="ar-SA"/>
      </w:rPr>
    </w:lvl>
    <w:lvl w:ilvl="8">
      <w:start w:val="0"/>
      <w:numFmt w:val="bullet"/>
      <w:lvlText w:val="•"/>
      <w:lvlJc w:val="left"/>
      <w:pPr>
        <w:ind w:left="8478" w:hanging="540"/>
      </w:pPr>
      <w:rPr>
        <w:rFonts w:hint="default"/>
        <w:lang w:val="en-US" w:eastAsia="en-US" w:bidi="ar-SA"/>
      </w:rPr>
    </w:lvl>
  </w:abstractNum>
  <w:abstractNum w:abstractNumId="0">
    <w:multiLevelType w:val="hybridMultilevel"/>
    <w:lvl w:ilvl="0">
      <w:start w:val="0"/>
      <w:numFmt w:val="bullet"/>
      <w:lvlText w:val="•"/>
      <w:lvlJc w:val="left"/>
      <w:pPr>
        <w:ind w:left="1621" w:hanging="360"/>
      </w:pPr>
      <w:rPr>
        <w:rFonts w:hint="default" w:ascii="Arial" w:hAnsi="Arial" w:eastAsia="Arial" w:cs="Arial"/>
        <w:w w:val="100"/>
        <w:lang w:val="en-US" w:eastAsia="en-US" w:bidi="ar-SA"/>
      </w:rPr>
    </w:lvl>
    <w:lvl w:ilvl="1">
      <w:start w:val="0"/>
      <w:numFmt w:val="bullet"/>
      <w:lvlText w:val="•"/>
      <w:lvlJc w:val="left"/>
      <w:pPr>
        <w:ind w:left="2341" w:hanging="361"/>
      </w:pPr>
      <w:rPr>
        <w:rFonts w:hint="default" w:ascii="Arial" w:hAnsi="Arial" w:eastAsia="Arial" w:cs="Arial"/>
        <w:w w:val="100"/>
        <w:lang w:val="en-US" w:eastAsia="en-US" w:bidi="ar-SA"/>
      </w:rPr>
    </w:lvl>
    <w:lvl w:ilvl="2">
      <w:start w:val="0"/>
      <w:numFmt w:val="bullet"/>
      <w:lvlText w:val="•"/>
      <w:lvlJc w:val="left"/>
      <w:pPr>
        <w:ind w:left="3105" w:hanging="360"/>
      </w:pPr>
      <w:rPr>
        <w:rFonts w:hint="default" w:ascii="Arial" w:hAnsi="Arial" w:eastAsia="Arial" w:cs="Arial"/>
        <w:b w:val="0"/>
        <w:bCs w:val="0"/>
        <w:i w:val="0"/>
        <w:iCs w:val="0"/>
        <w:color w:val="003E87"/>
        <w:w w:val="100"/>
        <w:sz w:val="40"/>
        <w:szCs w:val="40"/>
        <w:lang w:val="en-US" w:eastAsia="en-US" w:bidi="ar-SA"/>
      </w:rPr>
    </w:lvl>
    <w:lvl w:ilvl="3">
      <w:start w:val="0"/>
      <w:numFmt w:val="bullet"/>
      <w:lvlText w:val="•"/>
      <w:lvlJc w:val="left"/>
      <w:pPr>
        <w:ind w:left="3100" w:hanging="360"/>
      </w:pPr>
      <w:rPr>
        <w:rFonts w:hint="default"/>
        <w:lang w:val="en-US" w:eastAsia="en-US" w:bidi="ar-SA"/>
      </w:rPr>
    </w:lvl>
    <w:lvl w:ilvl="4">
      <w:start w:val="0"/>
      <w:numFmt w:val="bullet"/>
      <w:lvlText w:val="•"/>
      <w:lvlJc w:val="left"/>
      <w:pPr>
        <w:ind w:left="11300" w:hanging="360"/>
      </w:pPr>
      <w:rPr>
        <w:rFonts w:hint="default"/>
        <w:lang w:val="en-US" w:eastAsia="en-US" w:bidi="ar-SA"/>
      </w:rPr>
    </w:lvl>
    <w:lvl w:ilvl="5">
      <w:start w:val="0"/>
      <w:numFmt w:val="bullet"/>
      <w:lvlText w:val="•"/>
      <w:lvlJc w:val="left"/>
      <w:pPr>
        <w:ind w:left="10910" w:hanging="360"/>
      </w:pPr>
      <w:rPr>
        <w:rFonts w:hint="default"/>
        <w:lang w:val="en-US" w:eastAsia="en-US" w:bidi="ar-SA"/>
      </w:rPr>
    </w:lvl>
    <w:lvl w:ilvl="6">
      <w:start w:val="0"/>
      <w:numFmt w:val="bullet"/>
      <w:lvlText w:val="•"/>
      <w:lvlJc w:val="left"/>
      <w:pPr>
        <w:ind w:left="10520" w:hanging="360"/>
      </w:pPr>
      <w:rPr>
        <w:rFonts w:hint="default"/>
        <w:lang w:val="en-US" w:eastAsia="en-US" w:bidi="ar-SA"/>
      </w:rPr>
    </w:lvl>
    <w:lvl w:ilvl="7">
      <w:start w:val="0"/>
      <w:numFmt w:val="bullet"/>
      <w:lvlText w:val="•"/>
      <w:lvlJc w:val="left"/>
      <w:pPr>
        <w:ind w:left="10131" w:hanging="360"/>
      </w:pPr>
      <w:rPr>
        <w:rFonts w:hint="default"/>
        <w:lang w:val="en-US" w:eastAsia="en-US" w:bidi="ar-SA"/>
      </w:rPr>
    </w:lvl>
    <w:lvl w:ilvl="8">
      <w:start w:val="0"/>
      <w:numFmt w:val="bullet"/>
      <w:lvlText w:val="•"/>
      <w:lvlJc w:val="left"/>
      <w:pPr>
        <w:ind w:left="9741" w:hanging="360"/>
      </w:pPr>
      <w:rPr>
        <w:rFonts w:hint="default"/>
        <w:lang w:val="en-US" w:eastAsia="en-US" w:bidi="ar-SA"/>
      </w:rPr>
    </w:lvl>
  </w:abstract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TOC1" w:type="paragraph">
    <w:name w:val="TOC 1"/>
    <w:basedOn w:val="Normal"/>
    <w:uiPriority w:val="1"/>
    <w:qFormat/>
    <w:pPr>
      <w:ind w:left="119"/>
    </w:pPr>
    <w:rPr>
      <w:rFonts w:ascii="Calibri" w:hAnsi="Calibri" w:eastAsia="Calibri" w:cs="Calibri"/>
      <w:sz w:val="18"/>
      <w:szCs w:val="18"/>
      <w:lang w:val="en-US" w:eastAsia="en-US" w:bidi="ar-SA"/>
    </w:rPr>
  </w:style>
  <w:style w:styleId="TOC2" w:type="paragraph">
    <w:name w:val="TOC 2"/>
    <w:basedOn w:val="Normal"/>
    <w:uiPriority w:val="1"/>
    <w:qFormat/>
    <w:pPr>
      <w:spacing w:before="33"/>
      <w:ind w:left="571"/>
    </w:pPr>
    <w:rPr>
      <w:rFonts w:ascii="Calibri" w:hAnsi="Calibri" w:eastAsia="Calibri" w:cs="Calibri"/>
      <w:sz w:val="18"/>
      <w:szCs w:val="18"/>
      <w:lang w:val="en-US" w:eastAsia="en-US" w:bidi="ar-SA"/>
    </w:rPr>
  </w:style>
  <w:style w:styleId="TOC3" w:type="paragraph">
    <w:name w:val="TOC 3"/>
    <w:basedOn w:val="Normal"/>
    <w:uiPriority w:val="1"/>
    <w:qFormat/>
    <w:pPr>
      <w:spacing w:before="99"/>
      <w:ind w:left="840"/>
    </w:pPr>
    <w:rPr>
      <w:rFonts w:ascii="Calibri" w:hAnsi="Calibri" w:eastAsia="Calibri" w:cs="Calibri"/>
      <w:sz w:val="18"/>
      <w:szCs w:val="18"/>
      <w:lang w:val="en-US" w:eastAsia="en-US" w:bidi="ar-SA"/>
    </w:rPr>
  </w:style>
  <w:style w:styleId="BodyText" w:type="paragraph">
    <w:name w:val="Body Text"/>
    <w:basedOn w:val="Normal"/>
    <w:uiPriority w:val="1"/>
    <w:qFormat/>
    <w:pPr/>
    <w:rPr>
      <w:rFonts w:ascii="Arial" w:hAnsi="Arial" w:eastAsia="Arial" w:cs="Arial"/>
      <w:sz w:val="22"/>
      <w:szCs w:val="22"/>
      <w:lang w:val="en-US" w:eastAsia="en-US" w:bidi="ar-SA"/>
    </w:rPr>
  </w:style>
  <w:style w:styleId="Heading1" w:type="paragraph">
    <w:name w:val="Heading 1"/>
    <w:basedOn w:val="Normal"/>
    <w:uiPriority w:val="1"/>
    <w:qFormat/>
    <w:pPr>
      <w:spacing w:before="59"/>
      <w:ind w:left="120"/>
      <w:outlineLvl w:val="1"/>
    </w:pPr>
    <w:rPr>
      <w:rFonts w:ascii="Arial" w:hAnsi="Arial" w:eastAsia="Arial" w:cs="Arial"/>
      <w:b/>
      <w:bCs/>
      <w:sz w:val="40"/>
      <w:szCs w:val="40"/>
      <w:u w:val="single" w:color="000000"/>
      <w:lang w:val="en-US" w:eastAsia="en-US" w:bidi="ar-SA"/>
    </w:rPr>
  </w:style>
  <w:style w:styleId="Heading2" w:type="paragraph">
    <w:name w:val="Heading 2"/>
    <w:basedOn w:val="Normal"/>
    <w:uiPriority w:val="1"/>
    <w:qFormat/>
    <w:pPr>
      <w:ind w:left="120"/>
      <w:outlineLvl w:val="2"/>
    </w:pPr>
    <w:rPr>
      <w:rFonts w:ascii="Arial" w:hAnsi="Arial" w:eastAsia="Arial" w:cs="Arial"/>
      <w:b/>
      <w:bCs/>
      <w:sz w:val="32"/>
      <w:szCs w:val="32"/>
      <w:lang w:val="en-US" w:eastAsia="en-US" w:bidi="ar-SA"/>
    </w:rPr>
  </w:style>
  <w:style w:styleId="Heading3" w:type="paragraph">
    <w:name w:val="Heading 3"/>
    <w:basedOn w:val="Normal"/>
    <w:uiPriority w:val="1"/>
    <w:qFormat/>
    <w:pPr>
      <w:spacing w:before="60"/>
      <w:ind w:left="120"/>
      <w:outlineLvl w:val="3"/>
    </w:pPr>
    <w:rPr>
      <w:rFonts w:ascii="Arial" w:hAnsi="Arial" w:eastAsia="Arial" w:cs="Arial"/>
      <w:sz w:val="32"/>
      <w:szCs w:val="32"/>
      <w:lang w:val="en-US" w:eastAsia="en-US" w:bidi="ar-SA"/>
    </w:rPr>
  </w:style>
  <w:style w:styleId="Heading4" w:type="paragraph">
    <w:name w:val="Heading 4"/>
    <w:basedOn w:val="Normal"/>
    <w:uiPriority w:val="1"/>
    <w:qFormat/>
    <w:pPr>
      <w:spacing w:before="81"/>
      <w:ind w:left="120"/>
      <w:outlineLvl w:val="4"/>
    </w:pPr>
    <w:rPr>
      <w:rFonts w:ascii="Arial" w:hAnsi="Arial" w:eastAsia="Arial" w:cs="Arial"/>
      <w:b/>
      <w:bCs/>
      <w:sz w:val="24"/>
      <w:szCs w:val="24"/>
      <w:lang w:val="en-US" w:eastAsia="en-US" w:bidi="ar-SA"/>
    </w:rPr>
  </w:style>
  <w:style w:styleId="Heading5" w:type="paragraph">
    <w:name w:val="Heading 5"/>
    <w:basedOn w:val="Normal"/>
    <w:uiPriority w:val="1"/>
    <w:qFormat/>
    <w:pPr>
      <w:ind w:left="120"/>
      <w:jc w:val="both"/>
      <w:outlineLvl w:val="5"/>
    </w:pPr>
    <w:rPr>
      <w:rFonts w:ascii="Arial" w:hAnsi="Arial" w:eastAsia="Arial" w:cs="Arial"/>
      <w:b/>
      <w:bCs/>
      <w:sz w:val="22"/>
      <w:szCs w:val="22"/>
      <w:lang w:val="en-US" w:eastAsia="en-US" w:bidi="ar-SA"/>
    </w:rPr>
  </w:style>
  <w:style w:styleId="ListParagraph" w:type="paragraph">
    <w:name w:val="List Paragraph"/>
    <w:basedOn w:val="Normal"/>
    <w:uiPriority w:val="1"/>
    <w:qFormat/>
    <w:pPr>
      <w:ind w:left="840" w:hanging="361"/>
    </w:pPr>
    <w:rPr>
      <w:rFonts w:ascii="Arial" w:hAnsi="Arial" w:eastAsia="Arial" w:cs="Arial"/>
      <w:lang w:val="en-US" w:eastAsia="en-US" w:bidi="ar-SA"/>
    </w:rPr>
  </w:style>
  <w:style w:styleId="TableParagraph" w:type="paragraph">
    <w:name w:val="Table Paragraph"/>
    <w:basedOn w:val="Normal"/>
    <w:uiPriority w:val="1"/>
    <w:qFormat/>
    <w:pPr>
      <w:ind w:left="107"/>
      <w:jc w:val="center"/>
    </w:pPr>
    <w:rPr>
      <w:rFonts w:ascii="Arial" w:hAnsi="Arial" w:eastAsia="Arial" w:cs="Arial"/>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pn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footer" Target="footer1.xml"/><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footer" Target="footer2.xml"/><Relationship Id="rId19" Type="http://schemas.openxmlformats.org/officeDocument/2006/relationships/image" Target="media/image14.png"/><Relationship Id="rId20" Type="http://schemas.openxmlformats.org/officeDocument/2006/relationships/hyperlink" Target="https://dallascityhall.com/departments/housing-neighborhood-revitalization/Documents/Land%20Bank%20Documents%202022/Copy%20of%206.%20online%20LBP%20Inventory.pdf" TargetMode="External"/><Relationship Id="rId21" Type="http://schemas.openxmlformats.org/officeDocument/2006/relationships/hyperlink" Target="https://dallascityhall.com/departments/housing-neighborhood-revitalization/Documents/Land%20Bank%20Documents%202021/Dallas%20Urban%20LB%20Annual%20Plan%202021-22.pdf" TargetMode="External"/><Relationship Id="rId22" Type="http://schemas.openxmlformats.org/officeDocument/2006/relationships/hyperlink" Target="https://dallasgis.maps.arcgis.com/apps/View/index.html?appid=54aab6e83c0746698a0f0611442529ee" TargetMode="External"/><Relationship Id="rId23" Type="http://schemas.openxmlformats.org/officeDocument/2006/relationships/image" Target="media/image15.png"/><Relationship Id="rId24" Type="http://schemas.openxmlformats.org/officeDocument/2006/relationships/image" Target="media/image16.jpeg"/><Relationship Id="rId25" Type="http://schemas.openxmlformats.org/officeDocument/2006/relationships/hyperlink" Target="https://dallascityhall.com/departments/sustainabledevelopment/buildinginspection/Pages/construction_codes.aspx" TargetMode="External"/><Relationship Id="rId26" Type="http://schemas.openxmlformats.org/officeDocument/2006/relationships/hyperlink" Target="http://www.tdhca.state.tx.us/rea/approved-analysts.htm" TargetMode="External"/><Relationship Id="rId27" Type="http://schemas.openxmlformats.org/officeDocument/2006/relationships/numbering" Target="numbering.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Legistar</dc:creator>
  <dc:title>23-773 - Presentation</dc:title>
  <dcterms:created xsi:type="dcterms:W3CDTF">2023-03-21T15:46:03Z</dcterms:created>
  <dcterms:modified xsi:type="dcterms:W3CDTF">2023-03-21T15:46:03Z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0x0101009EAD932AFC243541A6B2EB42225CA3D4</vt:lpwstr>
  </property>
  <property fmtid="{D5CDD505-2E9C-101B-9397-08002B2CF9AE}" pid="3" name="Created">
    <vt:filetime>2023-03-16T00:00:00Z</vt:filetime>
  </property>
  <property fmtid="{D5CDD505-2E9C-101B-9397-08002B2CF9AE}" pid="4" name="Creator">
    <vt:lpwstr>Adobe Acrobat Pro (64-bit) 23.1.20064</vt:lpwstr>
  </property>
  <property fmtid="{D5CDD505-2E9C-101B-9397-08002B2CF9AE}" pid="5" name="LastSaved">
    <vt:filetime>2023-03-21T00:00:00Z</vt:filetime>
  </property>
  <property fmtid="{D5CDD505-2E9C-101B-9397-08002B2CF9AE}" pid="6" name="Producer">
    <vt:lpwstr>PDFlib PLOP 4.1 (.NET/Win64)</vt:lpwstr>
  </property>
</Properties>
</file>